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8D2C2E" w14:textId="4931F82F" w:rsidR="00622BC0" w:rsidRDefault="00826C5A">
      <w:pPr>
        <w:widowControl w:val="0"/>
        <w:autoSpaceDE w:val="0"/>
        <w:autoSpaceDN w:val="0"/>
        <w:adjustRightInd w:val="0"/>
        <w:spacing w:after="120"/>
        <w:ind w:right="1128"/>
        <w:rPr>
          <w:rFonts w:ascii="Cambria" w:hAnsi="Cambria" w:cs="Cambria"/>
          <w:lang w:val="en-GB"/>
        </w:rPr>
      </w:pPr>
      <w:r>
        <w:rPr>
          <w:rFonts w:ascii="Cambria" w:hAnsi="Cambria" w:cs="Cambria"/>
          <w:lang w:val="en-GB"/>
        </w:rPr>
        <w:t xml:space="preserve">   </w:t>
      </w:r>
    </w:p>
    <w:p w14:paraId="7563639D" w14:textId="77777777" w:rsidR="00622BC0" w:rsidRDefault="00622BC0">
      <w:pPr>
        <w:widowControl w:val="0"/>
        <w:autoSpaceDE w:val="0"/>
        <w:autoSpaceDN w:val="0"/>
        <w:adjustRightInd w:val="0"/>
        <w:spacing w:after="120"/>
        <w:ind w:right="-100"/>
        <w:jc w:val="center"/>
        <w:rPr>
          <w:rFonts w:ascii="Cambria" w:hAnsi="Cambria" w:cs="Cambria"/>
          <w:lang w:val="en-GB"/>
        </w:rPr>
      </w:pPr>
    </w:p>
    <w:p w14:paraId="00F181B0" w14:textId="77777777" w:rsidR="00622BC0" w:rsidRDefault="00622BC0">
      <w:pPr>
        <w:widowControl w:val="0"/>
        <w:autoSpaceDE w:val="0"/>
        <w:autoSpaceDN w:val="0"/>
        <w:adjustRightInd w:val="0"/>
        <w:spacing w:after="120"/>
        <w:ind w:right="-100"/>
        <w:jc w:val="center"/>
        <w:rPr>
          <w:rFonts w:ascii="Cambria" w:hAnsi="Cambria" w:cs="Cambria"/>
          <w:lang w:val="en-GB"/>
        </w:rPr>
      </w:pPr>
    </w:p>
    <w:p w14:paraId="4C08F5F5" w14:textId="77777777" w:rsidR="00622BC0" w:rsidRDefault="00622BC0">
      <w:pPr>
        <w:widowControl w:val="0"/>
        <w:autoSpaceDE w:val="0"/>
        <w:autoSpaceDN w:val="0"/>
        <w:adjustRightInd w:val="0"/>
        <w:spacing w:after="120"/>
        <w:ind w:right="-100"/>
        <w:jc w:val="center"/>
        <w:rPr>
          <w:rFonts w:ascii="Cambria" w:hAnsi="Cambria" w:cs="Cambria"/>
          <w:lang w:val="en-GB"/>
        </w:rPr>
      </w:pPr>
    </w:p>
    <w:p w14:paraId="0ED09A9D" w14:textId="77777777" w:rsidR="00622BC0" w:rsidRDefault="00826C5A">
      <w:pPr>
        <w:widowControl w:val="0"/>
        <w:autoSpaceDE w:val="0"/>
        <w:autoSpaceDN w:val="0"/>
        <w:adjustRightInd w:val="0"/>
        <w:spacing w:after="120"/>
        <w:ind w:right="-100"/>
        <w:jc w:val="center"/>
        <w:rPr>
          <w:rFonts w:ascii="Cambria" w:hAnsi="Cambria" w:cs="Cambria"/>
          <w:b/>
          <w:bCs/>
          <w:lang w:val="en-GB"/>
        </w:rPr>
      </w:pPr>
      <w:r>
        <w:rPr>
          <w:rFonts w:ascii="Cambria" w:hAnsi="Cambria" w:cs="Cambria"/>
          <w:b/>
          <w:bCs/>
          <w:lang w:val="en-GB"/>
        </w:rPr>
        <w:t>The 2020 Baseline Report</w:t>
      </w:r>
    </w:p>
    <w:p w14:paraId="73C83978" w14:textId="77777777" w:rsidR="00622BC0" w:rsidRDefault="00826C5A">
      <w:pPr>
        <w:widowControl w:val="0"/>
        <w:autoSpaceDE w:val="0"/>
        <w:autoSpaceDN w:val="0"/>
        <w:adjustRightInd w:val="0"/>
        <w:spacing w:after="120"/>
        <w:ind w:right="-100"/>
        <w:jc w:val="center"/>
        <w:rPr>
          <w:rFonts w:ascii="Cambria" w:hAnsi="Cambria" w:cs="Cambria"/>
          <w:b/>
          <w:bCs/>
          <w:lang w:val="en-GB"/>
        </w:rPr>
      </w:pPr>
      <w:r>
        <w:rPr>
          <w:rFonts w:ascii="Cambria" w:hAnsi="Cambria" w:cs="Cambria"/>
          <w:b/>
          <w:bCs/>
          <w:lang w:val="en-GB"/>
        </w:rPr>
        <w:t>The Rights of Persons with Disabilities:</w:t>
      </w:r>
    </w:p>
    <w:p w14:paraId="6351B8E3" w14:textId="77777777" w:rsidR="00622BC0" w:rsidRDefault="00826C5A">
      <w:pPr>
        <w:widowControl w:val="0"/>
        <w:autoSpaceDE w:val="0"/>
        <w:autoSpaceDN w:val="0"/>
        <w:adjustRightInd w:val="0"/>
        <w:spacing w:after="120"/>
        <w:ind w:right="-100"/>
        <w:jc w:val="center"/>
        <w:rPr>
          <w:rFonts w:ascii="Cambria" w:hAnsi="Cambria" w:cs="Cambria"/>
          <w:b/>
          <w:bCs/>
          <w:lang w:val="en-GB"/>
        </w:rPr>
      </w:pPr>
      <w:r>
        <w:rPr>
          <w:rFonts w:ascii="Cambria" w:hAnsi="Cambria" w:cs="Cambria"/>
          <w:b/>
          <w:bCs/>
          <w:lang w:val="en-GB"/>
        </w:rPr>
        <w:t>The Implementation of SDGs and CRPD in ASEAN Countries</w:t>
      </w:r>
    </w:p>
    <w:p w14:paraId="512EC5E3" w14:textId="77777777" w:rsidR="00622BC0" w:rsidRDefault="00622BC0">
      <w:pPr>
        <w:widowControl w:val="0"/>
        <w:autoSpaceDE w:val="0"/>
        <w:autoSpaceDN w:val="0"/>
        <w:adjustRightInd w:val="0"/>
        <w:spacing w:after="120"/>
        <w:ind w:right="1128"/>
        <w:jc w:val="center"/>
        <w:rPr>
          <w:rFonts w:ascii="Cambria" w:hAnsi="Cambria" w:cs="Cambria"/>
          <w:lang w:val="en-GB"/>
        </w:rPr>
      </w:pPr>
    </w:p>
    <w:p w14:paraId="0A6A851D" w14:textId="77777777" w:rsidR="00622BC0" w:rsidRDefault="00622BC0">
      <w:pPr>
        <w:widowControl w:val="0"/>
        <w:autoSpaceDE w:val="0"/>
        <w:autoSpaceDN w:val="0"/>
        <w:adjustRightInd w:val="0"/>
        <w:spacing w:after="120"/>
        <w:ind w:right="1128"/>
        <w:jc w:val="center"/>
        <w:rPr>
          <w:rFonts w:ascii="Cambria" w:hAnsi="Cambria" w:cs="Cambria"/>
          <w:lang w:val="en-GB"/>
        </w:rPr>
      </w:pPr>
    </w:p>
    <w:p w14:paraId="33814F60" w14:textId="77777777" w:rsidR="00622BC0" w:rsidRDefault="00622BC0">
      <w:pPr>
        <w:widowControl w:val="0"/>
        <w:autoSpaceDE w:val="0"/>
        <w:autoSpaceDN w:val="0"/>
        <w:adjustRightInd w:val="0"/>
        <w:spacing w:after="120"/>
        <w:ind w:right="1128"/>
        <w:jc w:val="center"/>
        <w:rPr>
          <w:rFonts w:ascii="Cambria" w:hAnsi="Cambria" w:cs="Cambria"/>
          <w:lang w:val="en-GB"/>
        </w:rPr>
      </w:pPr>
    </w:p>
    <w:p w14:paraId="02CEE54E" w14:textId="77777777" w:rsidR="00622BC0" w:rsidRDefault="00622BC0">
      <w:pPr>
        <w:widowControl w:val="0"/>
        <w:autoSpaceDE w:val="0"/>
        <w:autoSpaceDN w:val="0"/>
        <w:adjustRightInd w:val="0"/>
        <w:spacing w:after="120"/>
        <w:ind w:right="1128"/>
        <w:jc w:val="both"/>
        <w:rPr>
          <w:rFonts w:ascii="Cambria" w:hAnsi="Cambria" w:cs="Cambria"/>
          <w:lang w:val="en-GB"/>
        </w:rPr>
      </w:pPr>
    </w:p>
    <w:p w14:paraId="563F8321" w14:textId="77777777" w:rsidR="00622BC0" w:rsidRDefault="00622BC0">
      <w:pPr>
        <w:widowControl w:val="0"/>
        <w:autoSpaceDE w:val="0"/>
        <w:autoSpaceDN w:val="0"/>
        <w:adjustRightInd w:val="0"/>
        <w:spacing w:after="120"/>
        <w:ind w:right="1128"/>
        <w:jc w:val="center"/>
        <w:rPr>
          <w:rFonts w:ascii="Cambria" w:hAnsi="Cambria" w:cs="Cambria"/>
          <w:lang w:val="en-GB"/>
        </w:rPr>
      </w:pPr>
    </w:p>
    <w:p w14:paraId="5D965FC2" w14:textId="77777777" w:rsidR="00622BC0" w:rsidRDefault="00622BC0">
      <w:pPr>
        <w:widowControl w:val="0"/>
        <w:autoSpaceDE w:val="0"/>
        <w:autoSpaceDN w:val="0"/>
        <w:adjustRightInd w:val="0"/>
        <w:spacing w:after="120"/>
        <w:ind w:right="1128"/>
        <w:jc w:val="center"/>
        <w:rPr>
          <w:rFonts w:ascii="Cambria" w:hAnsi="Cambria" w:cs="Cambria"/>
          <w:lang w:val="en-GB"/>
        </w:rPr>
      </w:pPr>
    </w:p>
    <w:p w14:paraId="6CE46CFE" w14:textId="77777777" w:rsidR="00622BC0" w:rsidRDefault="00826C5A">
      <w:pPr>
        <w:widowControl w:val="0"/>
        <w:autoSpaceDE w:val="0"/>
        <w:autoSpaceDN w:val="0"/>
        <w:adjustRightInd w:val="0"/>
        <w:spacing w:after="120"/>
        <w:ind w:right="100"/>
        <w:jc w:val="center"/>
        <w:rPr>
          <w:rFonts w:ascii="Cambria" w:hAnsi="Cambria" w:cs="Cambria"/>
          <w:b/>
          <w:bCs/>
          <w:lang w:val="en-GB"/>
        </w:rPr>
      </w:pPr>
      <w:r>
        <w:rPr>
          <w:rFonts w:ascii="Cambria" w:hAnsi="Cambria" w:cs="Cambria"/>
          <w:b/>
          <w:bCs/>
          <w:lang w:val="en-GB"/>
        </w:rPr>
        <w:t>Introducing the Works from the Organisation of Persons with Disabilities</w:t>
      </w:r>
    </w:p>
    <w:p w14:paraId="12362C1C" w14:textId="77777777" w:rsidR="00622BC0" w:rsidRDefault="00622BC0">
      <w:pPr>
        <w:widowControl w:val="0"/>
        <w:autoSpaceDE w:val="0"/>
        <w:autoSpaceDN w:val="0"/>
        <w:adjustRightInd w:val="0"/>
        <w:spacing w:after="120"/>
        <w:ind w:right="100"/>
        <w:jc w:val="center"/>
        <w:rPr>
          <w:rFonts w:ascii="Cambria" w:hAnsi="Cambria" w:cs="Cambria"/>
          <w:b/>
          <w:bCs/>
          <w:lang w:val="en-GB"/>
        </w:rPr>
      </w:pPr>
    </w:p>
    <w:p w14:paraId="4346EDF0" w14:textId="77777777" w:rsidR="00622BC0" w:rsidRDefault="00826C5A">
      <w:pPr>
        <w:widowControl w:val="0"/>
        <w:autoSpaceDE w:val="0"/>
        <w:autoSpaceDN w:val="0"/>
        <w:adjustRightInd w:val="0"/>
        <w:spacing w:after="120"/>
        <w:ind w:right="100"/>
        <w:jc w:val="center"/>
        <w:rPr>
          <w:rFonts w:ascii="Cambria" w:hAnsi="Cambria" w:cs="Cambria"/>
          <w:b/>
          <w:bCs/>
          <w:lang w:val="en-GB"/>
        </w:rPr>
      </w:pPr>
      <w:r>
        <w:rPr>
          <w:rFonts w:ascii="Cambria" w:hAnsi="Cambria" w:cs="Cambria"/>
          <w:b/>
          <w:bCs/>
          <w:lang w:val="en-GB"/>
        </w:rPr>
        <w:t>ASEAN Disability Forum</w:t>
      </w:r>
    </w:p>
    <w:p w14:paraId="1322D9C5" w14:textId="77777777" w:rsidR="00622BC0" w:rsidRDefault="00826C5A">
      <w:pPr>
        <w:widowControl w:val="0"/>
        <w:autoSpaceDE w:val="0"/>
        <w:autoSpaceDN w:val="0"/>
        <w:adjustRightInd w:val="0"/>
        <w:spacing w:after="120"/>
        <w:ind w:right="100"/>
        <w:jc w:val="both"/>
        <w:rPr>
          <w:rFonts w:ascii="Cambria" w:hAnsi="Cambria" w:cs="Cambria"/>
          <w:b/>
          <w:bCs/>
          <w:lang w:val="en-GB"/>
        </w:rPr>
      </w:pPr>
      <w:r>
        <w:rPr>
          <w:rFonts w:ascii="Cambria" w:hAnsi="Cambria"/>
          <w:noProof/>
          <w:lang w:val="id-ID" w:eastAsia="id-ID"/>
        </w:rPr>
        <w:drawing>
          <wp:anchor distT="114300" distB="114300" distL="114300" distR="114300" simplePos="0" relativeHeight="251677696" behindDoc="0" locked="0" layoutInCell="1" allowOverlap="1" wp14:anchorId="1A9797EC" wp14:editId="44ABF979">
            <wp:simplePos x="0" y="0"/>
            <wp:positionH relativeFrom="column">
              <wp:posOffset>1903095</wp:posOffset>
            </wp:positionH>
            <wp:positionV relativeFrom="paragraph">
              <wp:posOffset>137160</wp:posOffset>
            </wp:positionV>
            <wp:extent cx="1386205" cy="862965"/>
            <wp:effectExtent l="0" t="0" r="635" b="5715"/>
            <wp:wrapSquare wrapText="bothSides"/>
            <wp:docPr id="10" name="image12.png"/>
            <wp:cNvGraphicFramePr/>
            <a:graphic xmlns:a="http://schemas.openxmlformats.org/drawingml/2006/main">
              <a:graphicData uri="http://schemas.openxmlformats.org/drawingml/2006/picture">
                <pic:pic xmlns:pic="http://schemas.openxmlformats.org/drawingml/2006/picture">
                  <pic:nvPicPr>
                    <pic:cNvPr id="10" name="image12.png"/>
                    <pic:cNvPicPr preferRelativeResize="0"/>
                  </pic:nvPicPr>
                  <pic:blipFill>
                    <a:blip r:embed="rId9"/>
                    <a:srcRect/>
                    <a:stretch>
                      <a:fillRect/>
                    </a:stretch>
                  </pic:blipFill>
                  <pic:spPr>
                    <a:xfrm>
                      <a:off x="0" y="0"/>
                      <a:ext cx="1386205" cy="862965"/>
                    </a:xfrm>
                    <a:prstGeom prst="rect">
                      <a:avLst/>
                    </a:prstGeom>
                  </pic:spPr>
                </pic:pic>
              </a:graphicData>
            </a:graphic>
          </wp:anchor>
        </w:drawing>
      </w:r>
    </w:p>
    <w:p w14:paraId="3B091C47" w14:textId="77777777" w:rsidR="00622BC0" w:rsidRDefault="00622BC0">
      <w:pPr>
        <w:widowControl w:val="0"/>
        <w:autoSpaceDE w:val="0"/>
        <w:autoSpaceDN w:val="0"/>
        <w:adjustRightInd w:val="0"/>
        <w:spacing w:after="120"/>
        <w:ind w:right="1128"/>
        <w:jc w:val="both"/>
        <w:rPr>
          <w:rFonts w:ascii="Cambria" w:hAnsi="Cambria" w:cs="Cambria"/>
          <w:lang w:val="en-GB"/>
        </w:rPr>
      </w:pPr>
    </w:p>
    <w:p w14:paraId="678EB518" w14:textId="77777777" w:rsidR="00622BC0" w:rsidRDefault="00622BC0">
      <w:pPr>
        <w:widowControl w:val="0"/>
        <w:autoSpaceDE w:val="0"/>
        <w:autoSpaceDN w:val="0"/>
        <w:adjustRightInd w:val="0"/>
        <w:spacing w:after="120"/>
        <w:ind w:right="1128"/>
        <w:jc w:val="center"/>
        <w:rPr>
          <w:rFonts w:ascii="Cambria" w:hAnsi="Cambria" w:cs="Cambria"/>
          <w:lang w:val="en-GB"/>
        </w:rPr>
      </w:pPr>
    </w:p>
    <w:p w14:paraId="68C649BC" w14:textId="77777777" w:rsidR="00622BC0" w:rsidRDefault="00622BC0">
      <w:pPr>
        <w:widowControl w:val="0"/>
        <w:autoSpaceDE w:val="0"/>
        <w:autoSpaceDN w:val="0"/>
        <w:adjustRightInd w:val="0"/>
        <w:spacing w:after="120"/>
        <w:ind w:left="1134" w:right="1128" w:hanging="1134"/>
        <w:jc w:val="center"/>
        <w:rPr>
          <w:rFonts w:ascii="Cambria" w:hAnsi="Cambria" w:cs="Cambria"/>
          <w:lang w:val="en-GB"/>
        </w:rPr>
      </w:pPr>
    </w:p>
    <w:p w14:paraId="1A07A058" w14:textId="77777777" w:rsidR="00622BC0" w:rsidRDefault="00622BC0">
      <w:pPr>
        <w:widowControl w:val="0"/>
        <w:autoSpaceDE w:val="0"/>
        <w:autoSpaceDN w:val="0"/>
        <w:adjustRightInd w:val="0"/>
        <w:spacing w:after="120"/>
        <w:ind w:left="1134" w:right="1128" w:hanging="1134"/>
        <w:jc w:val="center"/>
        <w:rPr>
          <w:rFonts w:ascii="Cambria" w:hAnsi="Cambria" w:cs="Cambria"/>
          <w:lang w:val="en-GB"/>
        </w:rPr>
      </w:pPr>
    </w:p>
    <w:p w14:paraId="319F0ACA" w14:textId="77777777" w:rsidR="00622BC0" w:rsidRDefault="00622BC0">
      <w:pPr>
        <w:widowControl w:val="0"/>
        <w:autoSpaceDE w:val="0"/>
        <w:autoSpaceDN w:val="0"/>
        <w:adjustRightInd w:val="0"/>
        <w:spacing w:after="120"/>
        <w:ind w:right="140" w:firstLineChars="1392" w:firstLine="3354"/>
        <w:jc w:val="both"/>
        <w:rPr>
          <w:rFonts w:ascii="Cambria" w:hAnsi="Cambria" w:cs="Cambria"/>
          <w:b/>
          <w:bCs/>
        </w:rPr>
      </w:pPr>
    </w:p>
    <w:p w14:paraId="3D6DB16A" w14:textId="77777777" w:rsidR="00622BC0" w:rsidRDefault="00622BC0">
      <w:pPr>
        <w:widowControl w:val="0"/>
        <w:autoSpaceDE w:val="0"/>
        <w:autoSpaceDN w:val="0"/>
        <w:adjustRightInd w:val="0"/>
        <w:spacing w:after="120"/>
        <w:ind w:right="140" w:firstLineChars="1392" w:firstLine="3354"/>
        <w:jc w:val="both"/>
        <w:rPr>
          <w:rFonts w:ascii="Cambria" w:hAnsi="Cambria" w:cs="Cambria"/>
          <w:b/>
          <w:bCs/>
        </w:rPr>
      </w:pPr>
    </w:p>
    <w:p w14:paraId="343BF4AB" w14:textId="77777777" w:rsidR="00622BC0" w:rsidRDefault="00826C5A">
      <w:pPr>
        <w:widowControl w:val="0"/>
        <w:autoSpaceDE w:val="0"/>
        <w:autoSpaceDN w:val="0"/>
        <w:adjustRightInd w:val="0"/>
        <w:spacing w:after="120"/>
        <w:ind w:right="140" w:firstLineChars="1392" w:firstLine="3354"/>
        <w:jc w:val="both"/>
        <w:rPr>
          <w:rFonts w:ascii="Cambria" w:hAnsi="Cambria" w:cs="Cambria"/>
          <w:b/>
          <w:bCs/>
        </w:rPr>
      </w:pPr>
      <w:r>
        <w:rPr>
          <w:rFonts w:ascii="Cambria" w:hAnsi="Cambria" w:cs="Cambria"/>
          <w:b/>
          <w:bCs/>
        </w:rPr>
        <w:t>Supported by</w:t>
      </w:r>
    </w:p>
    <w:p w14:paraId="7B2610B2" w14:textId="77777777" w:rsidR="00622BC0" w:rsidRDefault="00622BC0">
      <w:pPr>
        <w:widowControl w:val="0"/>
        <w:autoSpaceDE w:val="0"/>
        <w:autoSpaceDN w:val="0"/>
        <w:adjustRightInd w:val="0"/>
        <w:spacing w:after="120"/>
        <w:ind w:right="140" w:firstLineChars="250" w:firstLine="602"/>
        <w:jc w:val="both"/>
        <w:rPr>
          <w:rFonts w:ascii="Cambria" w:hAnsi="Cambria" w:cs="Cambria"/>
          <w:b/>
          <w:bCs/>
        </w:rPr>
      </w:pPr>
    </w:p>
    <w:p w14:paraId="7E5B6EED" w14:textId="77777777" w:rsidR="00622BC0" w:rsidRDefault="00826C5A">
      <w:pPr>
        <w:widowControl w:val="0"/>
        <w:autoSpaceDE w:val="0"/>
        <w:autoSpaceDN w:val="0"/>
        <w:adjustRightInd w:val="0"/>
        <w:spacing w:after="120"/>
        <w:ind w:left="1134" w:right="1128" w:hanging="1134"/>
        <w:jc w:val="both"/>
        <w:rPr>
          <w:rFonts w:ascii="Cambria" w:hAnsi="Cambria" w:cs="Cambria"/>
        </w:rPr>
      </w:pPr>
      <w:r>
        <w:rPr>
          <w:rFonts w:ascii="Cambria" w:hAnsi="Cambria"/>
          <w:noProof/>
          <w:lang w:val="id-ID"/>
        </w:rPr>
        <w:drawing>
          <wp:anchor distT="114300" distB="114300" distL="114300" distR="114300" simplePos="0" relativeHeight="251669504" behindDoc="0" locked="0" layoutInCell="1" allowOverlap="1" wp14:anchorId="148E6E67" wp14:editId="372E17EC">
            <wp:simplePos x="0" y="0"/>
            <wp:positionH relativeFrom="column">
              <wp:posOffset>1166495</wp:posOffset>
            </wp:positionH>
            <wp:positionV relativeFrom="paragraph">
              <wp:posOffset>16510</wp:posOffset>
            </wp:positionV>
            <wp:extent cx="918210" cy="722630"/>
            <wp:effectExtent l="0" t="0" r="11430" b="8890"/>
            <wp:wrapSquare wrapText="bothSides"/>
            <wp:docPr id="17" name="image10.png"/>
            <wp:cNvGraphicFramePr/>
            <a:graphic xmlns:a="http://schemas.openxmlformats.org/drawingml/2006/main">
              <a:graphicData uri="http://schemas.openxmlformats.org/drawingml/2006/picture">
                <pic:pic xmlns:pic="http://schemas.openxmlformats.org/drawingml/2006/picture">
                  <pic:nvPicPr>
                    <pic:cNvPr id="17" name="image10.png"/>
                    <pic:cNvPicPr preferRelativeResize="0"/>
                  </pic:nvPicPr>
                  <pic:blipFill>
                    <a:blip r:embed="rId10"/>
                    <a:srcRect/>
                    <a:stretch>
                      <a:fillRect/>
                    </a:stretch>
                  </pic:blipFill>
                  <pic:spPr>
                    <a:xfrm>
                      <a:off x="0" y="0"/>
                      <a:ext cx="918210" cy="722630"/>
                    </a:xfrm>
                    <a:prstGeom prst="rect">
                      <a:avLst/>
                    </a:prstGeom>
                  </pic:spPr>
                </pic:pic>
              </a:graphicData>
            </a:graphic>
          </wp:anchor>
        </w:drawing>
      </w:r>
      <w:r>
        <w:rPr>
          <w:rFonts w:ascii="Cambria" w:hAnsi="Cambria" w:cs="Cambria"/>
          <w:noProof/>
        </w:rPr>
        <w:drawing>
          <wp:inline distT="0" distB="0" distL="114300" distR="114300" wp14:anchorId="7E587C8A" wp14:editId="23AEC919">
            <wp:extent cx="763905" cy="810260"/>
            <wp:effectExtent l="0" t="0" r="13335" b="12700"/>
            <wp:docPr id="11" name="Picture 11" descr="UK DF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UK DFID"/>
                    <pic:cNvPicPr>
                      <a:picLocks noChangeAspect="1"/>
                    </pic:cNvPicPr>
                  </pic:nvPicPr>
                  <pic:blipFill>
                    <a:blip r:embed="rId11"/>
                    <a:stretch>
                      <a:fillRect/>
                    </a:stretch>
                  </pic:blipFill>
                  <pic:spPr>
                    <a:xfrm>
                      <a:off x="0" y="0"/>
                      <a:ext cx="763905" cy="810260"/>
                    </a:xfrm>
                    <a:prstGeom prst="rect">
                      <a:avLst/>
                    </a:prstGeom>
                  </pic:spPr>
                </pic:pic>
              </a:graphicData>
            </a:graphic>
          </wp:inline>
        </w:drawing>
      </w:r>
      <w:r>
        <w:rPr>
          <w:noProof/>
        </w:rPr>
        <w:drawing>
          <wp:inline distT="0" distB="0" distL="114300" distR="114300" wp14:anchorId="03658D71" wp14:editId="69EFD4DB">
            <wp:extent cx="777875" cy="728345"/>
            <wp:effectExtent l="0" t="0" r="14605" b="3175"/>
            <wp:docPr id="12" name="Picture 12" descr="MFA FIN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FA FINLAND"/>
                    <pic:cNvPicPr>
                      <a:picLocks noChangeAspect="1"/>
                    </pic:cNvPicPr>
                  </pic:nvPicPr>
                  <pic:blipFill>
                    <a:blip r:embed="rId12"/>
                    <a:stretch>
                      <a:fillRect/>
                    </a:stretch>
                  </pic:blipFill>
                  <pic:spPr>
                    <a:xfrm>
                      <a:off x="0" y="0"/>
                      <a:ext cx="777875" cy="728345"/>
                    </a:xfrm>
                    <a:prstGeom prst="rect">
                      <a:avLst/>
                    </a:prstGeom>
                  </pic:spPr>
                </pic:pic>
              </a:graphicData>
            </a:graphic>
          </wp:inline>
        </w:drawing>
      </w:r>
    </w:p>
    <w:p w14:paraId="14BB7A74" w14:textId="77777777" w:rsidR="00622BC0" w:rsidRDefault="00622BC0">
      <w:pPr>
        <w:widowControl w:val="0"/>
        <w:autoSpaceDE w:val="0"/>
        <w:autoSpaceDN w:val="0"/>
        <w:adjustRightInd w:val="0"/>
        <w:spacing w:after="120"/>
        <w:ind w:left="1134" w:right="1128" w:hanging="1134"/>
        <w:jc w:val="center"/>
        <w:rPr>
          <w:rFonts w:ascii="Cambria" w:hAnsi="Cambria" w:cs="Cambria"/>
          <w:lang w:val="en-GB"/>
        </w:rPr>
      </w:pPr>
    </w:p>
    <w:p w14:paraId="77556D75" w14:textId="77777777" w:rsidR="00622BC0" w:rsidRDefault="00622BC0">
      <w:pPr>
        <w:widowControl w:val="0"/>
        <w:autoSpaceDE w:val="0"/>
        <w:autoSpaceDN w:val="0"/>
        <w:adjustRightInd w:val="0"/>
        <w:spacing w:after="120"/>
        <w:ind w:left="1134" w:right="1128" w:hanging="1134"/>
        <w:jc w:val="center"/>
        <w:rPr>
          <w:rFonts w:ascii="Cambria" w:hAnsi="Cambria" w:cs="Cambria"/>
          <w:lang w:val="en-GB"/>
        </w:rPr>
      </w:pPr>
    </w:p>
    <w:p w14:paraId="23551FFC" w14:textId="77777777" w:rsidR="00622BC0" w:rsidRDefault="00826C5A">
      <w:pPr>
        <w:rPr>
          <w:rFonts w:ascii="Cambria" w:hAnsi="Cambria" w:cs="Cambria"/>
          <w:lang w:val="en-GB"/>
        </w:rPr>
      </w:pPr>
      <w:r>
        <w:rPr>
          <w:rFonts w:ascii="Cambria" w:hAnsi="Cambria" w:cs="Cambria"/>
          <w:lang w:val="en-GB"/>
        </w:rPr>
        <w:br w:type="page"/>
      </w:r>
    </w:p>
    <w:p w14:paraId="13B8D167" w14:textId="77777777" w:rsidR="00622BC0" w:rsidRDefault="00826C5A">
      <w:pPr>
        <w:widowControl w:val="0"/>
        <w:autoSpaceDE w:val="0"/>
        <w:autoSpaceDN w:val="0"/>
        <w:adjustRightInd w:val="0"/>
        <w:spacing w:after="200"/>
        <w:ind w:right="-6"/>
        <w:rPr>
          <w:rFonts w:ascii="Cambria" w:hAnsi="Cambria" w:cs="Cambria"/>
          <w:lang w:val="en-GB"/>
        </w:rPr>
      </w:pPr>
      <w:r>
        <w:rPr>
          <w:rFonts w:ascii="Cambria" w:hAnsi="Cambria" w:cs="Cambria"/>
          <w:lang w:val="en-GB"/>
        </w:rPr>
        <w:lastRenderedPageBreak/>
        <w:t>The 2020 Baseline Report</w:t>
      </w:r>
    </w:p>
    <w:p w14:paraId="34462181" w14:textId="77777777" w:rsidR="00622BC0" w:rsidRDefault="00826C5A">
      <w:pPr>
        <w:widowControl w:val="0"/>
        <w:autoSpaceDE w:val="0"/>
        <w:autoSpaceDN w:val="0"/>
        <w:adjustRightInd w:val="0"/>
        <w:spacing w:after="200"/>
        <w:ind w:right="-6"/>
        <w:rPr>
          <w:rFonts w:ascii="Cambria" w:hAnsi="Cambria" w:cs="Cambria"/>
          <w:lang w:val="en-GB"/>
        </w:rPr>
      </w:pPr>
      <w:r>
        <w:rPr>
          <w:rFonts w:ascii="Cambria" w:hAnsi="Cambria" w:cs="Cambria"/>
          <w:lang w:val="en-GB"/>
        </w:rPr>
        <w:t>The Rights of Persons with Disabilities</w:t>
      </w:r>
    </w:p>
    <w:p w14:paraId="0180177A" w14:textId="77777777" w:rsidR="00622BC0" w:rsidRDefault="00826C5A">
      <w:pPr>
        <w:widowControl w:val="0"/>
        <w:autoSpaceDE w:val="0"/>
        <w:autoSpaceDN w:val="0"/>
        <w:adjustRightInd w:val="0"/>
        <w:spacing w:after="200"/>
        <w:ind w:right="-6"/>
        <w:rPr>
          <w:rFonts w:ascii="Cambria" w:hAnsi="Cambria" w:cs="Cambria"/>
          <w:lang w:val="en-GB"/>
        </w:rPr>
      </w:pPr>
      <w:r>
        <w:rPr>
          <w:rFonts w:ascii="Cambria" w:hAnsi="Cambria" w:cs="Cambria"/>
          <w:lang w:val="en-GB"/>
        </w:rPr>
        <w:t>The Implementation of SDGs and CRPD in ASEAN Countries</w:t>
      </w:r>
    </w:p>
    <w:p w14:paraId="2A114CFB" w14:textId="77777777" w:rsidR="00622BC0" w:rsidRDefault="00622BC0">
      <w:pPr>
        <w:widowControl w:val="0"/>
        <w:autoSpaceDE w:val="0"/>
        <w:autoSpaceDN w:val="0"/>
        <w:adjustRightInd w:val="0"/>
        <w:spacing w:after="200"/>
        <w:ind w:right="-6"/>
        <w:rPr>
          <w:rFonts w:ascii="Cambria" w:hAnsi="Cambria" w:cs="Cambria"/>
          <w:lang w:val="en-GB"/>
        </w:rPr>
      </w:pPr>
    </w:p>
    <w:p w14:paraId="74C312B9" w14:textId="77777777" w:rsidR="00622BC0" w:rsidRDefault="00826C5A">
      <w:pPr>
        <w:widowControl w:val="0"/>
        <w:autoSpaceDE w:val="0"/>
        <w:autoSpaceDN w:val="0"/>
        <w:adjustRightInd w:val="0"/>
        <w:spacing w:after="200"/>
        <w:ind w:right="-6"/>
        <w:rPr>
          <w:rFonts w:ascii="Cambria" w:hAnsi="Cambria" w:cs="Cambria"/>
          <w:lang w:val="en-GB"/>
        </w:rPr>
      </w:pPr>
      <w:r>
        <w:rPr>
          <w:rFonts w:ascii="Cambria" w:hAnsi="Cambria" w:cs="Cambria"/>
          <w:lang w:val="en-GB"/>
        </w:rPr>
        <w:t>Authors</w:t>
      </w:r>
      <w:r>
        <w:rPr>
          <w:rFonts w:ascii="Cambria" w:hAnsi="Cambria" w:cs="Cambria"/>
          <w:lang w:val="en-GB"/>
        </w:rPr>
        <w:tab/>
      </w:r>
      <w:r>
        <w:rPr>
          <w:rFonts w:ascii="Cambria" w:hAnsi="Cambria" w:cs="Cambria"/>
          <w:lang w:val="en-GB"/>
        </w:rPr>
        <w:tab/>
        <w:t xml:space="preserve">Mimi M. </w:t>
      </w:r>
      <w:proofErr w:type="spellStart"/>
      <w:r>
        <w:rPr>
          <w:rFonts w:ascii="Cambria" w:hAnsi="Cambria" w:cs="Cambria"/>
          <w:lang w:val="en-GB"/>
        </w:rPr>
        <w:t>Lusli</w:t>
      </w:r>
      <w:proofErr w:type="spellEnd"/>
    </w:p>
    <w:p w14:paraId="7AB22ADE" w14:textId="77777777" w:rsidR="00622BC0" w:rsidRDefault="00826C5A">
      <w:pPr>
        <w:widowControl w:val="0"/>
        <w:autoSpaceDE w:val="0"/>
        <w:autoSpaceDN w:val="0"/>
        <w:adjustRightInd w:val="0"/>
        <w:spacing w:after="200"/>
        <w:ind w:left="1440" w:right="-6" w:firstLine="720"/>
        <w:rPr>
          <w:rFonts w:ascii="Cambria" w:hAnsi="Cambria" w:cs="Cambria"/>
          <w:lang w:val="en-GB"/>
        </w:rPr>
      </w:pPr>
      <w:proofErr w:type="spellStart"/>
      <w:r>
        <w:rPr>
          <w:rFonts w:ascii="Cambria" w:hAnsi="Cambria" w:cs="Cambria"/>
          <w:lang w:val="en-GB"/>
        </w:rPr>
        <w:t>Fikri</w:t>
      </w:r>
      <w:proofErr w:type="spellEnd"/>
      <w:r>
        <w:rPr>
          <w:rFonts w:ascii="Cambria" w:hAnsi="Cambria" w:cs="Cambria"/>
          <w:lang w:val="en-GB"/>
        </w:rPr>
        <w:t xml:space="preserve"> Abdullah</w:t>
      </w:r>
    </w:p>
    <w:p w14:paraId="20237F36" w14:textId="77777777" w:rsidR="00622BC0" w:rsidRDefault="00826C5A">
      <w:pPr>
        <w:widowControl w:val="0"/>
        <w:autoSpaceDE w:val="0"/>
        <w:autoSpaceDN w:val="0"/>
        <w:adjustRightInd w:val="0"/>
        <w:spacing w:after="200"/>
        <w:ind w:left="1440" w:right="-6" w:firstLine="720"/>
        <w:rPr>
          <w:rFonts w:ascii="Cambria" w:hAnsi="Cambria" w:cs="Cambria"/>
          <w:lang w:val="en-GB"/>
        </w:rPr>
      </w:pPr>
      <w:r>
        <w:rPr>
          <w:rFonts w:ascii="Cambria" w:hAnsi="Cambria" w:cs="Cambria"/>
          <w:lang w:val="en-GB"/>
        </w:rPr>
        <w:t>Della L. Leonor</w:t>
      </w:r>
    </w:p>
    <w:p w14:paraId="0CD3F823" w14:textId="77777777" w:rsidR="00622BC0" w:rsidRDefault="00826C5A">
      <w:pPr>
        <w:widowControl w:val="0"/>
        <w:autoSpaceDE w:val="0"/>
        <w:autoSpaceDN w:val="0"/>
        <w:adjustRightInd w:val="0"/>
        <w:spacing w:after="200"/>
        <w:ind w:left="1440" w:right="-6" w:firstLine="720"/>
        <w:rPr>
          <w:rFonts w:ascii="Cambria" w:hAnsi="Cambria" w:cs="Cambria"/>
          <w:lang w:val="en-GB"/>
        </w:rPr>
      </w:pPr>
      <w:r>
        <w:rPr>
          <w:rFonts w:ascii="Cambria" w:hAnsi="Cambria" w:cs="Cambria"/>
          <w:lang w:val="en-GB"/>
        </w:rPr>
        <w:t>Lim Chao Thong</w:t>
      </w:r>
    </w:p>
    <w:p w14:paraId="3AE30F10" w14:textId="77777777" w:rsidR="00622BC0" w:rsidRDefault="00826C5A">
      <w:pPr>
        <w:widowControl w:val="0"/>
        <w:autoSpaceDE w:val="0"/>
        <w:autoSpaceDN w:val="0"/>
        <w:adjustRightInd w:val="0"/>
        <w:spacing w:after="200"/>
        <w:ind w:left="1440" w:right="-6" w:firstLine="720"/>
        <w:rPr>
          <w:rFonts w:ascii="Cambria" w:hAnsi="Cambria" w:cs="Cambria"/>
          <w:lang w:val="en-GB"/>
        </w:rPr>
      </w:pPr>
      <w:r>
        <w:rPr>
          <w:rFonts w:ascii="Cambria" w:hAnsi="Cambria" w:cs="Cambria"/>
          <w:lang w:val="en-GB"/>
        </w:rPr>
        <w:t xml:space="preserve">Vu Ngoc </w:t>
      </w:r>
      <w:proofErr w:type="spellStart"/>
      <w:r>
        <w:rPr>
          <w:rFonts w:ascii="Cambria" w:hAnsi="Cambria" w:cs="Cambria"/>
          <w:lang w:val="en-GB"/>
        </w:rPr>
        <w:t>Binh</w:t>
      </w:r>
      <w:proofErr w:type="spellEnd"/>
    </w:p>
    <w:p w14:paraId="33C5A311" w14:textId="77777777" w:rsidR="00622BC0" w:rsidRDefault="00826C5A">
      <w:pPr>
        <w:widowControl w:val="0"/>
        <w:autoSpaceDE w:val="0"/>
        <w:autoSpaceDN w:val="0"/>
        <w:adjustRightInd w:val="0"/>
        <w:spacing w:after="200"/>
        <w:ind w:left="1440" w:right="-6" w:firstLine="720"/>
        <w:rPr>
          <w:rFonts w:ascii="Cambria" w:hAnsi="Cambria" w:cs="Cambria"/>
          <w:lang w:val="en-GB"/>
        </w:rPr>
      </w:pPr>
      <w:proofErr w:type="spellStart"/>
      <w:r>
        <w:rPr>
          <w:rFonts w:ascii="Cambria" w:hAnsi="Cambria" w:cs="Cambria"/>
          <w:lang w:val="en-GB"/>
        </w:rPr>
        <w:t>Nantanoot</w:t>
      </w:r>
      <w:proofErr w:type="spellEnd"/>
      <w:r>
        <w:rPr>
          <w:rFonts w:ascii="Cambria" w:hAnsi="Cambria" w:cs="Cambria"/>
          <w:lang w:val="en-GB"/>
        </w:rPr>
        <w:t xml:space="preserve"> </w:t>
      </w:r>
      <w:proofErr w:type="spellStart"/>
      <w:r>
        <w:rPr>
          <w:rFonts w:ascii="Cambria" w:hAnsi="Cambria" w:cs="Cambria"/>
          <w:lang w:val="en-GB"/>
        </w:rPr>
        <w:t>Suwannawut</w:t>
      </w:r>
      <w:proofErr w:type="spellEnd"/>
    </w:p>
    <w:p w14:paraId="400D9D3D" w14:textId="77777777" w:rsidR="00622BC0" w:rsidRDefault="00826C5A">
      <w:pPr>
        <w:widowControl w:val="0"/>
        <w:autoSpaceDE w:val="0"/>
        <w:autoSpaceDN w:val="0"/>
        <w:adjustRightInd w:val="0"/>
        <w:spacing w:after="200"/>
        <w:ind w:left="1440" w:right="-6" w:firstLine="720"/>
        <w:rPr>
          <w:rFonts w:ascii="Cambria" w:hAnsi="Cambria" w:cs="Cambria"/>
          <w:lang w:val="en-GB"/>
        </w:rPr>
      </w:pPr>
      <w:r>
        <w:rPr>
          <w:rFonts w:ascii="Cambria" w:hAnsi="Cambria" w:cs="Cambria"/>
          <w:lang w:val="en-GB"/>
        </w:rPr>
        <w:t xml:space="preserve">Wike Devi </w:t>
      </w:r>
      <w:proofErr w:type="spellStart"/>
      <w:r>
        <w:rPr>
          <w:rFonts w:ascii="Cambria" w:hAnsi="Cambria" w:cs="Cambria"/>
          <w:lang w:val="en-GB"/>
        </w:rPr>
        <w:t>Erianti</w:t>
      </w:r>
      <w:proofErr w:type="spellEnd"/>
    </w:p>
    <w:p w14:paraId="655613BC" w14:textId="77777777" w:rsidR="00622BC0" w:rsidRDefault="00826C5A">
      <w:pPr>
        <w:widowControl w:val="0"/>
        <w:autoSpaceDE w:val="0"/>
        <w:autoSpaceDN w:val="0"/>
        <w:adjustRightInd w:val="0"/>
        <w:spacing w:after="200"/>
        <w:ind w:right="-6"/>
        <w:rPr>
          <w:rFonts w:ascii="Cambria" w:hAnsi="Cambria" w:cs="Cambria"/>
          <w:lang w:val="en-GB"/>
        </w:rPr>
      </w:pPr>
      <w:r>
        <w:rPr>
          <w:rFonts w:ascii="Cambria" w:hAnsi="Cambria" w:cs="Cambria"/>
          <w:lang w:val="en-GB"/>
        </w:rPr>
        <w:t>Editor</w:t>
      </w:r>
      <w:r>
        <w:rPr>
          <w:rFonts w:ascii="Cambria" w:hAnsi="Cambria" w:cs="Cambria"/>
          <w:lang w:val="en-GB"/>
        </w:rPr>
        <w:tab/>
      </w:r>
      <w:r>
        <w:rPr>
          <w:rFonts w:ascii="Cambria" w:hAnsi="Cambria" w:cs="Cambria"/>
          <w:lang w:val="en-GB"/>
        </w:rPr>
        <w:tab/>
      </w:r>
      <w:r>
        <w:rPr>
          <w:rFonts w:ascii="Cambria" w:hAnsi="Cambria" w:cs="Cambria"/>
          <w:lang w:val="en-GB"/>
        </w:rPr>
        <w:tab/>
      </w:r>
      <w:proofErr w:type="spellStart"/>
      <w:r>
        <w:rPr>
          <w:rFonts w:ascii="Cambria" w:hAnsi="Cambria" w:cs="Cambria"/>
          <w:lang w:val="en-GB"/>
        </w:rPr>
        <w:t>Maulani</w:t>
      </w:r>
      <w:proofErr w:type="spellEnd"/>
      <w:r>
        <w:rPr>
          <w:rFonts w:ascii="Cambria" w:hAnsi="Cambria" w:cs="Cambria"/>
          <w:lang w:val="en-GB"/>
        </w:rPr>
        <w:t xml:space="preserve"> A. </w:t>
      </w:r>
      <w:proofErr w:type="spellStart"/>
      <w:r>
        <w:rPr>
          <w:rFonts w:ascii="Cambria" w:hAnsi="Cambria" w:cs="Cambria"/>
          <w:lang w:val="en-GB"/>
        </w:rPr>
        <w:t>Rotinsulu</w:t>
      </w:r>
      <w:proofErr w:type="spellEnd"/>
    </w:p>
    <w:p w14:paraId="324006B0" w14:textId="77777777" w:rsidR="00622BC0" w:rsidRDefault="00622BC0">
      <w:pPr>
        <w:widowControl w:val="0"/>
        <w:autoSpaceDE w:val="0"/>
        <w:autoSpaceDN w:val="0"/>
        <w:adjustRightInd w:val="0"/>
        <w:spacing w:after="200"/>
        <w:ind w:left="840" w:right="-6" w:firstLine="420"/>
        <w:rPr>
          <w:rFonts w:ascii="Cambria" w:hAnsi="Cambria" w:cs="Cambria"/>
          <w:lang w:val="en-GB"/>
        </w:rPr>
      </w:pPr>
    </w:p>
    <w:p w14:paraId="5D4D5D49" w14:textId="77777777" w:rsidR="00622BC0" w:rsidRDefault="00622BC0">
      <w:pPr>
        <w:widowControl w:val="0"/>
        <w:autoSpaceDE w:val="0"/>
        <w:autoSpaceDN w:val="0"/>
        <w:adjustRightInd w:val="0"/>
        <w:spacing w:after="200"/>
        <w:ind w:right="-6"/>
        <w:rPr>
          <w:rFonts w:ascii="Cambria" w:hAnsi="Cambria" w:cs="Cambria"/>
          <w:lang w:val="en-GB"/>
        </w:rPr>
      </w:pPr>
    </w:p>
    <w:p w14:paraId="7C00A111" w14:textId="77777777" w:rsidR="00622BC0" w:rsidRDefault="00826C5A">
      <w:pPr>
        <w:widowControl w:val="0"/>
        <w:autoSpaceDE w:val="0"/>
        <w:autoSpaceDN w:val="0"/>
        <w:adjustRightInd w:val="0"/>
        <w:spacing w:after="200"/>
        <w:ind w:right="-6"/>
        <w:rPr>
          <w:rFonts w:ascii="Cambria" w:hAnsi="Cambria" w:cs="Cambria"/>
          <w:lang w:val="en-GB"/>
        </w:rPr>
      </w:pPr>
      <w:r>
        <w:rPr>
          <w:rFonts w:ascii="Cambria" w:hAnsi="Cambria" w:cs="Cambria"/>
          <w:lang w:val="en-GB"/>
        </w:rPr>
        <w:t>Copyright © 2010 by ASEAN Disability Forum</w:t>
      </w:r>
    </w:p>
    <w:p w14:paraId="3F300A6D"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All rights reserved. No part of this publication may be reproduced, distributed, or transmitted in any form or by any means, including photocopying, recording, or other electronic or mechanical methods, without the prior written permission of the publisher, except in the case of brief quotations embodied in critical reviews and certain other non-commercial uses permitted by copyright law. For permission requests, write to the publisher, addressed “Attention: Permissions,” at the address below.</w:t>
      </w:r>
    </w:p>
    <w:p w14:paraId="310CDE2D" w14:textId="77777777" w:rsidR="00622BC0" w:rsidRDefault="00826C5A">
      <w:pPr>
        <w:widowControl w:val="0"/>
        <w:autoSpaceDE w:val="0"/>
        <w:autoSpaceDN w:val="0"/>
        <w:adjustRightInd w:val="0"/>
        <w:spacing w:after="200"/>
        <w:ind w:right="-6"/>
        <w:rPr>
          <w:rFonts w:ascii="Cambria" w:hAnsi="Cambria" w:cs="Cambria"/>
          <w:lang w:val="en-GB"/>
        </w:rPr>
      </w:pPr>
      <w:r>
        <w:rPr>
          <w:rFonts w:ascii="Cambria" w:hAnsi="Cambria" w:cs="Cambria"/>
          <w:lang w:val="en-GB"/>
        </w:rPr>
        <w:t>ASEAN Disability Forum</w:t>
      </w:r>
    </w:p>
    <w:p w14:paraId="55B4315F" w14:textId="77777777" w:rsidR="00622BC0" w:rsidRDefault="00826C5A">
      <w:pPr>
        <w:widowControl w:val="0"/>
        <w:autoSpaceDE w:val="0"/>
        <w:autoSpaceDN w:val="0"/>
        <w:adjustRightInd w:val="0"/>
        <w:spacing w:after="200"/>
        <w:ind w:right="-6"/>
        <w:rPr>
          <w:rFonts w:ascii="Cambria" w:hAnsi="Cambria" w:cs="Cambria"/>
          <w:lang w:val="en-GB"/>
        </w:rPr>
      </w:pPr>
      <w:proofErr w:type="spellStart"/>
      <w:r>
        <w:rPr>
          <w:rFonts w:ascii="Cambria" w:hAnsi="Cambria" w:cs="Cambria"/>
          <w:lang w:val="en-GB"/>
        </w:rPr>
        <w:t>Menteng</w:t>
      </w:r>
      <w:proofErr w:type="spellEnd"/>
      <w:r>
        <w:rPr>
          <w:rFonts w:ascii="Cambria" w:hAnsi="Cambria" w:cs="Cambria"/>
          <w:lang w:val="en-GB"/>
        </w:rPr>
        <w:t xml:space="preserve"> Square Office &amp; Apartment Tower A Lt. 2 Unit AR-01,</w:t>
      </w:r>
    </w:p>
    <w:p w14:paraId="7CD6FF38" w14:textId="77777777" w:rsidR="00622BC0" w:rsidRDefault="00826C5A">
      <w:pPr>
        <w:widowControl w:val="0"/>
        <w:autoSpaceDE w:val="0"/>
        <w:autoSpaceDN w:val="0"/>
        <w:adjustRightInd w:val="0"/>
        <w:spacing w:after="200"/>
        <w:ind w:right="-6"/>
        <w:rPr>
          <w:rFonts w:ascii="Cambria" w:hAnsi="Cambria" w:cs="Cambria"/>
          <w:lang w:val="en-GB"/>
        </w:rPr>
      </w:pPr>
      <w:r>
        <w:rPr>
          <w:rFonts w:ascii="Cambria" w:hAnsi="Cambria" w:cs="Cambria"/>
          <w:lang w:val="en-GB"/>
        </w:rPr>
        <w:t xml:space="preserve">Jl. </w:t>
      </w:r>
      <w:proofErr w:type="spellStart"/>
      <w:r>
        <w:rPr>
          <w:rFonts w:ascii="Cambria" w:hAnsi="Cambria" w:cs="Cambria"/>
          <w:lang w:val="en-GB"/>
        </w:rPr>
        <w:t>Matraman</w:t>
      </w:r>
      <w:proofErr w:type="spellEnd"/>
      <w:r>
        <w:rPr>
          <w:rFonts w:ascii="Cambria" w:hAnsi="Cambria" w:cs="Cambria"/>
          <w:lang w:val="en-GB"/>
        </w:rPr>
        <w:t xml:space="preserve"> Raya No. 30E </w:t>
      </w:r>
      <w:proofErr w:type="spellStart"/>
      <w:r>
        <w:rPr>
          <w:rFonts w:ascii="Cambria" w:hAnsi="Cambria" w:cs="Cambria"/>
          <w:lang w:val="en-GB"/>
        </w:rPr>
        <w:t>Menteng</w:t>
      </w:r>
      <w:proofErr w:type="spellEnd"/>
      <w:r>
        <w:rPr>
          <w:rFonts w:ascii="Cambria" w:hAnsi="Cambria" w:cs="Cambria"/>
          <w:lang w:val="en-GB"/>
        </w:rPr>
        <w:t xml:space="preserve">, Jakarta Pusat - Indonesia </w:t>
      </w:r>
    </w:p>
    <w:p w14:paraId="5F0A1542" w14:textId="77777777" w:rsidR="00622BC0" w:rsidRDefault="00826C5A">
      <w:pPr>
        <w:widowControl w:val="0"/>
        <w:autoSpaceDE w:val="0"/>
        <w:autoSpaceDN w:val="0"/>
        <w:adjustRightInd w:val="0"/>
        <w:spacing w:after="200"/>
        <w:ind w:right="-6"/>
        <w:rPr>
          <w:rFonts w:ascii="Cambria" w:hAnsi="Cambria" w:cs="Cambria"/>
          <w:lang w:val="en-GB"/>
        </w:rPr>
      </w:pPr>
      <w:r>
        <w:rPr>
          <w:rFonts w:ascii="Cambria" w:hAnsi="Cambria" w:cs="Cambria"/>
          <w:lang w:val="en-GB"/>
        </w:rPr>
        <w:t xml:space="preserve">Email: </w:t>
      </w:r>
      <w:hyperlink r:id="rId13" w:history="1">
        <w:r>
          <w:rPr>
            <w:rFonts w:ascii="Cambria" w:hAnsi="Cambria" w:cs="Cambria"/>
            <w:color w:val="0000FF"/>
            <w:u w:val="single" w:color="0000FF"/>
            <w:lang w:val="en-GB"/>
          </w:rPr>
          <w:t>secretariat@aseandisabilityforum.org</w:t>
        </w:r>
      </w:hyperlink>
      <w:r>
        <w:rPr>
          <w:rFonts w:ascii="Cambria" w:hAnsi="Cambria" w:cs="Cambria"/>
          <w:lang w:val="en-GB"/>
        </w:rPr>
        <w:t xml:space="preserve">, </w:t>
      </w:r>
      <w:hyperlink r:id="rId14" w:history="1">
        <w:r>
          <w:rPr>
            <w:rFonts w:ascii="Cambria" w:hAnsi="Cambria" w:cs="Cambria"/>
            <w:color w:val="0000FF"/>
            <w:u w:val="single" w:color="0000FF"/>
            <w:lang w:val="en-GB"/>
          </w:rPr>
          <w:t>adfsecretariat9@gmail.com</w:t>
        </w:r>
      </w:hyperlink>
      <w:r>
        <w:rPr>
          <w:rFonts w:ascii="Cambria" w:hAnsi="Cambria" w:cs="Cambria"/>
          <w:lang w:val="en-GB"/>
        </w:rPr>
        <w:t xml:space="preserve"> </w:t>
      </w:r>
    </w:p>
    <w:p w14:paraId="20DE6004" w14:textId="77777777" w:rsidR="00622BC0" w:rsidRDefault="00826C5A">
      <w:pPr>
        <w:widowControl w:val="0"/>
        <w:autoSpaceDE w:val="0"/>
        <w:autoSpaceDN w:val="0"/>
        <w:adjustRightInd w:val="0"/>
        <w:ind w:right="-6"/>
        <w:jc w:val="both"/>
        <w:rPr>
          <w:rFonts w:ascii="Cambria" w:hAnsi="Cambria" w:cs="Cambria"/>
          <w:color w:val="0000FF"/>
          <w:u w:val="single" w:color="0000FF"/>
          <w:lang w:val="en-GB"/>
        </w:rPr>
      </w:pPr>
      <w:r>
        <w:rPr>
          <w:rFonts w:ascii="Cambria" w:hAnsi="Cambria" w:cs="Cambria"/>
          <w:lang w:val="en-GB"/>
        </w:rPr>
        <w:t xml:space="preserve">Website: </w:t>
      </w:r>
      <w:hyperlink r:id="rId15" w:history="1">
        <w:r>
          <w:rPr>
            <w:rFonts w:ascii="Cambria" w:hAnsi="Cambria" w:cs="Cambria"/>
            <w:color w:val="0000FF"/>
            <w:u w:val="single" w:color="0000FF"/>
            <w:lang w:val="en-GB"/>
          </w:rPr>
          <w:t>www.aseandisabilityforum.com</w:t>
        </w:r>
      </w:hyperlink>
      <w:r>
        <w:rPr>
          <w:rFonts w:ascii="Cambria" w:hAnsi="Cambria" w:cs="Cambria"/>
          <w:lang w:val="en-GB"/>
        </w:rPr>
        <w:t xml:space="preserve">, </w:t>
      </w:r>
      <w:hyperlink r:id="rId16" w:history="1">
        <w:r>
          <w:rPr>
            <w:rFonts w:ascii="Cambria" w:hAnsi="Cambria" w:cs="Cambria"/>
            <w:color w:val="0000FF"/>
            <w:u w:val="single" w:color="0000FF"/>
            <w:lang w:val="en-GB"/>
          </w:rPr>
          <w:t>www.aseandisabilityforum.org</w:t>
        </w:r>
      </w:hyperlink>
    </w:p>
    <w:p w14:paraId="0E164788" w14:textId="77777777" w:rsidR="00622BC0" w:rsidRDefault="00826C5A">
      <w:pPr>
        <w:rPr>
          <w:rFonts w:ascii="Cambria" w:hAnsi="Cambria" w:cs="Cambria"/>
          <w:color w:val="0000FF"/>
          <w:u w:val="single" w:color="0000FF"/>
          <w:lang w:val="en-GB"/>
        </w:rPr>
      </w:pPr>
      <w:r>
        <w:rPr>
          <w:rFonts w:ascii="Cambria" w:hAnsi="Cambria" w:cs="Cambria"/>
          <w:color w:val="0000FF"/>
          <w:u w:val="single" w:color="0000FF"/>
          <w:lang w:val="en-GB"/>
        </w:rPr>
        <w:br w:type="page"/>
      </w:r>
    </w:p>
    <w:p w14:paraId="07C2EA3A" w14:textId="77777777" w:rsidR="00622BC0" w:rsidRDefault="00826C5A">
      <w:pPr>
        <w:widowControl w:val="0"/>
        <w:autoSpaceDE w:val="0"/>
        <w:autoSpaceDN w:val="0"/>
        <w:adjustRightInd w:val="0"/>
        <w:ind w:right="-6"/>
        <w:jc w:val="center"/>
        <w:rPr>
          <w:rFonts w:ascii="Cambria" w:hAnsi="Cambria" w:cs="Cambria"/>
          <w:lang w:val="en-GB"/>
        </w:rPr>
      </w:pPr>
      <w:r>
        <w:rPr>
          <w:rFonts w:ascii="Cambria" w:hAnsi="Cambria" w:cs="Cambria"/>
          <w:lang w:val="en-GB"/>
        </w:rPr>
        <w:lastRenderedPageBreak/>
        <w:t>Table of Contents</w:t>
      </w:r>
    </w:p>
    <w:p w14:paraId="224D6700" w14:textId="77777777" w:rsidR="00622BC0" w:rsidRDefault="00622BC0">
      <w:pPr>
        <w:widowControl w:val="0"/>
        <w:autoSpaceDE w:val="0"/>
        <w:autoSpaceDN w:val="0"/>
        <w:adjustRightInd w:val="0"/>
        <w:ind w:right="-6"/>
        <w:jc w:val="center"/>
        <w:rPr>
          <w:rFonts w:ascii="Cambria" w:hAnsi="Cambria" w:cs="Cambria"/>
          <w:lang w:val="en-GB"/>
        </w:rPr>
      </w:pPr>
    </w:p>
    <w:p w14:paraId="0E751D21" w14:textId="77777777" w:rsidR="00622BC0" w:rsidRDefault="00622BC0">
      <w:pPr>
        <w:widowControl w:val="0"/>
        <w:autoSpaceDE w:val="0"/>
        <w:autoSpaceDN w:val="0"/>
        <w:adjustRightInd w:val="0"/>
        <w:ind w:right="-6"/>
        <w:jc w:val="center"/>
        <w:rPr>
          <w:rFonts w:ascii="Cambria" w:hAnsi="Cambria" w:cs="Cambria"/>
          <w:lang w:val="en-GB"/>
        </w:rPr>
      </w:pPr>
    </w:p>
    <w:p w14:paraId="3DEB4252" w14:textId="77777777" w:rsidR="00622BC0" w:rsidRDefault="00622BC0">
      <w:pPr>
        <w:widowControl w:val="0"/>
        <w:autoSpaceDE w:val="0"/>
        <w:autoSpaceDN w:val="0"/>
        <w:adjustRightInd w:val="0"/>
        <w:ind w:right="-6"/>
        <w:jc w:val="center"/>
        <w:rPr>
          <w:rFonts w:ascii="Cambria" w:hAnsi="Cambria" w:cs="Cambria"/>
          <w:lang w:val="en-GB"/>
        </w:rPr>
      </w:pPr>
    </w:p>
    <w:p w14:paraId="055C1AA3" w14:textId="557DD210" w:rsidR="00622BC0" w:rsidRDefault="0061782C">
      <w:pPr>
        <w:widowControl w:val="0"/>
        <w:tabs>
          <w:tab w:val="right" w:pos="8306"/>
        </w:tabs>
        <w:autoSpaceDE w:val="0"/>
        <w:autoSpaceDN w:val="0"/>
        <w:adjustRightInd w:val="0"/>
        <w:spacing w:after="200" w:line="276" w:lineRule="auto"/>
        <w:ind w:right="-6"/>
        <w:rPr>
          <w:rFonts w:ascii="Calibri" w:hAnsi="Calibri" w:cs="Calibri"/>
          <w:lang w:val="en-GB"/>
        </w:rPr>
      </w:pPr>
      <w:hyperlink r:id="rId17" w:history="1">
        <w:r w:rsidR="00826C5A">
          <w:rPr>
            <w:rFonts w:ascii="Cambria" w:hAnsi="Cambria" w:cs="Cambria"/>
            <w:lang w:val="en-GB"/>
          </w:rPr>
          <w:t>List of Tables</w:t>
        </w:r>
        <w:r w:rsidR="00826C5A">
          <w:rPr>
            <w:rFonts w:ascii="Calibri" w:hAnsi="Calibri" w:cs="Calibri"/>
            <w:lang w:val="en-GB"/>
          </w:rPr>
          <w:tab/>
          <w:t>iv</w:t>
        </w:r>
      </w:hyperlink>
    </w:p>
    <w:p w14:paraId="39768055" w14:textId="77777777" w:rsidR="00622BC0" w:rsidRDefault="0061782C">
      <w:pPr>
        <w:widowControl w:val="0"/>
        <w:tabs>
          <w:tab w:val="right" w:pos="8306"/>
        </w:tabs>
        <w:autoSpaceDE w:val="0"/>
        <w:autoSpaceDN w:val="0"/>
        <w:adjustRightInd w:val="0"/>
        <w:spacing w:after="200" w:line="276" w:lineRule="auto"/>
        <w:ind w:right="-6"/>
        <w:rPr>
          <w:rFonts w:ascii="Calibri" w:hAnsi="Calibri" w:cs="Calibri"/>
          <w:lang w:val="en-GB"/>
        </w:rPr>
      </w:pPr>
      <w:hyperlink r:id="rId18" w:history="1">
        <w:r w:rsidR="00826C5A">
          <w:rPr>
            <w:rFonts w:ascii="Cambria" w:hAnsi="Cambria" w:cs="Cambria"/>
            <w:lang w:val="en-GB"/>
          </w:rPr>
          <w:t>List of Figures</w:t>
        </w:r>
        <w:r w:rsidR="00826C5A">
          <w:rPr>
            <w:rFonts w:ascii="Calibri" w:hAnsi="Calibri" w:cs="Calibri"/>
            <w:lang w:val="en-GB"/>
          </w:rPr>
          <w:tab/>
          <w:t>vi</w:t>
        </w:r>
      </w:hyperlink>
    </w:p>
    <w:p w14:paraId="122621A9" w14:textId="77777777" w:rsidR="00622BC0" w:rsidRDefault="0061782C">
      <w:pPr>
        <w:widowControl w:val="0"/>
        <w:tabs>
          <w:tab w:val="right" w:pos="8306"/>
        </w:tabs>
        <w:autoSpaceDE w:val="0"/>
        <w:autoSpaceDN w:val="0"/>
        <w:adjustRightInd w:val="0"/>
        <w:spacing w:after="200" w:line="276" w:lineRule="auto"/>
        <w:ind w:right="-6"/>
        <w:rPr>
          <w:rFonts w:ascii="Calibri" w:hAnsi="Calibri" w:cs="Calibri"/>
          <w:lang w:val="en-GB"/>
        </w:rPr>
      </w:pPr>
      <w:hyperlink r:id="rId19" w:history="1">
        <w:r w:rsidR="00826C5A">
          <w:rPr>
            <w:rFonts w:ascii="Cambria" w:hAnsi="Cambria" w:cs="Cambria"/>
            <w:lang w:val="en-GB"/>
          </w:rPr>
          <w:t>Abbreviation</w:t>
        </w:r>
        <w:r w:rsidR="00826C5A">
          <w:rPr>
            <w:rFonts w:ascii="Calibri" w:hAnsi="Calibri" w:cs="Calibri"/>
            <w:lang w:val="en-GB"/>
          </w:rPr>
          <w:tab/>
          <w:t>vii</w:t>
        </w:r>
      </w:hyperlink>
    </w:p>
    <w:p w14:paraId="5BE60FA2" w14:textId="77777777" w:rsidR="00622BC0" w:rsidRDefault="0061782C">
      <w:pPr>
        <w:widowControl w:val="0"/>
        <w:tabs>
          <w:tab w:val="right" w:pos="8306"/>
        </w:tabs>
        <w:autoSpaceDE w:val="0"/>
        <w:autoSpaceDN w:val="0"/>
        <w:adjustRightInd w:val="0"/>
        <w:spacing w:after="200" w:line="276" w:lineRule="auto"/>
        <w:ind w:right="-6"/>
        <w:rPr>
          <w:rFonts w:ascii="Calibri" w:hAnsi="Calibri" w:cs="Calibri"/>
          <w:lang w:val="en-GB"/>
        </w:rPr>
      </w:pPr>
      <w:hyperlink r:id="rId20" w:history="1">
        <w:r w:rsidR="00826C5A">
          <w:rPr>
            <w:rFonts w:ascii="Cambria" w:hAnsi="Cambria" w:cs="Cambria"/>
            <w:lang w:val="en-GB"/>
          </w:rPr>
          <w:t>Foreword</w:t>
        </w:r>
        <w:r w:rsidR="00826C5A">
          <w:rPr>
            <w:rFonts w:ascii="Calibri" w:hAnsi="Calibri" w:cs="Calibri"/>
            <w:lang w:val="en-GB"/>
          </w:rPr>
          <w:tab/>
          <w:t>xv</w:t>
        </w:r>
      </w:hyperlink>
    </w:p>
    <w:p w14:paraId="23F29F62" w14:textId="77777777" w:rsidR="00622BC0" w:rsidRDefault="0061782C">
      <w:pPr>
        <w:widowControl w:val="0"/>
        <w:tabs>
          <w:tab w:val="right" w:pos="8306"/>
        </w:tabs>
        <w:autoSpaceDE w:val="0"/>
        <w:autoSpaceDN w:val="0"/>
        <w:adjustRightInd w:val="0"/>
        <w:spacing w:after="200" w:line="276" w:lineRule="auto"/>
        <w:ind w:right="-6"/>
        <w:rPr>
          <w:rFonts w:ascii="Calibri" w:hAnsi="Calibri" w:cs="Calibri"/>
          <w:lang w:val="en-GB"/>
        </w:rPr>
      </w:pPr>
      <w:hyperlink r:id="rId21" w:history="1">
        <w:r w:rsidR="00826C5A">
          <w:rPr>
            <w:rFonts w:ascii="Cambria" w:hAnsi="Cambria" w:cs="Cambria"/>
            <w:lang w:val="en-GB"/>
          </w:rPr>
          <w:t>Editor’s Note</w:t>
        </w:r>
        <w:r w:rsidR="00826C5A">
          <w:rPr>
            <w:rFonts w:ascii="Calibri" w:hAnsi="Calibri" w:cs="Calibri"/>
            <w:lang w:val="en-GB"/>
          </w:rPr>
          <w:tab/>
          <w:t>xvii</w:t>
        </w:r>
      </w:hyperlink>
    </w:p>
    <w:p w14:paraId="2DD92ACD" w14:textId="77777777" w:rsidR="00622BC0" w:rsidRDefault="0061782C">
      <w:pPr>
        <w:widowControl w:val="0"/>
        <w:tabs>
          <w:tab w:val="right" w:pos="8306"/>
        </w:tabs>
        <w:autoSpaceDE w:val="0"/>
        <w:autoSpaceDN w:val="0"/>
        <w:adjustRightInd w:val="0"/>
        <w:spacing w:after="200" w:line="276" w:lineRule="auto"/>
        <w:ind w:right="-6"/>
        <w:rPr>
          <w:rFonts w:ascii="Cambria" w:hAnsi="Cambria" w:cs="Cambria"/>
          <w:lang w:val="en-GB"/>
        </w:rPr>
      </w:pPr>
      <w:hyperlink r:id="rId22" w:history="1">
        <w:r w:rsidR="00826C5A">
          <w:rPr>
            <w:rFonts w:ascii="Cambria" w:hAnsi="Cambria" w:cs="Cambria"/>
            <w:lang w:val="en-GB"/>
          </w:rPr>
          <w:t>Chapter 1. Baseline Study: A Glimpse of CRPD and SDGs Implementation</w:t>
        </w:r>
      </w:hyperlink>
      <w:r w:rsidR="00826C5A">
        <w:rPr>
          <w:rFonts w:ascii="Cambria" w:hAnsi="Cambria" w:cs="Cambria"/>
          <w:lang w:val="en-GB"/>
        </w:rPr>
        <w:t xml:space="preserve"> </w:t>
      </w:r>
      <w:r w:rsidR="00826C5A">
        <w:rPr>
          <w:rFonts w:ascii="Cambria" w:hAnsi="Cambria" w:cs="Cambria"/>
          <w:lang w:val="en-GB"/>
        </w:rPr>
        <w:fldChar w:fldCharType="begin"/>
      </w:r>
      <w:r w:rsidR="00826C5A">
        <w:rPr>
          <w:rFonts w:ascii="Cambria" w:hAnsi="Cambria" w:cs="Cambria"/>
          <w:lang w:val="en-GB"/>
        </w:rPr>
        <w:instrText>HYPERLINK "C:\\Users\\KODIBARTH\\Dropbox\\JOBS and GIGS\\US Jobs\\US Temp jobs\\US JOURNALISM_TEMP\\IDA Consultancy\\202006_ASEAN\\l _Toc30540"</w:instrText>
      </w:r>
      <w:r w:rsidR="00826C5A">
        <w:rPr>
          <w:rFonts w:ascii="Cambria" w:hAnsi="Cambria" w:cs="Cambria"/>
          <w:lang w:val="en-GB"/>
        </w:rPr>
        <w:fldChar w:fldCharType="separate"/>
      </w:r>
      <w:r w:rsidR="00826C5A">
        <w:rPr>
          <w:rFonts w:ascii="Cambria" w:hAnsi="Cambria" w:cs="Cambria"/>
          <w:lang w:val="en-GB"/>
        </w:rPr>
        <w:t xml:space="preserve">in the Southeast Asian </w:t>
      </w:r>
    </w:p>
    <w:p w14:paraId="7F4BB6C9" w14:textId="77777777" w:rsidR="00622BC0" w:rsidRDefault="00826C5A">
      <w:pPr>
        <w:widowControl w:val="0"/>
        <w:tabs>
          <w:tab w:val="right" w:pos="8306"/>
        </w:tabs>
        <w:autoSpaceDE w:val="0"/>
        <w:autoSpaceDN w:val="0"/>
        <w:adjustRightInd w:val="0"/>
        <w:spacing w:after="200" w:line="276" w:lineRule="auto"/>
        <w:ind w:right="-6"/>
        <w:rPr>
          <w:rFonts w:ascii="Calibri" w:hAnsi="Calibri" w:cs="Calibri"/>
          <w:lang w:val="en-GB"/>
        </w:rPr>
      </w:pPr>
      <w:r>
        <w:rPr>
          <w:rFonts w:ascii="Cambria" w:hAnsi="Cambria" w:cs="Cambria"/>
          <w:lang w:val="en-GB"/>
        </w:rPr>
        <w:t>Countries</w:t>
      </w:r>
      <w:r>
        <w:rPr>
          <w:rFonts w:ascii="Calibri" w:hAnsi="Calibri" w:cs="Calibri"/>
          <w:lang w:val="en-GB"/>
        </w:rPr>
        <w:tab/>
        <w:t>1</w:t>
      </w:r>
      <w:r>
        <w:rPr>
          <w:rFonts w:ascii="Cambria" w:hAnsi="Cambria" w:cs="Cambria"/>
          <w:lang w:val="en-GB"/>
        </w:rPr>
        <w:fldChar w:fldCharType="end"/>
      </w:r>
    </w:p>
    <w:p w14:paraId="16B045B1" w14:textId="77777777" w:rsidR="00622BC0" w:rsidRDefault="0061782C">
      <w:pPr>
        <w:widowControl w:val="0"/>
        <w:tabs>
          <w:tab w:val="right" w:pos="8306"/>
        </w:tabs>
        <w:autoSpaceDE w:val="0"/>
        <w:autoSpaceDN w:val="0"/>
        <w:adjustRightInd w:val="0"/>
        <w:spacing w:after="200" w:line="276" w:lineRule="auto"/>
        <w:ind w:right="-6"/>
        <w:rPr>
          <w:rFonts w:ascii="Calibri" w:hAnsi="Calibri" w:cs="Calibri"/>
          <w:lang w:val="en-GB"/>
        </w:rPr>
      </w:pPr>
      <w:hyperlink r:id="rId23" w:history="1">
        <w:r w:rsidR="00826C5A">
          <w:rPr>
            <w:rFonts w:ascii="Cambria" w:hAnsi="Cambria" w:cs="Cambria"/>
            <w:lang w:val="en-GB"/>
          </w:rPr>
          <w:t>Chapter 2. Indonesia’s Experience on the SDGs and CRPD Implementation</w:t>
        </w:r>
        <w:r w:rsidR="00826C5A">
          <w:rPr>
            <w:rFonts w:ascii="Calibri" w:hAnsi="Calibri" w:cs="Calibri"/>
            <w:lang w:val="en-GB"/>
          </w:rPr>
          <w:tab/>
          <w:t>11</w:t>
        </w:r>
      </w:hyperlink>
    </w:p>
    <w:p w14:paraId="036E56C5" w14:textId="77777777" w:rsidR="00622BC0" w:rsidRDefault="0061782C">
      <w:pPr>
        <w:widowControl w:val="0"/>
        <w:tabs>
          <w:tab w:val="right" w:pos="8306"/>
        </w:tabs>
        <w:autoSpaceDE w:val="0"/>
        <w:autoSpaceDN w:val="0"/>
        <w:adjustRightInd w:val="0"/>
        <w:spacing w:after="200" w:line="276" w:lineRule="auto"/>
        <w:ind w:right="-6"/>
        <w:rPr>
          <w:rFonts w:ascii="Calibri" w:hAnsi="Calibri" w:cs="Calibri"/>
          <w:lang w:val="en-GB"/>
        </w:rPr>
      </w:pPr>
      <w:hyperlink r:id="rId24" w:history="1">
        <w:r w:rsidR="00826C5A">
          <w:rPr>
            <w:rFonts w:ascii="Cambria" w:hAnsi="Cambria" w:cs="Cambria"/>
            <w:lang w:val="en-GB"/>
          </w:rPr>
          <w:t>Chapter 3. Inclusive Development Policy in The Philippines</w:t>
        </w:r>
        <w:r w:rsidR="00826C5A">
          <w:rPr>
            <w:rFonts w:ascii="Calibri" w:hAnsi="Calibri" w:cs="Calibri"/>
            <w:lang w:val="en-GB"/>
          </w:rPr>
          <w:tab/>
          <w:t>41</w:t>
        </w:r>
      </w:hyperlink>
    </w:p>
    <w:p w14:paraId="3B037146" w14:textId="77777777" w:rsidR="00622BC0" w:rsidRDefault="0061782C">
      <w:pPr>
        <w:widowControl w:val="0"/>
        <w:tabs>
          <w:tab w:val="right" w:pos="8306"/>
        </w:tabs>
        <w:autoSpaceDE w:val="0"/>
        <w:autoSpaceDN w:val="0"/>
        <w:adjustRightInd w:val="0"/>
        <w:spacing w:after="200" w:line="276" w:lineRule="auto"/>
        <w:ind w:right="-6"/>
        <w:rPr>
          <w:rFonts w:ascii="Calibri" w:hAnsi="Calibri" w:cs="Calibri"/>
          <w:lang w:val="en-GB"/>
        </w:rPr>
      </w:pPr>
      <w:hyperlink r:id="rId25" w:history="1">
        <w:r w:rsidR="00826C5A">
          <w:rPr>
            <w:rFonts w:ascii="Cambria" w:hAnsi="Cambria" w:cs="Cambria"/>
            <w:lang w:val="en-GB"/>
          </w:rPr>
          <w:t>Chapter 4. Singapore’s Enabling Masterplan: No Persons with Disabilities Are Left Behind</w:t>
        </w:r>
        <w:r w:rsidR="00826C5A">
          <w:rPr>
            <w:rFonts w:ascii="Calibri" w:hAnsi="Calibri" w:cs="Calibri"/>
            <w:lang w:val="en-GB"/>
          </w:rPr>
          <w:tab/>
          <w:t>61</w:t>
        </w:r>
      </w:hyperlink>
    </w:p>
    <w:p w14:paraId="0E1D5CA1" w14:textId="77777777" w:rsidR="00622BC0" w:rsidRDefault="0061782C">
      <w:pPr>
        <w:widowControl w:val="0"/>
        <w:tabs>
          <w:tab w:val="right" w:pos="8306"/>
        </w:tabs>
        <w:autoSpaceDE w:val="0"/>
        <w:autoSpaceDN w:val="0"/>
        <w:adjustRightInd w:val="0"/>
        <w:spacing w:after="200" w:line="276" w:lineRule="auto"/>
        <w:ind w:right="-6"/>
        <w:rPr>
          <w:rFonts w:ascii="Calibri" w:hAnsi="Calibri" w:cs="Calibri"/>
          <w:lang w:val="en-GB"/>
        </w:rPr>
      </w:pPr>
      <w:hyperlink r:id="rId26" w:history="1">
        <w:r w:rsidR="00826C5A">
          <w:rPr>
            <w:rFonts w:ascii="Cambria" w:hAnsi="Cambria" w:cs="Cambria"/>
            <w:lang w:val="en-GB"/>
          </w:rPr>
          <w:t>Chapter 5. Challenges in Fulfilling the Rights of Persons with Disabilities in Viet Nam</w:t>
        </w:r>
        <w:r w:rsidR="00826C5A">
          <w:rPr>
            <w:rFonts w:ascii="Calibri" w:hAnsi="Calibri" w:cs="Calibri"/>
            <w:lang w:val="en-GB"/>
          </w:rPr>
          <w:tab/>
          <w:t>74</w:t>
        </w:r>
      </w:hyperlink>
    </w:p>
    <w:p w14:paraId="177749EF" w14:textId="77777777" w:rsidR="00622BC0" w:rsidRDefault="0061782C">
      <w:pPr>
        <w:widowControl w:val="0"/>
        <w:tabs>
          <w:tab w:val="right" w:pos="8306"/>
        </w:tabs>
        <w:autoSpaceDE w:val="0"/>
        <w:autoSpaceDN w:val="0"/>
        <w:adjustRightInd w:val="0"/>
        <w:spacing w:after="200" w:line="276" w:lineRule="auto"/>
        <w:ind w:right="-6"/>
        <w:rPr>
          <w:rFonts w:ascii="Calibri" w:hAnsi="Calibri" w:cs="Calibri"/>
          <w:lang w:val="en-GB"/>
        </w:rPr>
      </w:pPr>
      <w:hyperlink r:id="rId27" w:history="1">
        <w:r w:rsidR="00826C5A">
          <w:rPr>
            <w:rFonts w:ascii="Cambria" w:hAnsi="Cambria" w:cs="Cambria"/>
            <w:lang w:val="en-GB"/>
          </w:rPr>
          <w:t>Chapter 6. How Thailand Achieve 2030 Agenda for Persons with Disabilities?</w:t>
        </w:r>
        <w:r w:rsidR="00826C5A">
          <w:rPr>
            <w:rFonts w:ascii="Calibri" w:hAnsi="Calibri" w:cs="Calibri"/>
            <w:lang w:val="en-GB"/>
          </w:rPr>
          <w:tab/>
          <w:t>98</w:t>
        </w:r>
      </w:hyperlink>
    </w:p>
    <w:p w14:paraId="565C0733" w14:textId="77777777" w:rsidR="00622BC0" w:rsidRDefault="0061782C">
      <w:pPr>
        <w:widowControl w:val="0"/>
        <w:tabs>
          <w:tab w:val="right" w:pos="8306"/>
        </w:tabs>
        <w:autoSpaceDE w:val="0"/>
        <w:autoSpaceDN w:val="0"/>
        <w:adjustRightInd w:val="0"/>
        <w:spacing w:after="200" w:line="276" w:lineRule="auto"/>
        <w:ind w:right="-6"/>
        <w:rPr>
          <w:rFonts w:ascii="Calibri" w:hAnsi="Calibri" w:cs="Calibri"/>
          <w:lang w:val="en-GB"/>
        </w:rPr>
      </w:pPr>
      <w:hyperlink r:id="rId28" w:history="1">
        <w:r w:rsidR="00826C5A">
          <w:rPr>
            <w:rFonts w:ascii="Cambria" w:hAnsi="Cambria" w:cs="Cambria"/>
            <w:lang w:val="en-GB"/>
          </w:rPr>
          <w:t>Chapter 7. Way Forwards to the Established and Enhanced Protection of the Rights of Persons with Disabilities in ASEAN Countries</w:t>
        </w:r>
        <w:r w:rsidR="00826C5A">
          <w:rPr>
            <w:rFonts w:ascii="Calibri" w:hAnsi="Calibri" w:cs="Calibri"/>
            <w:lang w:val="en-GB"/>
          </w:rPr>
          <w:tab/>
          <w:t>119</w:t>
        </w:r>
      </w:hyperlink>
    </w:p>
    <w:p w14:paraId="238D2445" w14:textId="77777777" w:rsidR="00622BC0" w:rsidRDefault="0061782C">
      <w:pPr>
        <w:widowControl w:val="0"/>
        <w:tabs>
          <w:tab w:val="right" w:pos="8306"/>
        </w:tabs>
        <w:autoSpaceDE w:val="0"/>
        <w:autoSpaceDN w:val="0"/>
        <w:adjustRightInd w:val="0"/>
        <w:spacing w:after="200" w:line="276" w:lineRule="auto"/>
        <w:ind w:right="-6"/>
        <w:rPr>
          <w:rFonts w:ascii="Calibri" w:hAnsi="Calibri" w:cs="Calibri"/>
          <w:lang w:val="en-GB"/>
        </w:rPr>
      </w:pPr>
      <w:hyperlink r:id="rId29" w:history="1">
        <w:r w:rsidR="00826C5A">
          <w:rPr>
            <w:rFonts w:ascii="Cambria" w:hAnsi="Cambria" w:cs="Cambria"/>
            <w:lang w:val="en-GB"/>
          </w:rPr>
          <w:t>Bibliography</w:t>
        </w:r>
        <w:r w:rsidR="00826C5A">
          <w:rPr>
            <w:rFonts w:ascii="Calibri" w:hAnsi="Calibri" w:cs="Calibri"/>
            <w:lang w:val="en-GB"/>
          </w:rPr>
          <w:tab/>
          <w:t>134</w:t>
        </w:r>
      </w:hyperlink>
    </w:p>
    <w:p w14:paraId="78B51E64" w14:textId="77777777" w:rsidR="00622BC0" w:rsidRDefault="0061782C">
      <w:pPr>
        <w:widowControl w:val="0"/>
        <w:tabs>
          <w:tab w:val="right" w:pos="8306"/>
        </w:tabs>
        <w:autoSpaceDE w:val="0"/>
        <w:autoSpaceDN w:val="0"/>
        <w:adjustRightInd w:val="0"/>
        <w:spacing w:after="200" w:line="276" w:lineRule="auto"/>
        <w:ind w:right="-6"/>
        <w:rPr>
          <w:rFonts w:ascii="Calibri" w:hAnsi="Calibri" w:cs="Calibri"/>
          <w:lang w:val="en-GB"/>
        </w:rPr>
      </w:pPr>
      <w:hyperlink r:id="rId30" w:history="1">
        <w:r w:rsidR="00826C5A">
          <w:rPr>
            <w:rFonts w:ascii="Cambria" w:hAnsi="Cambria" w:cs="Cambria"/>
            <w:lang w:val="en-GB"/>
          </w:rPr>
          <w:t>Profile of Researchers</w:t>
        </w:r>
        <w:r w:rsidR="00826C5A">
          <w:rPr>
            <w:rFonts w:ascii="Calibri" w:hAnsi="Calibri" w:cs="Calibri"/>
            <w:lang w:val="en-GB"/>
          </w:rPr>
          <w:tab/>
          <w:t>144</w:t>
        </w:r>
      </w:hyperlink>
    </w:p>
    <w:p w14:paraId="575BCC6D" w14:textId="77777777" w:rsidR="00622BC0" w:rsidRDefault="0061782C">
      <w:pPr>
        <w:widowControl w:val="0"/>
        <w:tabs>
          <w:tab w:val="right" w:pos="8306"/>
        </w:tabs>
        <w:autoSpaceDE w:val="0"/>
        <w:autoSpaceDN w:val="0"/>
        <w:adjustRightInd w:val="0"/>
        <w:spacing w:after="200" w:line="276" w:lineRule="auto"/>
        <w:ind w:right="-6"/>
        <w:rPr>
          <w:rFonts w:ascii="Calibri" w:hAnsi="Calibri" w:cs="Calibri"/>
          <w:lang w:val="en-GB"/>
        </w:rPr>
      </w:pPr>
      <w:hyperlink r:id="rId31" w:history="1">
        <w:r w:rsidR="00826C5A">
          <w:rPr>
            <w:rFonts w:ascii="Cambria" w:hAnsi="Cambria" w:cs="Cambria"/>
            <w:lang w:val="en-GB"/>
          </w:rPr>
          <w:t>ADF Profile</w:t>
        </w:r>
        <w:r w:rsidR="00826C5A">
          <w:rPr>
            <w:rFonts w:ascii="Calibri" w:hAnsi="Calibri" w:cs="Calibri"/>
            <w:lang w:val="en-GB"/>
          </w:rPr>
          <w:tab/>
          <w:t>146</w:t>
        </w:r>
      </w:hyperlink>
    </w:p>
    <w:p w14:paraId="77BE533A" w14:textId="77777777" w:rsidR="00622BC0" w:rsidRDefault="00622BC0">
      <w:pPr>
        <w:widowControl w:val="0"/>
        <w:tabs>
          <w:tab w:val="right" w:pos="8306"/>
        </w:tabs>
        <w:autoSpaceDE w:val="0"/>
        <w:autoSpaceDN w:val="0"/>
        <w:adjustRightInd w:val="0"/>
        <w:spacing w:after="200" w:line="276" w:lineRule="auto"/>
        <w:ind w:right="-6"/>
        <w:rPr>
          <w:rFonts w:ascii="Cambria" w:hAnsi="Cambria" w:cs="Cambria"/>
          <w:lang w:val="en-GB"/>
        </w:rPr>
      </w:pPr>
    </w:p>
    <w:p w14:paraId="5B8BCBE8" w14:textId="77777777" w:rsidR="00622BC0" w:rsidRDefault="00622BC0">
      <w:pPr>
        <w:widowControl w:val="0"/>
        <w:autoSpaceDE w:val="0"/>
        <w:autoSpaceDN w:val="0"/>
        <w:adjustRightInd w:val="0"/>
        <w:spacing w:after="200"/>
        <w:ind w:left="1596" w:right="-6" w:hanging="1596"/>
        <w:rPr>
          <w:rFonts w:ascii="Cambria" w:hAnsi="Cambria" w:cs="Cambria"/>
          <w:lang w:val="en-GB"/>
        </w:rPr>
      </w:pPr>
    </w:p>
    <w:p w14:paraId="1D1A7C98" w14:textId="77777777" w:rsidR="00622BC0" w:rsidRDefault="00622BC0">
      <w:pPr>
        <w:widowControl w:val="0"/>
        <w:autoSpaceDE w:val="0"/>
        <w:autoSpaceDN w:val="0"/>
        <w:adjustRightInd w:val="0"/>
        <w:spacing w:after="200"/>
        <w:ind w:left="1596" w:right="-6" w:hanging="1596"/>
        <w:rPr>
          <w:rFonts w:ascii="Cambria" w:hAnsi="Cambria" w:cs="Cambria"/>
          <w:lang w:val="en-GB"/>
        </w:rPr>
      </w:pPr>
    </w:p>
    <w:p w14:paraId="1C2A899F" w14:textId="77777777" w:rsidR="00622BC0" w:rsidRDefault="00622BC0">
      <w:pPr>
        <w:widowControl w:val="0"/>
        <w:tabs>
          <w:tab w:val="right" w:pos="8306"/>
        </w:tabs>
        <w:autoSpaceDE w:val="0"/>
        <w:autoSpaceDN w:val="0"/>
        <w:adjustRightInd w:val="0"/>
        <w:spacing w:after="200" w:line="276" w:lineRule="auto"/>
        <w:ind w:right="-6"/>
        <w:jc w:val="both"/>
        <w:rPr>
          <w:rFonts w:ascii="Cambria" w:hAnsi="Cambria" w:cs="Cambria"/>
          <w:lang w:val="en-GB"/>
        </w:rPr>
      </w:pPr>
    </w:p>
    <w:p w14:paraId="26EE474B" w14:textId="77777777" w:rsidR="00622BC0" w:rsidRDefault="00622BC0">
      <w:pPr>
        <w:widowControl w:val="0"/>
        <w:tabs>
          <w:tab w:val="right" w:pos="8306"/>
        </w:tabs>
        <w:autoSpaceDE w:val="0"/>
        <w:autoSpaceDN w:val="0"/>
        <w:adjustRightInd w:val="0"/>
        <w:spacing w:after="200" w:line="276" w:lineRule="auto"/>
        <w:ind w:left="960" w:right="-6" w:hanging="480"/>
        <w:jc w:val="center"/>
        <w:rPr>
          <w:rFonts w:ascii="Cambria" w:hAnsi="Cambria" w:cs="Cambria"/>
          <w:lang w:val="en-GB"/>
        </w:rPr>
      </w:pPr>
    </w:p>
    <w:p w14:paraId="1E31DA5F" w14:textId="77777777" w:rsidR="00622BC0" w:rsidRDefault="00826C5A">
      <w:pPr>
        <w:widowControl w:val="0"/>
        <w:tabs>
          <w:tab w:val="right" w:pos="8306"/>
        </w:tabs>
        <w:autoSpaceDE w:val="0"/>
        <w:autoSpaceDN w:val="0"/>
        <w:adjustRightInd w:val="0"/>
        <w:spacing w:after="200" w:line="276" w:lineRule="auto"/>
        <w:ind w:left="960" w:right="-6" w:hanging="480"/>
        <w:jc w:val="center"/>
        <w:rPr>
          <w:rFonts w:ascii="Cambria" w:hAnsi="Cambria" w:cs="Cambria"/>
          <w:lang w:val="en-GB"/>
        </w:rPr>
      </w:pPr>
      <w:r>
        <w:rPr>
          <w:rFonts w:ascii="Cambria" w:hAnsi="Cambria" w:cs="Cambria"/>
          <w:lang w:val="en-GB"/>
        </w:rPr>
        <w:t>List of Tables</w:t>
      </w:r>
    </w:p>
    <w:p w14:paraId="7235914B" w14:textId="77777777" w:rsidR="00622BC0" w:rsidRDefault="00622BC0">
      <w:pPr>
        <w:widowControl w:val="0"/>
        <w:tabs>
          <w:tab w:val="right" w:pos="8306"/>
        </w:tabs>
        <w:autoSpaceDE w:val="0"/>
        <w:autoSpaceDN w:val="0"/>
        <w:adjustRightInd w:val="0"/>
        <w:spacing w:after="200" w:line="276" w:lineRule="auto"/>
        <w:ind w:left="960" w:right="-6" w:hanging="480"/>
        <w:rPr>
          <w:rFonts w:ascii="Cambria" w:hAnsi="Cambria" w:cs="Cambria"/>
          <w:lang w:val="en-GB"/>
        </w:rPr>
      </w:pPr>
    </w:p>
    <w:p w14:paraId="0C13D566" w14:textId="77777777" w:rsidR="00622BC0" w:rsidRDefault="0061782C">
      <w:pPr>
        <w:widowControl w:val="0"/>
        <w:tabs>
          <w:tab w:val="right" w:pos="8306"/>
        </w:tabs>
        <w:autoSpaceDE w:val="0"/>
        <w:autoSpaceDN w:val="0"/>
        <w:adjustRightInd w:val="0"/>
        <w:spacing w:after="200" w:line="276" w:lineRule="auto"/>
        <w:ind w:left="960" w:right="-6" w:hanging="480"/>
        <w:rPr>
          <w:rFonts w:ascii="Calibri" w:hAnsi="Calibri" w:cs="Calibri"/>
          <w:lang w:val="en-GB"/>
        </w:rPr>
      </w:pPr>
      <w:hyperlink r:id="rId32" w:history="1">
        <w:r w:rsidR="00826C5A">
          <w:rPr>
            <w:rFonts w:ascii="Cambria" w:hAnsi="Cambria" w:cs="Cambria"/>
            <w:lang w:val="en-GB"/>
          </w:rPr>
          <w:t xml:space="preserve">Table </w:t>
        </w:r>
        <w:r w:rsidR="00826C5A">
          <w:rPr>
            <w:rFonts w:ascii="Calibri" w:hAnsi="Calibri" w:cs="Calibri"/>
            <w:lang w:val="en-GB"/>
          </w:rPr>
          <w:t xml:space="preserve">1 </w:t>
        </w:r>
        <w:r w:rsidR="00826C5A">
          <w:rPr>
            <w:rFonts w:ascii="Cambria" w:hAnsi="Cambria" w:cs="Cambria"/>
            <w:lang w:val="en-GB"/>
          </w:rPr>
          <w:t>. Scope of SDGs and CRPD Articles</w:t>
        </w:r>
        <w:r w:rsidR="00826C5A">
          <w:rPr>
            <w:rFonts w:ascii="Calibri" w:hAnsi="Calibri" w:cs="Calibri"/>
            <w:lang w:val="en-GB"/>
          </w:rPr>
          <w:tab/>
          <w:t>10</w:t>
        </w:r>
      </w:hyperlink>
    </w:p>
    <w:p w14:paraId="6FEE53F0" w14:textId="77777777" w:rsidR="00622BC0" w:rsidRDefault="0061782C">
      <w:pPr>
        <w:widowControl w:val="0"/>
        <w:tabs>
          <w:tab w:val="right" w:pos="8306"/>
        </w:tabs>
        <w:autoSpaceDE w:val="0"/>
        <w:autoSpaceDN w:val="0"/>
        <w:adjustRightInd w:val="0"/>
        <w:spacing w:after="200" w:line="276" w:lineRule="auto"/>
        <w:ind w:left="880" w:right="-6" w:hanging="400"/>
        <w:rPr>
          <w:rFonts w:ascii="Calibri" w:hAnsi="Calibri" w:cs="Calibri"/>
          <w:lang w:val="en-GB"/>
        </w:rPr>
      </w:pPr>
      <w:hyperlink r:id="rId33" w:history="1">
        <w:r w:rsidR="00826C5A">
          <w:rPr>
            <w:rFonts w:ascii="Cambria" w:hAnsi="Cambria" w:cs="Cambria"/>
            <w:lang w:val="en-GB"/>
          </w:rPr>
          <w:t xml:space="preserve">Table </w:t>
        </w:r>
        <w:r w:rsidR="00826C5A">
          <w:rPr>
            <w:rFonts w:ascii="Calibri" w:hAnsi="Calibri" w:cs="Calibri"/>
            <w:lang w:val="en-GB"/>
          </w:rPr>
          <w:t xml:space="preserve">2 </w:t>
        </w:r>
        <w:r w:rsidR="00826C5A">
          <w:rPr>
            <w:rFonts w:ascii="Cambria" w:hAnsi="Cambria" w:cs="Cambria"/>
            <w:lang w:val="en-GB"/>
          </w:rPr>
          <w:t>Policy and Regulations on Health in Indonesia</w:t>
        </w:r>
        <w:r w:rsidR="00826C5A">
          <w:rPr>
            <w:rFonts w:ascii="Calibri" w:hAnsi="Calibri" w:cs="Calibri"/>
            <w:lang w:val="en-GB"/>
          </w:rPr>
          <w:tab/>
          <w:t>17</w:t>
        </w:r>
      </w:hyperlink>
    </w:p>
    <w:p w14:paraId="25170CA2" w14:textId="77777777" w:rsidR="00622BC0" w:rsidRDefault="0061782C">
      <w:pPr>
        <w:widowControl w:val="0"/>
        <w:tabs>
          <w:tab w:val="right" w:pos="8306"/>
        </w:tabs>
        <w:autoSpaceDE w:val="0"/>
        <w:autoSpaceDN w:val="0"/>
        <w:adjustRightInd w:val="0"/>
        <w:spacing w:after="200" w:line="276" w:lineRule="auto"/>
        <w:ind w:left="880" w:right="-6" w:hanging="400"/>
        <w:rPr>
          <w:rFonts w:ascii="Calibri" w:hAnsi="Calibri" w:cs="Calibri"/>
          <w:lang w:val="en-GB"/>
        </w:rPr>
      </w:pPr>
      <w:hyperlink r:id="rId34" w:history="1">
        <w:r w:rsidR="00826C5A">
          <w:rPr>
            <w:rFonts w:ascii="Cambria" w:hAnsi="Cambria" w:cs="Cambria"/>
            <w:lang w:val="en-GB"/>
          </w:rPr>
          <w:t xml:space="preserve">Table </w:t>
        </w:r>
        <w:r w:rsidR="00826C5A">
          <w:rPr>
            <w:rFonts w:ascii="Calibri" w:hAnsi="Calibri" w:cs="Calibri"/>
            <w:lang w:val="en-GB"/>
          </w:rPr>
          <w:t xml:space="preserve">3 </w:t>
        </w:r>
        <w:r w:rsidR="00826C5A">
          <w:rPr>
            <w:rFonts w:ascii="Cambria" w:hAnsi="Cambria" w:cs="Cambria"/>
            <w:lang w:val="en-GB"/>
          </w:rPr>
          <w:t>Policy and Regulations on Education in Indonesia</w:t>
        </w:r>
        <w:r w:rsidR="00826C5A">
          <w:rPr>
            <w:rFonts w:ascii="Calibri" w:hAnsi="Calibri" w:cs="Calibri"/>
            <w:lang w:val="en-GB"/>
          </w:rPr>
          <w:tab/>
          <w:t>22</w:t>
        </w:r>
      </w:hyperlink>
    </w:p>
    <w:p w14:paraId="004C72CE" w14:textId="77777777" w:rsidR="00622BC0" w:rsidRDefault="0061782C">
      <w:pPr>
        <w:widowControl w:val="0"/>
        <w:tabs>
          <w:tab w:val="right" w:pos="8306"/>
        </w:tabs>
        <w:autoSpaceDE w:val="0"/>
        <w:autoSpaceDN w:val="0"/>
        <w:adjustRightInd w:val="0"/>
        <w:spacing w:after="200" w:line="276" w:lineRule="auto"/>
        <w:ind w:left="880" w:right="-6" w:hanging="400"/>
        <w:rPr>
          <w:rFonts w:ascii="Calibri" w:hAnsi="Calibri" w:cs="Calibri"/>
          <w:lang w:val="en-GB"/>
        </w:rPr>
      </w:pPr>
      <w:hyperlink r:id="rId35" w:history="1">
        <w:r w:rsidR="00826C5A">
          <w:rPr>
            <w:rFonts w:ascii="Cambria" w:hAnsi="Cambria" w:cs="Cambria"/>
            <w:lang w:val="en-GB"/>
          </w:rPr>
          <w:t xml:space="preserve">Table </w:t>
        </w:r>
        <w:r w:rsidR="00826C5A">
          <w:rPr>
            <w:rFonts w:ascii="Calibri" w:hAnsi="Calibri" w:cs="Calibri"/>
            <w:lang w:val="en-GB"/>
          </w:rPr>
          <w:t xml:space="preserve">4 </w:t>
        </w:r>
        <w:r w:rsidR="00826C5A">
          <w:rPr>
            <w:rFonts w:ascii="Cambria" w:hAnsi="Cambria" w:cs="Cambria"/>
            <w:lang w:val="en-GB"/>
          </w:rPr>
          <w:t>Policy and Regulations on Gender Equality in Indonesia</w:t>
        </w:r>
        <w:r w:rsidR="00826C5A">
          <w:rPr>
            <w:rFonts w:ascii="Calibri" w:hAnsi="Calibri" w:cs="Calibri"/>
            <w:lang w:val="en-GB"/>
          </w:rPr>
          <w:tab/>
          <w:t>26</w:t>
        </w:r>
      </w:hyperlink>
    </w:p>
    <w:p w14:paraId="0FDCF50C" w14:textId="77777777" w:rsidR="00622BC0" w:rsidRDefault="0061782C">
      <w:pPr>
        <w:widowControl w:val="0"/>
        <w:tabs>
          <w:tab w:val="right" w:pos="8306"/>
        </w:tabs>
        <w:autoSpaceDE w:val="0"/>
        <w:autoSpaceDN w:val="0"/>
        <w:adjustRightInd w:val="0"/>
        <w:spacing w:after="200" w:line="276" w:lineRule="auto"/>
        <w:ind w:left="880" w:right="-6" w:hanging="400"/>
        <w:rPr>
          <w:rFonts w:ascii="Calibri" w:hAnsi="Calibri" w:cs="Calibri"/>
          <w:lang w:val="en-GB"/>
        </w:rPr>
      </w:pPr>
      <w:hyperlink r:id="rId36" w:history="1">
        <w:r w:rsidR="00826C5A">
          <w:rPr>
            <w:rFonts w:ascii="Cambria" w:hAnsi="Cambria" w:cs="Cambria"/>
            <w:lang w:val="en-GB"/>
          </w:rPr>
          <w:t xml:space="preserve">Table </w:t>
        </w:r>
        <w:r w:rsidR="00826C5A">
          <w:rPr>
            <w:rFonts w:ascii="Calibri" w:hAnsi="Calibri" w:cs="Calibri"/>
            <w:lang w:val="en-GB"/>
          </w:rPr>
          <w:t xml:space="preserve">5 </w:t>
        </w:r>
        <w:r w:rsidR="00826C5A">
          <w:rPr>
            <w:rFonts w:ascii="Cambria" w:hAnsi="Cambria" w:cs="Cambria"/>
            <w:lang w:val="en-GB"/>
          </w:rPr>
          <w:t>Policy and Regulations on Employment in Indonesia</w:t>
        </w:r>
        <w:r w:rsidR="00826C5A">
          <w:rPr>
            <w:rFonts w:ascii="Calibri" w:hAnsi="Calibri" w:cs="Calibri"/>
            <w:lang w:val="en-GB"/>
          </w:rPr>
          <w:tab/>
          <w:t>30</w:t>
        </w:r>
      </w:hyperlink>
    </w:p>
    <w:p w14:paraId="2AB18748" w14:textId="77777777" w:rsidR="00622BC0" w:rsidRDefault="0061782C">
      <w:pPr>
        <w:widowControl w:val="0"/>
        <w:tabs>
          <w:tab w:val="right" w:pos="8306"/>
        </w:tabs>
        <w:autoSpaceDE w:val="0"/>
        <w:autoSpaceDN w:val="0"/>
        <w:adjustRightInd w:val="0"/>
        <w:spacing w:after="200" w:line="276" w:lineRule="auto"/>
        <w:ind w:left="880" w:right="-6" w:hanging="400"/>
        <w:rPr>
          <w:rFonts w:ascii="Calibri" w:hAnsi="Calibri" w:cs="Calibri"/>
          <w:lang w:val="en-GB"/>
        </w:rPr>
      </w:pPr>
      <w:hyperlink r:id="rId37" w:history="1">
        <w:r w:rsidR="00826C5A">
          <w:rPr>
            <w:rFonts w:ascii="Cambria" w:hAnsi="Cambria" w:cs="Cambria"/>
            <w:lang w:val="en-GB"/>
          </w:rPr>
          <w:t xml:space="preserve">Table </w:t>
        </w:r>
        <w:r w:rsidR="00826C5A">
          <w:rPr>
            <w:rFonts w:ascii="Calibri" w:hAnsi="Calibri" w:cs="Calibri"/>
            <w:lang w:val="en-GB"/>
          </w:rPr>
          <w:t xml:space="preserve">6 </w:t>
        </w:r>
        <w:r w:rsidR="00826C5A">
          <w:rPr>
            <w:rFonts w:ascii="Cambria" w:hAnsi="Cambria" w:cs="Cambria"/>
            <w:lang w:val="en-GB"/>
          </w:rPr>
          <w:t>Policy and Regulations on Accessibility in Indonesia</w:t>
        </w:r>
        <w:r w:rsidR="00826C5A">
          <w:rPr>
            <w:rFonts w:ascii="Calibri" w:hAnsi="Calibri" w:cs="Calibri"/>
            <w:lang w:val="en-GB"/>
          </w:rPr>
          <w:tab/>
          <w:t>34</w:t>
        </w:r>
      </w:hyperlink>
    </w:p>
    <w:p w14:paraId="779FA6A8" w14:textId="77777777" w:rsidR="00622BC0" w:rsidRDefault="0061782C">
      <w:pPr>
        <w:widowControl w:val="0"/>
        <w:tabs>
          <w:tab w:val="right" w:pos="8306"/>
        </w:tabs>
        <w:autoSpaceDE w:val="0"/>
        <w:autoSpaceDN w:val="0"/>
        <w:adjustRightInd w:val="0"/>
        <w:spacing w:after="200" w:line="276" w:lineRule="auto"/>
        <w:ind w:left="480" w:right="-6"/>
        <w:rPr>
          <w:rFonts w:ascii="Calibri" w:hAnsi="Calibri" w:cs="Calibri"/>
          <w:lang w:val="en-GB"/>
        </w:rPr>
      </w:pPr>
      <w:hyperlink r:id="rId38" w:history="1">
        <w:r w:rsidR="00826C5A">
          <w:rPr>
            <w:rFonts w:ascii="Cambria" w:hAnsi="Cambria" w:cs="Cambria"/>
            <w:lang w:val="en-GB"/>
          </w:rPr>
          <w:t xml:space="preserve">Table </w:t>
        </w:r>
        <w:r w:rsidR="00826C5A">
          <w:rPr>
            <w:rFonts w:ascii="Calibri" w:hAnsi="Calibri" w:cs="Calibri"/>
            <w:lang w:val="en-GB"/>
          </w:rPr>
          <w:t xml:space="preserve">7 </w:t>
        </w:r>
        <w:r w:rsidR="00826C5A">
          <w:rPr>
            <w:rFonts w:ascii="Cambria" w:hAnsi="Cambria" w:cs="Cambria"/>
            <w:lang w:val="en-GB"/>
          </w:rPr>
          <w:t>Beneficiaries Programmes for Persons with Disabilities from the Department of Trade and Industry</w:t>
        </w:r>
        <w:r w:rsidR="00826C5A">
          <w:rPr>
            <w:rFonts w:ascii="Calibri" w:hAnsi="Calibri" w:cs="Calibri"/>
            <w:lang w:val="en-GB"/>
          </w:rPr>
          <w:tab/>
          <w:t>56</w:t>
        </w:r>
      </w:hyperlink>
    </w:p>
    <w:p w14:paraId="42C974B7" w14:textId="77777777" w:rsidR="00622BC0" w:rsidRDefault="0061782C">
      <w:pPr>
        <w:widowControl w:val="0"/>
        <w:tabs>
          <w:tab w:val="right" w:pos="8306"/>
        </w:tabs>
        <w:autoSpaceDE w:val="0"/>
        <w:autoSpaceDN w:val="0"/>
        <w:adjustRightInd w:val="0"/>
        <w:spacing w:after="200" w:line="276" w:lineRule="auto"/>
        <w:ind w:left="880" w:right="-6" w:hanging="400"/>
        <w:rPr>
          <w:rFonts w:ascii="Calibri" w:hAnsi="Calibri" w:cs="Calibri"/>
          <w:lang w:val="en-GB"/>
        </w:rPr>
      </w:pPr>
      <w:hyperlink r:id="rId39" w:history="1">
        <w:r w:rsidR="00826C5A">
          <w:rPr>
            <w:rFonts w:ascii="Cambria" w:hAnsi="Cambria" w:cs="Cambria"/>
            <w:lang w:val="en-GB"/>
          </w:rPr>
          <w:t xml:space="preserve">Table </w:t>
        </w:r>
        <w:r w:rsidR="00826C5A">
          <w:rPr>
            <w:rFonts w:ascii="Calibri" w:hAnsi="Calibri" w:cs="Calibri"/>
            <w:lang w:val="en-GB"/>
          </w:rPr>
          <w:t xml:space="preserve">8 </w:t>
        </w:r>
        <w:r w:rsidR="00826C5A">
          <w:rPr>
            <w:rFonts w:ascii="Cambria" w:hAnsi="Cambria" w:cs="Cambria"/>
            <w:lang w:val="en-GB"/>
          </w:rPr>
          <w:t>Laws on Education in Singapore</w:t>
        </w:r>
        <w:r w:rsidR="00826C5A">
          <w:rPr>
            <w:rFonts w:ascii="Calibri" w:hAnsi="Calibri" w:cs="Calibri"/>
            <w:lang w:val="en-GB"/>
          </w:rPr>
          <w:tab/>
          <w:t>64</w:t>
        </w:r>
      </w:hyperlink>
    </w:p>
    <w:p w14:paraId="458F69B8" w14:textId="77777777" w:rsidR="00622BC0" w:rsidRDefault="0061782C">
      <w:pPr>
        <w:widowControl w:val="0"/>
        <w:tabs>
          <w:tab w:val="right" w:pos="8306"/>
        </w:tabs>
        <w:autoSpaceDE w:val="0"/>
        <w:autoSpaceDN w:val="0"/>
        <w:adjustRightInd w:val="0"/>
        <w:spacing w:after="200" w:line="276" w:lineRule="auto"/>
        <w:ind w:left="880" w:right="-6" w:hanging="400"/>
        <w:rPr>
          <w:rFonts w:ascii="Calibri" w:hAnsi="Calibri" w:cs="Calibri"/>
          <w:lang w:val="en-GB"/>
        </w:rPr>
      </w:pPr>
      <w:hyperlink r:id="rId40" w:history="1">
        <w:r w:rsidR="00826C5A">
          <w:rPr>
            <w:rFonts w:ascii="Cambria" w:hAnsi="Cambria" w:cs="Cambria"/>
            <w:lang w:val="en-GB"/>
          </w:rPr>
          <w:t xml:space="preserve">Table </w:t>
        </w:r>
        <w:r w:rsidR="00826C5A">
          <w:rPr>
            <w:rFonts w:ascii="Calibri" w:hAnsi="Calibri" w:cs="Calibri"/>
            <w:lang w:val="en-GB"/>
          </w:rPr>
          <w:t xml:space="preserve">9 </w:t>
        </w:r>
        <w:r w:rsidR="00826C5A">
          <w:rPr>
            <w:rFonts w:ascii="Cambria" w:hAnsi="Cambria" w:cs="Cambria"/>
            <w:lang w:val="en-GB"/>
          </w:rPr>
          <w:t>Policy and Regulations on Persons with Disabilities in Viet Nam</w:t>
        </w:r>
        <w:r w:rsidR="00826C5A">
          <w:rPr>
            <w:rFonts w:ascii="Calibri" w:hAnsi="Calibri" w:cs="Calibri"/>
            <w:lang w:val="en-GB"/>
          </w:rPr>
          <w:tab/>
          <w:t>77</w:t>
        </w:r>
      </w:hyperlink>
    </w:p>
    <w:p w14:paraId="29D79E7F" w14:textId="77777777" w:rsidR="00622BC0" w:rsidRDefault="0061782C">
      <w:pPr>
        <w:widowControl w:val="0"/>
        <w:tabs>
          <w:tab w:val="right" w:pos="8306"/>
        </w:tabs>
        <w:autoSpaceDE w:val="0"/>
        <w:autoSpaceDN w:val="0"/>
        <w:adjustRightInd w:val="0"/>
        <w:spacing w:after="200" w:line="276" w:lineRule="auto"/>
        <w:ind w:left="880" w:right="-6" w:hanging="400"/>
        <w:rPr>
          <w:rFonts w:ascii="Calibri" w:hAnsi="Calibri" w:cs="Calibri"/>
          <w:lang w:val="en-GB"/>
        </w:rPr>
      </w:pPr>
      <w:hyperlink r:id="rId41" w:history="1">
        <w:r w:rsidR="00826C5A">
          <w:rPr>
            <w:rFonts w:ascii="Cambria" w:hAnsi="Cambria" w:cs="Cambria"/>
            <w:lang w:val="en-GB"/>
          </w:rPr>
          <w:t xml:space="preserve">Table </w:t>
        </w:r>
        <w:r w:rsidR="00826C5A">
          <w:rPr>
            <w:rFonts w:ascii="Calibri" w:hAnsi="Calibri" w:cs="Calibri"/>
            <w:lang w:val="en-GB"/>
          </w:rPr>
          <w:t xml:space="preserve">10 </w:t>
        </w:r>
        <w:r w:rsidR="00826C5A">
          <w:rPr>
            <w:rFonts w:ascii="Cambria" w:hAnsi="Cambria" w:cs="Cambria"/>
            <w:lang w:val="en-GB"/>
          </w:rPr>
          <w:t>Policy and Regulations on Health in Viet Nam</w:t>
        </w:r>
        <w:r w:rsidR="00826C5A">
          <w:rPr>
            <w:rFonts w:ascii="Calibri" w:hAnsi="Calibri" w:cs="Calibri"/>
            <w:lang w:val="en-GB"/>
          </w:rPr>
          <w:tab/>
          <w:t>81</w:t>
        </w:r>
      </w:hyperlink>
    </w:p>
    <w:p w14:paraId="4FE84221" w14:textId="77777777" w:rsidR="00622BC0" w:rsidRDefault="0061782C">
      <w:pPr>
        <w:widowControl w:val="0"/>
        <w:tabs>
          <w:tab w:val="right" w:pos="8306"/>
        </w:tabs>
        <w:autoSpaceDE w:val="0"/>
        <w:autoSpaceDN w:val="0"/>
        <w:adjustRightInd w:val="0"/>
        <w:spacing w:after="200" w:line="276" w:lineRule="auto"/>
        <w:ind w:left="880" w:right="-6" w:hanging="400"/>
        <w:rPr>
          <w:rFonts w:ascii="Calibri" w:hAnsi="Calibri" w:cs="Calibri"/>
          <w:lang w:val="en-GB"/>
        </w:rPr>
      </w:pPr>
      <w:hyperlink r:id="rId42" w:history="1">
        <w:r w:rsidR="00826C5A">
          <w:rPr>
            <w:rFonts w:ascii="Cambria" w:hAnsi="Cambria" w:cs="Cambria"/>
            <w:lang w:val="en-GB"/>
          </w:rPr>
          <w:t xml:space="preserve">Table </w:t>
        </w:r>
        <w:r w:rsidR="00826C5A">
          <w:rPr>
            <w:rFonts w:ascii="Calibri" w:hAnsi="Calibri" w:cs="Calibri"/>
            <w:lang w:val="en-GB"/>
          </w:rPr>
          <w:t xml:space="preserve">11 </w:t>
        </w:r>
        <w:r w:rsidR="00826C5A">
          <w:rPr>
            <w:rFonts w:ascii="Cambria" w:hAnsi="Cambria" w:cs="Cambria"/>
            <w:lang w:val="en-GB"/>
          </w:rPr>
          <w:t>Policy and Regulations on Education in Viet Nam</w:t>
        </w:r>
        <w:r w:rsidR="00826C5A">
          <w:rPr>
            <w:rFonts w:ascii="Calibri" w:hAnsi="Calibri" w:cs="Calibri"/>
            <w:lang w:val="en-GB"/>
          </w:rPr>
          <w:tab/>
          <w:t>84</w:t>
        </w:r>
      </w:hyperlink>
    </w:p>
    <w:p w14:paraId="1C3DDD95" w14:textId="77777777" w:rsidR="00622BC0" w:rsidRDefault="0061782C">
      <w:pPr>
        <w:widowControl w:val="0"/>
        <w:tabs>
          <w:tab w:val="right" w:pos="8306"/>
        </w:tabs>
        <w:autoSpaceDE w:val="0"/>
        <w:autoSpaceDN w:val="0"/>
        <w:adjustRightInd w:val="0"/>
        <w:spacing w:after="200" w:line="276" w:lineRule="auto"/>
        <w:ind w:left="880" w:right="-6" w:hanging="400"/>
        <w:rPr>
          <w:rFonts w:ascii="Calibri" w:hAnsi="Calibri" w:cs="Calibri"/>
          <w:lang w:val="en-GB"/>
        </w:rPr>
      </w:pPr>
      <w:hyperlink r:id="rId43" w:history="1">
        <w:r w:rsidR="00826C5A">
          <w:rPr>
            <w:rFonts w:ascii="Cambria" w:hAnsi="Cambria" w:cs="Cambria"/>
            <w:lang w:val="en-GB"/>
          </w:rPr>
          <w:t xml:space="preserve">Table </w:t>
        </w:r>
        <w:r w:rsidR="00826C5A">
          <w:rPr>
            <w:rFonts w:ascii="Calibri" w:hAnsi="Calibri" w:cs="Calibri"/>
            <w:lang w:val="en-GB"/>
          </w:rPr>
          <w:t xml:space="preserve">12 </w:t>
        </w:r>
        <w:r w:rsidR="00826C5A">
          <w:rPr>
            <w:rFonts w:ascii="Cambria" w:hAnsi="Cambria" w:cs="Cambria"/>
            <w:lang w:val="en-GB"/>
          </w:rPr>
          <w:t>Policy and Regulations on Employment in Viet Nam</w:t>
        </w:r>
        <w:r w:rsidR="00826C5A">
          <w:rPr>
            <w:rFonts w:ascii="Calibri" w:hAnsi="Calibri" w:cs="Calibri"/>
            <w:lang w:val="en-GB"/>
          </w:rPr>
          <w:tab/>
          <w:t>90</w:t>
        </w:r>
      </w:hyperlink>
    </w:p>
    <w:p w14:paraId="0C6A5EB2" w14:textId="77777777" w:rsidR="00622BC0" w:rsidRDefault="00622BC0">
      <w:pPr>
        <w:widowControl w:val="0"/>
        <w:tabs>
          <w:tab w:val="right" w:pos="8306"/>
        </w:tabs>
        <w:autoSpaceDE w:val="0"/>
        <w:autoSpaceDN w:val="0"/>
        <w:adjustRightInd w:val="0"/>
        <w:spacing w:after="200" w:line="276" w:lineRule="auto"/>
        <w:ind w:left="960" w:right="-6" w:hanging="480"/>
        <w:rPr>
          <w:rFonts w:ascii="Cambria" w:hAnsi="Cambria" w:cs="Cambria"/>
          <w:lang w:val="en-GB"/>
        </w:rPr>
      </w:pPr>
    </w:p>
    <w:p w14:paraId="67BF83AA" w14:textId="77777777" w:rsidR="00622BC0" w:rsidRDefault="00826C5A">
      <w:pPr>
        <w:widowControl w:val="0"/>
        <w:autoSpaceDE w:val="0"/>
        <w:autoSpaceDN w:val="0"/>
        <w:adjustRightInd w:val="0"/>
        <w:spacing w:after="200" w:line="276" w:lineRule="auto"/>
        <w:ind w:right="-6"/>
        <w:rPr>
          <w:rFonts w:ascii="Cambria" w:hAnsi="Cambria" w:cs="Cambria"/>
          <w:lang w:val="en-GB"/>
        </w:rPr>
      </w:pPr>
      <w:r>
        <w:rPr>
          <w:rFonts w:ascii="Cambria" w:hAnsi="Cambria" w:cs="Cambria"/>
          <w:lang w:val="en-GB"/>
        </w:rPr>
        <w:br w:type="page"/>
      </w:r>
    </w:p>
    <w:p w14:paraId="392B0905" w14:textId="77777777" w:rsidR="00622BC0" w:rsidRDefault="00826C5A">
      <w:pPr>
        <w:widowControl w:val="0"/>
        <w:tabs>
          <w:tab w:val="right" w:pos="8306"/>
        </w:tabs>
        <w:autoSpaceDE w:val="0"/>
        <w:autoSpaceDN w:val="0"/>
        <w:adjustRightInd w:val="0"/>
        <w:spacing w:after="200" w:line="276" w:lineRule="auto"/>
        <w:ind w:left="960" w:right="-6" w:hanging="480"/>
        <w:jc w:val="center"/>
        <w:rPr>
          <w:rFonts w:ascii="Cambria" w:hAnsi="Cambria" w:cs="Cambria"/>
          <w:lang w:val="en-GB"/>
        </w:rPr>
      </w:pPr>
      <w:r>
        <w:rPr>
          <w:rFonts w:ascii="Cambria" w:hAnsi="Cambria" w:cs="Cambria"/>
          <w:lang w:val="en-GB"/>
        </w:rPr>
        <w:lastRenderedPageBreak/>
        <w:t>List of Figures</w:t>
      </w:r>
    </w:p>
    <w:p w14:paraId="4305CCBF" w14:textId="77777777" w:rsidR="00622BC0" w:rsidRDefault="00622BC0">
      <w:pPr>
        <w:widowControl w:val="0"/>
        <w:tabs>
          <w:tab w:val="right" w:pos="8306"/>
        </w:tabs>
        <w:autoSpaceDE w:val="0"/>
        <w:autoSpaceDN w:val="0"/>
        <w:adjustRightInd w:val="0"/>
        <w:spacing w:after="200" w:line="276" w:lineRule="auto"/>
        <w:ind w:left="960" w:right="-6" w:hanging="480"/>
        <w:rPr>
          <w:rFonts w:ascii="Cambria" w:hAnsi="Cambria" w:cs="Cambria"/>
          <w:lang w:val="en-GB"/>
        </w:rPr>
      </w:pPr>
    </w:p>
    <w:p w14:paraId="508CA39C" w14:textId="77777777" w:rsidR="00622BC0" w:rsidRDefault="0061782C">
      <w:pPr>
        <w:widowControl w:val="0"/>
        <w:tabs>
          <w:tab w:val="right" w:pos="8306"/>
        </w:tabs>
        <w:autoSpaceDE w:val="0"/>
        <w:autoSpaceDN w:val="0"/>
        <w:adjustRightInd w:val="0"/>
        <w:spacing w:after="200" w:line="276" w:lineRule="auto"/>
        <w:ind w:left="960" w:right="-6" w:hanging="480"/>
        <w:rPr>
          <w:rFonts w:ascii="Calibri" w:hAnsi="Calibri" w:cs="Calibri"/>
          <w:lang w:val="en-GB"/>
        </w:rPr>
      </w:pPr>
      <w:hyperlink r:id="rId44" w:history="1">
        <w:r w:rsidR="00826C5A">
          <w:rPr>
            <w:rFonts w:ascii="Cambria" w:hAnsi="Cambria" w:cs="Cambria"/>
            <w:lang w:val="en-GB"/>
          </w:rPr>
          <w:t xml:space="preserve">Figure </w:t>
        </w:r>
        <w:r w:rsidR="00826C5A">
          <w:rPr>
            <w:rFonts w:ascii="Calibri" w:hAnsi="Calibri" w:cs="Calibri"/>
            <w:lang w:val="en-GB"/>
          </w:rPr>
          <w:t xml:space="preserve">1 </w:t>
        </w:r>
        <w:r w:rsidR="00826C5A">
          <w:rPr>
            <w:rFonts w:ascii="Cambria" w:hAnsi="Cambria" w:cs="Cambria"/>
            <w:lang w:val="en-GB"/>
          </w:rPr>
          <w:t>Inclusive and Special Schools in Indonesia from 2015-2019</w:t>
        </w:r>
        <w:r w:rsidR="00826C5A">
          <w:rPr>
            <w:rFonts w:ascii="Calibri" w:hAnsi="Calibri" w:cs="Calibri"/>
            <w:lang w:val="en-GB"/>
          </w:rPr>
          <w:tab/>
          <w:t>23</w:t>
        </w:r>
      </w:hyperlink>
    </w:p>
    <w:p w14:paraId="3E6D8AE9" w14:textId="77777777" w:rsidR="00622BC0" w:rsidRDefault="0061782C">
      <w:pPr>
        <w:widowControl w:val="0"/>
        <w:tabs>
          <w:tab w:val="right" w:pos="8306"/>
        </w:tabs>
        <w:autoSpaceDE w:val="0"/>
        <w:autoSpaceDN w:val="0"/>
        <w:adjustRightInd w:val="0"/>
        <w:spacing w:after="200" w:line="276" w:lineRule="auto"/>
        <w:ind w:left="880" w:right="-6" w:hanging="400"/>
        <w:rPr>
          <w:rFonts w:ascii="Calibri" w:hAnsi="Calibri" w:cs="Calibri"/>
          <w:lang w:val="en-GB"/>
        </w:rPr>
      </w:pPr>
      <w:hyperlink r:id="rId45" w:history="1">
        <w:r w:rsidR="00826C5A">
          <w:rPr>
            <w:rFonts w:ascii="Cambria" w:hAnsi="Cambria" w:cs="Cambria"/>
            <w:lang w:val="en-GB"/>
          </w:rPr>
          <w:t xml:space="preserve">Figure </w:t>
        </w:r>
        <w:r w:rsidR="00826C5A">
          <w:rPr>
            <w:rFonts w:ascii="Calibri" w:hAnsi="Calibri" w:cs="Calibri"/>
            <w:lang w:val="en-GB"/>
          </w:rPr>
          <w:t xml:space="preserve">2 </w:t>
        </w:r>
        <w:r w:rsidR="00826C5A">
          <w:rPr>
            <w:rFonts w:ascii="Cambria" w:hAnsi="Cambria" w:cs="Cambria"/>
            <w:lang w:val="en-GB"/>
          </w:rPr>
          <w:t>Human Rights Cities Principle by KOMNAS HAM</w:t>
        </w:r>
        <w:r w:rsidR="00826C5A">
          <w:rPr>
            <w:rFonts w:ascii="Calibri" w:hAnsi="Calibri" w:cs="Calibri"/>
            <w:lang w:val="en-GB"/>
          </w:rPr>
          <w:tab/>
          <w:t>35</w:t>
        </w:r>
      </w:hyperlink>
    </w:p>
    <w:p w14:paraId="0B76F46C" w14:textId="77777777" w:rsidR="00622BC0" w:rsidRDefault="0061782C">
      <w:pPr>
        <w:widowControl w:val="0"/>
        <w:tabs>
          <w:tab w:val="right" w:pos="8306"/>
        </w:tabs>
        <w:autoSpaceDE w:val="0"/>
        <w:autoSpaceDN w:val="0"/>
        <w:adjustRightInd w:val="0"/>
        <w:spacing w:after="200" w:line="276" w:lineRule="auto"/>
        <w:ind w:left="880" w:right="-6" w:hanging="400"/>
        <w:rPr>
          <w:rFonts w:ascii="Calibri" w:hAnsi="Calibri" w:cs="Calibri"/>
          <w:lang w:val="en-GB"/>
        </w:rPr>
      </w:pPr>
      <w:hyperlink r:id="rId46" w:history="1">
        <w:r w:rsidR="00826C5A">
          <w:rPr>
            <w:rFonts w:ascii="Cambria" w:hAnsi="Cambria" w:cs="Cambria"/>
            <w:lang w:val="en-GB"/>
          </w:rPr>
          <w:t xml:space="preserve">Figure </w:t>
        </w:r>
        <w:r w:rsidR="00826C5A">
          <w:rPr>
            <w:rFonts w:ascii="Calibri" w:hAnsi="Calibri" w:cs="Calibri"/>
            <w:lang w:val="en-GB"/>
          </w:rPr>
          <w:t xml:space="preserve">3 </w:t>
        </w:r>
        <w:r w:rsidR="00826C5A">
          <w:rPr>
            <w:rFonts w:ascii="Cambria" w:hAnsi="Cambria" w:cs="Cambria"/>
            <w:lang w:val="en-GB"/>
          </w:rPr>
          <w:t>Human Rights Cities Principle by INFID</w:t>
        </w:r>
        <w:r w:rsidR="00826C5A">
          <w:rPr>
            <w:rFonts w:ascii="Calibri" w:hAnsi="Calibri" w:cs="Calibri"/>
            <w:lang w:val="en-GB"/>
          </w:rPr>
          <w:tab/>
          <w:t>35</w:t>
        </w:r>
      </w:hyperlink>
    </w:p>
    <w:p w14:paraId="6D8B9CA9" w14:textId="77777777" w:rsidR="00622BC0" w:rsidRDefault="0061782C">
      <w:pPr>
        <w:widowControl w:val="0"/>
        <w:tabs>
          <w:tab w:val="right" w:pos="8306"/>
        </w:tabs>
        <w:autoSpaceDE w:val="0"/>
        <w:autoSpaceDN w:val="0"/>
        <w:adjustRightInd w:val="0"/>
        <w:spacing w:after="200" w:line="276" w:lineRule="auto"/>
        <w:ind w:left="880" w:right="-6" w:hanging="400"/>
        <w:rPr>
          <w:rFonts w:ascii="Calibri" w:hAnsi="Calibri" w:cs="Calibri"/>
          <w:lang w:val="en-GB"/>
        </w:rPr>
      </w:pPr>
      <w:hyperlink r:id="rId47" w:history="1">
        <w:r w:rsidR="00826C5A">
          <w:rPr>
            <w:rFonts w:ascii="Cambria" w:hAnsi="Cambria" w:cs="Cambria"/>
            <w:lang w:val="en-GB"/>
          </w:rPr>
          <w:t xml:space="preserve">Figure </w:t>
        </w:r>
        <w:r w:rsidR="00826C5A">
          <w:rPr>
            <w:rFonts w:ascii="Calibri" w:hAnsi="Calibri" w:cs="Calibri"/>
            <w:lang w:val="en-GB"/>
          </w:rPr>
          <w:t xml:space="preserve">4 </w:t>
        </w:r>
        <w:r w:rsidR="00826C5A">
          <w:rPr>
            <w:rFonts w:ascii="Cambria" w:hAnsi="Cambria" w:cs="Cambria"/>
            <w:lang w:val="en-GB"/>
          </w:rPr>
          <w:t>Disability Prevalence in the Philippines</w:t>
        </w:r>
        <w:r w:rsidR="00826C5A">
          <w:rPr>
            <w:rFonts w:ascii="Calibri" w:hAnsi="Calibri" w:cs="Calibri"/>
            <w:lang w:val="en-GB"/>
          </w:rPr>
          <w:tab/>
          <w:t>41</w:t>
        </w:r>
      </w:hyperlink>
    </w:p>
    <w:p w14:paraId="2005FFE6" w14:textId="77777777" w:rsidR="00622BC0" w:rsidRDefault="0061782C">
      <w:pPr>
        <w:widowControl w:val="0"/>
        <w:tabs>
          <w:tab w:val="right" w:pos="8306"/>
        </w:tabs>
        <w:autoSpaceDE w:val="0"/>
        <w:autoSpaceDN w:val="0"/>
        <w:adjustRightInd w:val="0"/>
        <w:spacing w:after="200" w:line="276" w:lineRule="auto"/>
        <w:ind w:left="880" w:right="-6" w:hanging="400"/>
        <w:rPr>
          <w:rFonts w:ascii="Calibri" w:hAnsi="Calibri" w:cs="Calibri"/>
          <w:lang w:val="en-GB"/>
        </w:rPr>
      </w:pPr>
      <w:hyperlink r:id="rId48" w:history="1">
        <w:r w:rsidR="00826C5A">
          <w:rPr>
            <w:rFonts w:ascii="Cambria" w:hAnsi="Cambria" w:cs="Cambria"/>
            <w:lang w:val="en-GB"/>
          </w:rPr>
          <w:t xml:space="preserve">Figure </w:t>
        </w:r>
        <w:r w:rsidR="00826C5A">
          <w:rPr>
            <w:rFonts w:ascii="Calibri" w:hAnsi="Calibri" w:cs="Calibri"/>
            <w:lang w:val="en-GB"/>
          </w:rPr>
          <w:t xml:space="preserve">5 </w:t>
        </w:r>
        <w:r w:rsidR="00826C5A">
          <w:rPr>
            <w:rFonts w:ascii="Cambria" w:hAnsi="Cambria" w:cs="Cambria"/>
            <w:lang w:val="en-GB"/>
          </w:rPr>
          <w:t>Underemployment Rate in the Philippines from 2015-2018</w:t>
        </w:r>
        <w:r w:rsidR="00826C5A">
          <w:rPr>
            <w:rFonts w:ascii="Calibri" w:hAnsi="Calibri" w:cs="Calibri"/>
            <w:lang w:val="en-GB"/>
          </w:rPr>
          <w:tab/>
          <w:t>54</w:t>
        </w:r>
      </w:hyperlink>
    </w:p>
    <w:p w14:paraId="2136E1D0" w14:textId="77777777" w:rsidR="00622BC0" w:rsidRDefault="0061782C">
      <w:pPr>
        <w:widowControl w:val="0"/>
        <w:tabs>
          <w:tab w:val="right" w:pos="8306"/>
        </w:tabs>
        <w:autoSpaceDE w:val="0"/>
        <w:autoSpaceDN w:val="0"/>
        <w:adjustRightInd w:val="0"/>
        <w:spacing w:after="200" w:line="276" w:lineRule="auto"/>
        <w:ind w:left="880" w:right="-6" w:hanging="400"/>
        <w:rPr>
          <w:rFonts w:ascii="Calibri" w:hAnsi="Calibri" w:cs="Calibri"/>
          <w:lang w:val="en-GB"/>
        </w:rPr>
      </w:pPr>
      <w:hyperlink r:id="rId49" w:history="1">
        <w:r w:rsidR="00826C5A">
          <w:rPr>
            <w:rFonts w:ascii="Cambria" w:hAnsi="Cambria" w:cs="Cambria"/>
            <w:lang w:val="en-GB"/>
          </w:rPr>
          <w:t xml:space="preserve">Figure </w:t>
        </w:r>
        <w:r w:rsidR="00826C5A">
          <w:rPr>
            <w:rFonts w:ascii="Calibri" w:hAnsi="Calibri" w:cs="Calibri"/>
            <w:lang w:val="en-GB"/>
          </w:rPr>
          <w:t xml:space="preserve">6 </w:t>
        </w:r>
        <w:r w:rsidR="00826C5A">
          <w:rPr>
            <w:rFonts w:ascii="Cambria" w:hAnsi="Cambria" w:cs="Cambria"/>
            <w:lang w:val="en-GB"/>
          </w:rPr>
          <w:t>Laws about Accessibility in Singapore</w:t>
        </w:r>
        <w:r w:rsidR="00826C5A">
          <w:rPr>
            <w:rFonts w:ascii="Calibri" w:hAnsi="Calibri" w:cs="Calibri"/>
            <w:lang w:val="en-GB"/>
          </w:rPr>
          <w:tab/>
          <w:t>69</w:t>
        </w:r>
      </w:hyperlink>
    </w:p>
    <w:p w14:paraId="5181B86F" w14:textId="77777777" w:rsidR="00622BC0" w:rsidRDefault="0061782C">
      <w:pPr>
        <w:widowControl w:val="0"/>
        <w:tabs>
          <w:tab w:val="right" w:pos="8306"/>
        </w:tabs>
        <w:autoSpaceDE w:val="0"/>
        <w:autoSpaceDN w:val="0"/>
        <w:adjustRightInd w:val="0"/>
        <w:spacing w:after="200" w:line="276" w:lineRule="auto"/>
        <w:ind w:left="880" w:right="-6" w:hanging="400"/>
        <w:rPr>
          <w:rFonts w:ascii="Calibri" w:hAnsi="Calibri" w:cs="Calibri"/>
          <w:lang w:val="en-GB"/>
        </w:rPr>
      </w:pPr>
      <w:hyperlink r:id="rId50" w:history="1">
        <w:r w:rsidR="00826C5A">
          <w:rPr>
            <w:rFonts w:ascii="Cambria" w:hAnsi="Cambria" w:cs="Cambria"/>
            <w:lang w:val="en-GB"/>
          </w:rPr>
          <w:t xml:space="preserve">Figure </w:t>
        </w:r>
        <w:r w:rsidR="00826C5A">
          <w:rPr>
            <w:rFonts w:ascii="Calibri" w:hAnsi="Calibri" w:cs="Calibri"/>
            <w:lang w:val="en-GB"/>
          </w:rPr>
          <w:t xml:space="preserve">7 </w:t>
        </w:r>
        <w:r w:rsidR="00826C5A">
          <w:rPr>
            <w:rFonts w:ascii="Cambria" w:hAnsi="Cambria" w:cs="Cambria"/>
            <w:lang w:val="en-GB"/>
          </w:rPr>
          <w:t>Enrolment of Children with Disabilities in Viet Nam</w:t>
        </w:r>
        <w:r w:rsidR="00826C5A">
          <w:rPr>
            <w:rFonts w:ascii="Calibri" w:hAnsi="Calibri" w:cs="Calibri"/>
            <w:lang w:val="en-GB"/>
          </w:rPr>
          <w:tab/>
          <w:t>86</w:t>
        </w:r>
      </w:hyperlink>
    </w:p>
    <w:p w14:paraId="788D6C49" w14:textId="77777777" w:rsidR="00622BC0" w:rsidRDefault="0061782C">
      <w:pPr>
        <w:widowControl w:val="0"/>
        <w:tabs>
          <w:tab w:val="right" w:pos="8306"/>
        </w:tabs>
        <w:autoSpaceDE w:val="0"/>
        <w:autoSpaceDN w:val="0"/>
        <w:adjustRightInd w:val="0"/>
        <w:spacing w:after="200" w:line="276" w:lineRule="auto"/>
        <w:ind w:left="880" w:right="-6" w:hanging="400"/>
        <w:rPr>
          <w:rFonts w:ascii="Calibri" w:hAnsi="Calibri" w:cs="Calibri"/>
          <w:lang w:val="en-GB"/>
        </w:rPr>
      </w:pPr>
      <w:hyperlink r:id="rId51" w:history="1">
        <w:r w:rsidR="00826C5A">
          <w:rPr>
            <w:rFonts w:ascii="Cambria" w:hAnsi="Cambria" w:cs="Cambria"/>
            <w:lang w:val="en-GB"/>
          </w:rPr>
          <w:t xml:space="preserve">Figure </w:t>
        </w:r>
        <w:r w:rsidR="00826C5A">
          <w:rPr>
            <w:rFonts w:ascii="Calibri" w:hAnsi="Calibri" w:cs="Calibri"/>
            <w:lang w:val="en-GB"/>
          </w:rPr>
          <w:t xml:space="preserve">8 </w:t>
        </w:r>
        <w:r w:rsidR="00826C5A">
          <w:rPr>
            <w:rFonts w:ascii="Cambria" w:hAnsi="Cambria" w:cs="Cambria"/>
            <w:lang w:val="en-GB"/>
          </w:rPr>
          <w:t>Policies and Regulations on Gender Equality in Viet Nam</w:t>
        </w:r>
        <w:r w:rsidR="00826C5A">
          <w:rPr>
            <w:rFonts w:ascii="Calibri" w:hAnsi="Calibri" w:cs="Calibri"/>
            <w:lang w:val="en-GB"/>
          </w:rPr>
          <w:tab/>
          <w:t>88</w:t>
        </w:r>
      </w:hyperlink>
    </w:p>
    <w:p w14:paraId="64803749" w14:textId="77777777" w:rsidR="00622BC0" w:rsidRDefault="0061782C">
      <w:pPr>
        <w:widowControl w:val="0"/>
        <w:tabs>
          <w:tab w:val="right" w:pos="8306"/>
        </w:tabs>
        <w:autoSpaceDE w:val="0"/>
        <w:autoSpaceDN w:val="0"/>
        <w:adjustRightInd w:val="0"/>
        <w:spacing w:after="200" w:line="276" w:lineRule="auto"/>
        <w:ind w:left="880" w:right="-6" w:hanging="400"/>
        <w:rPr>
          <w:rFonts w:ascii="Calibri" w:hAnsi="Calibri" w:cs="Calibri"/>
          <w:lang w:val="en-GB"/>
        </w:rPr>
      </w:pPr>
      <w:hyperlink r:id="rId52" w:history="1">
        <w:r w:rsidR="00826C5A">
          <w:rPr>
            <w:rFonts w:ascii="Cambria" w:hAnsi="Cambria" w:cs="Cambria"/>
            <w:lang w:val="en-GB"/>
          </w:rPr>
          <w:t xml:space="preserve">Figure </w:t>
        </w:r>
        <w:r w:rsidR="00826C5A">
          <w:rPr>
            <w:rFonts w:ascii="Calibri" w:hAnsi="Calibri" w:cs="Calibri"/>
            <w:lang w:val="en-GB"/>
          </w:rPr>
          <w:t xml:space="preserve">9 </w:t>
        </w:r>
        <w:r w:rsidR="00826C5A">
          <w:rPr>
            <w:rFonts w:ascii="Cambria" w:hAnsi="Cambria" w:cs="Cambria"/>
            <w:lang w:val="en-GB"/>
          </w:rPr>
          <w:t>Employment Sectors of Persons with Disabilities in Viet Nam</w:t>
        </w:r>
        <w:r w:rsidR="00826C5A">
          <w:rPr>
            <w:rFonts w:ascii="Calibri" w:hAnsi="Calibri" w:cs="Calibri"/>
            <w:lang w:val="en-GB"/>
          </w:rPr>
          <w:tab/>
          <w:t>91</w:t>
        </w:r>
      </w:hyperlink>
    </w:p>
    <w:p w14:paraId="25D5D4A5" w14:textId="77777777" w:rsidR="00622BC0" w:rsidRDefault="0061782C">
      <w:pPr>
        <w:widowControl w:val="0"/>
        <w:tabs>
          <w:tab w:val="right" w:pos="8306"/>
        </w:tabs>
        <w:autoSpaceDE w:val="0"/>
        <w:autoSpaceDN w:val="0"/>
        <w:adjustRightInd w:val="0"/>
        <w:spacing w:after="200" w:line="276" w:lineRule="auto"/>
        <w:ind w:left="880" w:right="-6" w:hanging="400"/>
        <w:rPr>
          <w:rFonts w:ascii="Calibri" w:hAnsi="Calibri" w:cs="Calibri"/>
          <w:lang w:val="en-GB"/>
        </w:rPr>
      </w:pPr>
      <w:hyperlink r:id="rId53" w:history="1">
        <w:r w:rsidR="00826C5A">
          <w:rPr>
            <w:rFonts w:ascii="Cambria" w:hAnsi="Cambria" w:cs="Cambria"/>
            <w:lang w:val="en-GB"/>
          </w:rPr>
          <w:t xml:space="preserve">Figure </w:t>
        </w:r>
        <w:r w:rsidR="00826C5A">
          <w:rPr>
            <w:rFonts w:ascii="Calibri" w:hAnsi="Calibri" w:cs="Calibri"/>
            <w:lang w:val="en-GB"/>
          </w:rPr>
          <w:t xml:space="preserve">10 </w:t>
        </w:r>
        <w:r w:rsidR="00826C5A">
          <w:rPr>
            <w:rFonts w:ascii="Cambria" w:hAnsi="Cambria" w:cs="Cambria"/>
            <w:lang w:val="en-GB"/>
          </w:rPr>
          <w:t>Monthly Income Persons with Disabilities in Viet Nam</w:t>
        </w:r>
        <w:r w:rsidR="00826C5A">
          <w:rPr>
            <w:rFonts w:ascii="Calibri" w:hAnsi="Calibri" w:cs="Calibri"/>
            <w:lang w:val="en-GB"/>
          </w:rPr>
          <w:tab/>
          <w:t>91</w:t>
        </w:r>
      </w:hyperlink>
    </w:p>
    <w:p w14:paraId="174B91B7" w14:textId="77777777" w:rsidR="00622BC0" w:rsidRDefault="0061782C">
      <w:pPr>
        <w:widowControl w:val="0"/>
        <w:tabs>
          <w:tab w:val="right" w:pos="8306"/>
        </w:tabs>
        <w:autoSpaceDE w:val="0"/>
        <w:autoSpaceDN w:val="0"/>
        <w:adjustRightInd w:val="0"/>
        <w:spacing w:after="200" w:line="276" w:lineRule="auto"/>
        <w:ind w:left="880" w:right="-6" w:hanging="400"/>
        <w:rPr>
          <w:rFonts w:ascii="Calibri" w:hAnsi="Calibri" w:cs="Calibri"/>
          <w:lang w:val="en-GB"/>
        </w:rPr>
      </w:pPr>
      <w:hyperlink r:id="rId54" w:history="1">
        <w:r w:rsidR="00826C5A">
          <w:rPr>
            <w:rFonts w:ascii="Cambria" w:hAnsi="Cambria" w:cs="Cambria"/>
            <w:lang w:val="en-GB"/>
          </w:rPr>
          <w:t xml:space="preserve">Figure </w:t>
        </w:r>
        <w:r w:rsidR="00826C5A">
          <w:rPr>
            <w:rFonts w:ascii="Calibri" w:hAnsi="Calibri" w:cs="Calibri"/>
            <w:lang w:val="en-GB"/>
          </w:rPr>
          <w:t xml:space="preserve">11 </w:t>
        </w:r>
        <w:r w:rsidR="00826C5A">
          <w:rPr>
            <w:rFonts w:ascii="Cambria" w:hAnsi="Cambria" w:cs="Cambria"/>
            <w:lang w:val="en-GB"/>
          </w:rPr>
          <w:t>Accessibility Building and Transportation in Viet Nam</w:t>
        </w:r>
        <w:r w:rsidR="00826C5A">
          <w:rPr>
            <w:rFonts w:ascii="Calibri" w:hAnsi="Calibri" w:cs="Calibri"/>
            <w:lang w:val="en-GB"/>
          </w:rPr>
          <w:tab/>
          <w:t>93</w:t>
        </w:r>
      </w:hyperlink>
    </w:p>
    <w:p w14:paraId="4921CFCE" w14:textId="77777777" w:rsidR="00622BC0" w:rsidRDefault="00826C5A">
      <w:pPr>
        <w:widowControl w:val="0"/>
        <w:tabs>
          <w:tab w:val="right" w:pos="8306"/>
        </w:tabs>
        <w:autoSpaceDE w:val="0"/>
        <w:autoSpaceDN w:val="0"/>
        <w:adjustRightInd w:val="0"/>
        <w:spacing w:after="200" w:line="276" w:lineRule="auto"/>
        <w:ind w:left="880" w:right="-6" w:hanging="400"/>
        <w:rPr>
          <w:rFonts w:ascii="Cambria" w:hAnsi="Cambria" w:cs="Cambria"/>
          <w:lang w:val="en-GB"/>
        </w:rPr>
      </w:pPr>
      <w:r>
        <w:rPr>
          <w:rFonts w:ascii="Calibri" w:hAnsi="Calibri" w:cs="Calibri"/>
          <w:lang w:val="en-GB"/>
        </w:rPr>
        <w:fldChar w:fldCharType="begin"/>
      </w:r>
      <w:r>
        <w:rPr>
          <w:rFonts w:ascii="Calibri" w:hAnsi="Calibri" w:cs="Calibri"/>
          <w:lang w:val="en-GB"/>
        </w:rPr>
        <w:instrText>HYPERLINK "C:\\Users\\KODIBARTH\\Dropbox\\JOBS and GIGS\\US Jobs\\US Temp jobs\\US JOURNALISM_TEMP\\IDA Consultancy\\202006_ASEAN\\l _Toc20463"</w:instrText>
      </w:r>
      <w:r>
        <w:rPr>
          <w:rFonts w:ascii="Calibri" w:hAnsi="Calibri" w:cs="Calibri"/>
          <w:lang w:val="en-GB"/>
        </w:rPr>
        <w:fldChar w:fldCharType="separate"/>
      </w:r>
      <w:r>
        <w:rPr>
          <w:rFonts w:ascii="Cambria" w:hAnsi="Cambria" w:cs="Cambria"/>
          <w:lang w:val="en-GB"/>
        </w:rPr>
        <w:t xml:space="preserve">Figure </w:t>
      </w:r>
      <w:r>
        <w:rPr>
          <w:rFonts w:ascii="Calibri" w:hAnsi="Calibri" w:cs="Calibri"/>
          <w:lang w:val="en-GB"/>
        </w:rPr>
        <w:t xml:space="preserve">12 </w:t>
      </w:r>
      <w:r>
        <w:rPr>
          <w:rFonts w:ascii="Cambria" w:hAnsi="Cambria" w:cs="Cambria"/>
          <w:lang w:val="en-GB"/>
        </w:rPr>
        <w:t xml:space="preserve">Services of The Sirindhorn National Medical Rehabilitation Institute </w:t>
      </w:r>
    </w:p>
    <w:p w14:paraId="312DDFC3" w14:textId="77777777" w:rsidR="00622BC0" w:rsidRDefault="00826C5A">
      <w:pPr>
        <w:widowControl w:val="0"/>
        <w:tabs>
          <w:tab w:val="right" w:pos="8306"/>
        </w:tabs>
        <w:autoSpaceDE w:val="0"/>
        <w:autoSpaceDN w:val="0"/>
        <w:adjustRightInd w:val="0"/>
        <w:spacing w:after="200" w:line="276" w:lineRule="auto"/>
        <w:ind w:left="880" w:right="-6" w:hanging="400"/>
        <w:rPr>
          <w:rFonts w:ascii="Calibri" w:hAnsi="Calibri" w:cs="Calibri"/>
          <w:lang w:val="en-GB"/>
        </w:rPr>
      </w:pPr>
      <w:r>
        <w:rPr>
          <w:rFonts w:ascii="Cambria" w:hAnsi="Cambria" w:cs="Cambria"/>
          <w:lang w:val="en-GB"/>
        </w:rPr>
        <w:t>in Thailand</w:t>
      </w:r>
      <w:r>
        <w:rPr>
          <w:rFonts w:ascii="Calibri" w:hAnsi="Calibri" w:cs="Calibri"/>
          <w:lang w:val="en-GB"/>
        </w:rPr>
        <w:tab/>
        <w:t>103</w:t>
      </w:r>
      <w:r>
        <w:rPr>
          <w:rFonts w:ascii="Calibri" w:hAnsi="Calibri" w:cs="Calibri"/>
          <w:lang w:val="en-GB"/>
        </w:rPr>
        <w:fldChar w:fldCharType="end"/>
      </w:r>
    </w:p>
    <w:p w14:paraId="47EE1215" w14:textId="77777777" w:rsidR="00622BC0" w:rsidRDefault="0061782C">
      <w:pPr>
        <w:widowControl w:val="0"/>
        <w:tabs>
          <w:tab w:val="right" w:pos="8306"/>
        </w:tabs>
        <w:autoSpaceDE w:val="0"/>
        <w:autoSpaceDN w:val="0"/>
        <w:adjustRightInd w:val="0"/>
        <w:spacing w:after="200" w:line="276" w:lineRule="auto"/>
        <w:ind w:left="880" w:right="-6" w:hanging="400"/>
        <w:rPr>
          <w:rFonts w:ascii="Calibri" w:hAnsi="Calibri" w:cs="Calibri"/>
          <w:lang w:val="en-GB"/>
        </w:rPr>
      </w:pPr>
      <w:hyperlink r:id="rId55" w:history="1">
        <w:r w:rsidR="00826C5A">
          <w:rPr>
            <w:rFonts w:ascii="Cambria" w:hAnsi="Cambria" w:cs="Cambria"/>
            <w:lang w:val="en-GB"/>
          </w:rPr>
          <w:t xml:space="preserve">Figure </w:t>
        </w:r>
        <w:r w:rsidR="00826C5A">
          <w:rPr>
            <w:rFonts w:ascii="Calibri" w:hAnsi="Calibri" w:cs="Calibri"/>
            <w:lang w:val="en-GB"/>
          </w:rPr>
          <w:t xml:space="preserve">13 </w:t>
        </w:r>
        <w:r w:rsidR="00826C5A">
          <w:rPr>
            <w:rFonts w:ascii="Cambria" w:hAnsi="Cambria" w:cs="Cambria"/>
            <w:lang w:val="en-GB"/>
          </w:rPr>
          <w:t>Enrolment of Children with Disabilities in Thailand</w:t>
        </w:r>
        <w:r w:rsidR="00826C5A">
          <w:rPr>
            <w:rFonts w:ascii="Calibri" w:hAnsi="Calibri" w:cs="Calibri"/>
            <w:lang w:val="en-GB"/>
          </w:rPr>
          <w:tab/>
          <w:t>106</w:t>
        </w:r>
      </w:hyperlink>
    </w:p>
    <w:p w14:paraId="13388C18" w14:textId="77777777" w:rsidR="00622BC0" w:rsidRDefault="0061782C">
      <w:pPr>
        <w:widowControl w:val="0"/>
        <w:tabs>
          <w:tab w:val="right" w:pos="8306"/>
        </w:tabs>
        <w:autoSpaceDE w:val="0"/>
        <w:autoSpaceDN w:val="0"/>
        <w:adjustRightInd w:val="0"/>
        <w:spacing w:after="200" w:line="276" w:lineRule="auto"/>
        <w:ind w:left="880" w:right="-6" w:hanging="400"/>
        <w:rPr>
          <w:rFonts w:ascii="Calibri" w:hAnsi="Calibri" w:cs="Calibri"/>
          <w:lang w:val="en-GB"/>
        </w:rPr>
      </w:pPr>
      <w:hyperlink r:id="rId56" w:history="1">
        <w:r w:rsidR="00826C5A">
          <w:rPr>
            <w:rFonts w:ascii="Cambria" w:hAnsi="Cambria" w:cs="Cambria"/>
            <w:lang w:val="en-GB"/>
          </w:rPr>
          <w:t xml:space="preserve">Figure </w:t>
        </w:r>
        <w:r w:rsidR="00826C5A">
          <w:rPr>
            <w:rFonts w:ascii="Calibri" w:hAnsi="Calibri" w:cs="Calibri"/>
            <w:lang w:val="en-GB"/>
          </w:rPr>
          <w:t xml:space="preserve">14 </w:t>
        </w:r>
        <w:r w:rsidR="00826C5A">
          <w:rPr>
            <w:rFonts w:ascii="Cambria" w:hAnsi="Cambria" w:cs="Cambria"/>
            <w:lang w:val="en-GB"/>
          </w:rPr>
          <w:t>Employed Persons with Disabilities by Quota System in Thailand</w:t>
        </w:r>
        <w:r w:rsidR="00826C5A">
          <w:rPr>
            <w:rFonts w:ascii="Calibri" w:hAnsi="Calibri" w:cs="Calibri"/>
            <w:lang w:val="en-GB"/>
          </w:rPr>
          <w:tab/>
          <w:t>112</w:t>
        </w:r>
      </w:hyperlink>
    </w:p>
    <w:p w14:paraId="7B632DBC" w14:textId="77777777" w:rsidR="00622BC0" w:rsidRDefault="00622BC0">
      <w:pPr>
        <w:widowControl w:val="0"/>
        <w:tabs>
          <w:tab w:val="right" w:pos="8306"/>
        </w:tabs>
        <w:autoSpaceDE w:val="0"/>
        <w:autoSpaceDN w:val="0"/>
        <w:adjustRightInd w:val="0"/>
        <w:spacing w:after="200" w:line="276" w:lineRule="auto"/>
        <w:ind w:left="960" w:right="-6" w:hanging="480"/>
        <w:rPr>
          <w:rFonts w:ascii="Cambria" w:hAnsi="Cambria" w:cs="Cambria"/>
          <w:lang w:val="en-GB"/>
        </w:rPr>
      </w:pPr>
    </w:p>
    <w:p w14:paraId="26DE8E45" w14:textId="77777777" w:rsidR="00622BC0" w:rsidRDefault="00826C5A">
      <w:pPr>
        <w:widowControl w:val="0"/>
        <w:autoSpaceDE w:val="0"/>
        <w:autoSpaceDN w:val="0"/>
        <w:adjustRightInd w:val="0"/>
        <w:spacing w:after="200" w:line="276" w:lineRule="auto"/>
        <w:ind w:right="-6"/>
        <w:rPr>
          <w:rFonts w:ascii="Cambria" w:hAnsi="Cambria" w:cs="Cambria"/>
          <w:lang w:val="en-GB"/>
        </w:rPr>
      </w:pPr>
      <w:r>
        <w:rPr>
          <w:rFonts w:ascii="Cambria" w:hAnsi="Cambria" w:cs="Cambria"/>
          <w:lang w:val="en-GB"/>
        </w:rPr>
        <w:br w:type="page"/>
      </w:r>
    </w:p>
    <w:p w14:paraId="4304A20A"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lastRenderedPageBreak/>
        <w:t>Abbreviation</w:t>
      </w:r>
    </w:p>
    <w:p w14:paraId="5B383A5E" w14:textId="77777777" w:rsidR="00622BC0" w:rsidRDefault="00622BC0">
      <w:pPr>
        <w:widowControl w:val="0"/>
        <w:autoSpaceDE w:val="0"/>
        <w:autoSpaceDN w:val="0"/>
        <w:adjustRightInd w:val="0"/>
        <w:spacing w:after="200"/>
        <w:ind w:right="-6"/>
        <w:rPr>
          <w:rFonts w:ascii="Cambria" w:hAnsi="Cambria" w:cs="Cambria"/>
          <w:lang w:val="en-GB"/>
        </w:rPr>
      </w:pPr>
    </w:p>
    <w:p w14:paraId="17242090" w14:textId="77777777" w:rsidR="00622BC0" w:rsidRPr="002163D6" w:rsidRDefault="00826C5A">
      <w:pPr>
        <w:widowControl w:val="0"/>
        <w:autoSpaceDE w:val="0"/>
        <w:autoSpaceDN w:val="0"/>
        <w:adjustRightInd w:val="0"/>
        <w:spacing w:after="200"/>
        <w:ind w:left="1716" w:right="-6" w:hanging="1716"/>
        <w:rPr>
          <w:rFonts w:ascii="Cambria" w:hAnsi="Cambria" w:cs="Cambria"/>
          <w:lang w:val="en-GB"/>
        </w:rPr>
      </w:pPr>
      <w:r>
        <w:rPr>
          <w:rFonts w:ascii="Cambria" w:hAnsi="Cambria" w:cs="Cambria"/>
          <w:lang w:val="en-GB"/>
        </w:rPr>
        <w:t>ACWC</w:t>
      </w:r>
      <w:r>
        <w:rPr>
          <w:rFonts w:ascii="Cambria" w:hAnsi="Cambria" w:cs="Cambria"/>
          <w:lang w:val="en-GB"/>
        </w:rPr>
        <w:tab/>
      </w:r>
      <w:r>
        <w:rPr>
          <w:rFonts w:ascii="Cambria" w:hAnsi="Cambria" w:cs="Cambria"/>
          <w:lang w:val="en-GB"/>
        </w:rPr>
        <w:tab/>
        <w:t xml:space="preserve">ASEAN </w:t>
      </w:r>
      <w:r w:rsidRPr="002163D6">
        <w:rPr>
          <w:rFonts w:ascii="Cambria" w:hAnsi="Cambria" w:cs="Cambria"/>
          <w:lang w:val="en-GB"/>
        </w:rPr>
        <w:t xml:space="preserve">Commission on the Promotion and Protection of the </w:t>
      </w:r>
      <w:r w:rsidRPr="002163D6">
        <w:rPr>
          <w:rFonts w:ascii="Cambria" w:hAnsi="Cambria" w:cs="Cambria"/>
          <w:lang w:val="en-GB"/>
        </w:rPr>
        <w:tab/>
        <w:t>Rights of Women and Children</w:t>
      </w:r>
    </w:p>
    <w:p w14:paraId="6001E3D1" w14:textId="77777777" w:rsidR="00622BC0" w:rsidRPr="002163D6" w:rsidRDefault="00826C5A">
      <w:pPr>
        <w:widowControl w:val="0"/>
        <w:autoSpaceDE w:val="0"/>
        <w:autoSpaceDN w:val="0"/>
        <w:adjustRightInd w:val="0"/>
        <w:spacing w:after="200"/>
        <w:ind w:left="1596" w:right="-6" w:hanging="1596"/>
        <w:rPr>
          <w:rFonts w:ascii="Cambria" w:hAnsi="Cambria" w:cs="Cambria"/>
          <w:lang w:val="en-GB"/>
        </w:rPr>
      </w:pPr>
      <w:r w:rsidRPr="002163D6">
        <w:rPr>
          <w:rFonts w:ascii="Cambria" w:hAnsi="Cambria" w:cs="Cambria"/>
          <w:lang w:val="en-GB"/>
        </w:rPr>
        <w:t xml:space="preserve">ADF </w:t>
      </w:r>
      <w:r w:rsidRPr="002163D6">
        <w:rPr>
          <w:rFonts w:ascii="Cambria" w:hAnsi="Cambria" w:cs="Cambria"/>
          <w:lang w:val="en-GB"/>
        </w:rPr>
        <w:tab/>
      </w:r>
      <w:r w:rsidRPr="002163D6">
        <w:rPr>
          <w:rFonts w:ascii="Cambria" w:hAnsi="Cambria" w:cs="Cambria"/>
          <w:lang w:val="en-GB"/>
        </w:rPr>
        <w:tab/>
        <w:t>ASEAN Disability Forum</w:t>
      </w:r>
    </w:p>
    <w:p w14:paraId="438DA8E9" w14:textId="77777777" w:rsidR="00622BC0" w:rsidRPr="002163D6" w:rsidRDefault="00826C5A">
      <w:pPr>
        <w:widowControl w:val="0"/>
        <w:autoSpaceDE w:val="0"/>
        <w:autoSpaceDN w:val="0"/>
        <w:adjustRightInd w:val="0"/>
        <w:spacing w:after="200"/>
        <w:ind w:left="1596" w:right="-6" w:hanging="1596"/>
        <w:rPr>
          <w:rFonts w:ascii="Cambria" w:hAnsi="Cambria" w:cs="Cambria"/>
          <w:lang w:val="en-GB"/>
        </w:rPr>
      </w:pPr>
      <w:r w:rsidRPr="002163D6">
        <w:rPr>
          <w:rFonts w:ascii="Cambria" w:hAnsi="Cambria" w:cs="Cambria"/>
          <w:lang w:val="en-GB"/>
        </w:rPr>
        <w:t xml:space="preserve">ADHD </w:t>
      </w:r>
      <w:r w:rsidRPr="002163D6">
        <w:rPr>
          <w:rFonts w:ascii="Cambria" w:hAnsi="Cambria" w:cs="Cambria"/>
          <w:lang w:val="en-GB"/>
        </w:rPr>
        <w:tab/>
      </w:r>
      <w:r w:rsidRPr="002163D6">
        <w:rPr>
          <w:rFonts w:ascii="Cambria" w:hAnsi="Cambria" w:cs="Cambria"/>
          <w:lang w:val="en-GB"/>
        </w:rPr>
        <w:tab/>
        <w:t>Attention Deficit Hyperactivity Disorder</w:t>
      </w:r>
    </w:p>
    <w:p w14:paraId="2C95C046" w14:textId="77777777" w:rsidR="00622BC0" w:rsidRPr="002163D6" w:rsidRDefault="00826C5A">
      <w:pPr>
        <w:widowControl w:val="0"/>
        <w:autoSpaceDE w:val="0"/>
        <w:autoSpaceDN w:val="0"/>
        <w:adjustRightInd w:val="0"/>
        <w:spacing w:after="200"/>
        <w:ind w:left="1596" w:right="-6" w:hanging="1596"/>
        <w:rPr>
          <w:rFonts w:ascii="Cambria" w:hAnsi="Cambria" w:cs="Cambria"/>
          <w:lang w:val="en-GB"/>
        </w:rPr>
      </w:pPr>
      <w:r w:rsidRPr="002163D6">
        <w:rPr>
          <w:rFonts w:ascii="Cambria" w:hAnsi="Cambria" w:cs="Cambria"/>
          <w:lang w:val="en-GB"/>
        </w:rPr>
        <w:t xml:space="preserve">AICHR </w:t>
      </w:r>
      <w:r w:rsidRPr="002163D6">
        <w:rPr>
          <w:rFonts w:ascii="Cambria" w:hAnsi="Cambria" w:cs="Cambria"/>
          <w:lang w:val="en-GB"/>
        </w:rPr>
        <w:tab/>
      </w:r>
      <w:r w:rsidRPr="002163D6">
        <w:rPr>
          <w:rFonts w:ascii="Cambria" w:hAnsi="Cambria" w:cs="Cambria"/>
          <w:lang w:val="en-GB"/>
        </w:rPr>
        <w:tab/>
        <w:t xml:space="preserve">ASEAN Intergovernmental Commission on Human Rights </w:t>
      </w:r>
    </w:p>
    <w:p w14:paraId="07FDF7CD" w14:textId="77777777" w:rsidR="00622BC0" w:rsidRPr="002163D6" w:rsidRDefault="00826C5A">
      <w:pPr>
        <w:widowControl w:val="0"/>
        <w:autoSpaceDE w:val="0"/>
        <w:autoSpaceDN w:val="0"/>
        <w:adjustRightInd w:val="0"/>
        <w:spacing w:after="200"/>
        <w:ind w:left="1596" w:right="-6" w:hanging="1596"/>
        <w:rPr>
          <w:rFonts w:ascii="Cambria" w:hAnsi="Cambria" w:cs="Cambria"/>
          <w:lang w:val="en-GB"/>
        </w:rPr>
      </w:pPr>
      <w:r w:rsidRPr="002163D6">
        <w:rPr>
          <w:rFonts w:ascii="Cambria" w:hAnsi="Cambria" w:cs="Cambria"/>
          <w:lang w:val="en-GB"/>
        </w:rPr>
        <w:t xml:space="preserve">AIDS </w:t>
      </w:r>
      <w:r w:rsidRPr="002163D6">
        <w:rPr>
          <w:rFonts w:ascii="Cambria" w:hAnsi="Cambria" w:cs="Cambria"/>
          <w:lang w:val="en-GB"/>
        </w:rPr>
        <w:tab/>
      </w:r>
      <w:r w:rsidRPr="002163D6">
        <w:rPr>
          <w:rFonts w:ascii="Cambria" w:hAnsi="Cambria" w:cs="Cambria"/>
          <w:lang w:val="en-GB"/>
        </w:rPr>
        <w:tab/>
        <w:t>Acquired Immune Deficiency Syndrome</w:t>
      </w:r>
    </w:p>
    <w:p w14:paraId="35183A0E" w14:textId="77777777" w:rsidR="00622BC0" w:rsidRPr="002163D6" w:rsidRDefault="00826C5A">
      <w:pPr>
        <w:widowControl w:val="0"/>
        <w:autoSpaceDE w:val="0"/>
        <w:autoSpaceDN w:val="0"/>
        <w:adjustRightInd w:val="0"/>
        <w:spacing w:after="200"/>
        <w:ind w:left="1596" w:right="-6" w:hanging="1596"/>
        <w:rPr>
          <w:rFonts w:ascii="Cambria" w:hAnsi="Cambria" w:cs="Cambria"/>
          <w:lang w:val="en-GB"/>
        </w:rPr>
      </w:pPr>
      <w:r w:rsidRPr="002163D6">
        <w:rPr>
          <w:rFonts w:ascii="Cambria" w:hAnsi="Cambria" w:cs="Cambria"/>
          <w:lang w:val="en-GB"/>
        </w:rPr>
        <w:t xml:space="preserve">APHT </w:t>
      </w:r>
      <w:r w:rsidRPr="002163D6">
        <w:rPr>
          <w:rFonts w:ascii="Cambria" w:hAnsi="Cambria" w:cs="Cambria"/>
          <w:lang w:val="en-GB"/>
        </w:rPr>
        <w:tab/>
      </w:r>
      <w:r w:rsidRPr="002163D6">
        <w:rPr>
          <w:rFonts w:ascii="Cambria" w:hAnsi="Cambria" w:cs="Cambria"/>
          <w:lang w:val="en-GB"/>
        </w:rPr>
        <w:tab/>
        <w:t>Association of the Physically Handicapped of Thailand</w:t>
      </w:r>
    </w:p>
    <w:p w14:paraId="7D7808F8" w14:textId="77777777" w:rsidR="00622BC0" w:rsidRPr="002163D6" w:rsidRDefault="00826C5A">
      <w:pPr>
        <w:widowControl w:val="0"/>
        <w:autoSpaceDE w:val="0"/>
        <w:autoSpaceDN w:val="0"/>
        <w:adjustRightInd w:val="0"/>
        <w:spacing w:after="200"/>
        <w:ind w:left="1596" w:right="-6" w:hanging="1596"/>
        <w:rPr>
          <w:rFonts w:ascii="Cambria" w:hAnsi="Cambria" w:cs="Cambria"/>
          <w:lang w:val="en-GB"/>
        </w:rPr>
      </w:pPr>
      <w:r w:rsidRPr="002163D6">
        <w:rPr>
          <w:rFonts w:ascii="Cambria" w:hAnsi="Cambria" w:cs="Cambria"/>
          <w:lang w:val="en-GB"/>
        </w:rPr>
        <w:t xml:space="preserve">APSN </w:t>
      </w:r>
      <w:r w:rsidRPr="002163D6">
        <w:rPr>
          <w:rFonts w:ascii="Cambria" w:hAnsi="Cambria" w:cs="Cambria"/>
          <w:lang w:val="en-GB"/>
        </w:rPr>
        <w:tab/>
      </w:r>
      <w:r w:rsidRPr="002163D6">
        <w:rPr>
          <w:rFonts w:ascii="Cambria" w:hAnsi="Cambria" w:cs="Cambria"/>
          <w:lang w:val="en-GB"/>
        </w:rPr>
        <w:tab/>
        <w:t>Association for Persons with Special Needs</w:t>
      </w:r>
    </w:p>
    <w:p w14:paraId="00FD02CA" w14:textId="77777777" w:rsidR="00622BC0" w:rsidRPr="002163D6" w:rsidRDefault="00826C5A">
      <w:pPr>
        <w:widowControl w:val="0"/>
        <w:autoSpaceDE w:val="0"/>
        <w:autoSpaceDN w:val="0"/>
        <w:adjustRightInd w:val="0"/>
        <w:spacing w:after="200"/>
        <w:ind w:left="1596" w:right="-6" w:hanging="1596"/>
        <w:rPr>
          <w:rFonts w:ascii="Cambria" w:hAnsi="Cambria" w:cs="Cambria"/>
          <w:lang w:val="en-GB"/>
        </w:rPr>
      </w:pPr>
      <w:r w:rsidRPr="002163D6">
        <w:rPr>
          <w:rFonts w:ascii="Cambria" w:hAnsi="Cambria" w:cs="Cambria"/>
          <w:lang w:val="en-GB"/>
        </w:rPr>
        <w:t xml:space="preserve">ASD </w:t>
      </w:r>
      <w:r w:rsidRPr="002163D6">
        <w:rPr>
          <w:rFonts w:ascii="Cambria" w:hAnsi="Cambria" w:cs="Cambria"/>
          <w:lang w:val="en-GB"/>
        </w:rPr>
        <w:tab/>
      </w:r>
      <w:r w:rsidRPr="002163D6">
        <w:rPr>
          <w:rFonts w:ascii="Cambria" w:hAnsi="Cambria" w:cs="Cambria"/>
          <w:lang w:val="en-GB"/>
        </w:rPr>
        <w:tab/>
        <w:t>Autism Spectrum Disorder </w:t>
      </w:r>
    </w:p>
    <w:p w14:paraId="0560BA0E" w14:textId="77777777" w:rsidR="00622BC0" w:rsidRPr="002163D6" w:rsidRDefault="00826C5A">
      <w:pPr>
        <w:widowControl w:val="0"/>
        <w:autoSpaceDE w:val="0"/>
        <w:autoSpaceDN w:val="0"/>
        <w:adjustRightInd w:val="0"/>
        <w:spacing w:after="200"/>
        <w:ind w:left="1596" w:right="-6" w:hanging="1596"/>
        <w:rPr>
          <w:rFonts w:ascii="Cambria" w:hAnsi="Cambria" w:cs="Cambria"/>
          <w:lang w:val="en-GB"/>
        </w:rPr>
      </w:pPr>
      <w:r w:rsidRPr="002163D6">
        <w:rPr>
          <w:rFonts w:ascii="Cambria" w:hAnsi="Cambria" w:cs="Cambria"/>
          <w:lang w:val="en-GB"/>
        </w:rPr>
        <w:t xml:space="preserve">ASEAN </w:t>
      </w:r>
      <w:r w:rsidRPr="002163D6">
        <w:rPr>
          <w:rFonts w:ascii="Cambria" w:hAnsi="Cambria" w:cs="Cambria"/>
          <w:lang w:val="en-GB"/>
        </w:rPr>
        <w:tab/>
      </w:r>
      <w:r w:rsidRPr="002163D6">
        <w:rPr>
          <w:rFonts w:ascii="Cambria" w:hAnsi="Cambria" w:cs="Cambria"/>
          <w:lang w:val="en-GB"/>
        </w:rPr>
        <w:tab/>
        <w:t>Association of Southeast Asian Nations</w:t>
      </w:r>
    </w:p>
    <w:p w14:paraId="6ACE672D" w14:textId="77777777" w:rsidR="00622BC0" w:rsidRPr="002163D6" w:rsidRDefault="00826C5A">
      <w:pPr>
        <w:widowControl w:val="0"/>
        <w:autoSpaceDE w:val="0"/>
        <w:autoSpaceDN w:val="0"/>
        <w:adjustRightInd w:val="0"/>
        <w:spacing w:after="200"/>
        <w:ind w:left="1596" w:right="-6" w:hanging="1596"/>
        <w:rPr>
          <w:rFonts w:ascii="Cambria" w:hAnsi="Cambria" w:cs="Cambria"/>
          <w:lang w:val="en-GB"/>
        </w:rPr>
      </w:pPr>
      <w:r w:rsidRPr="002163D6">
        <w:rPr>
          <w:rFonts w:ascii="Cambria" w:hAnsi="Cambria" w:cs="Cambria"/>
          <w:lang w:val="en-GB"/>
        </w:rPr>
        <w:t xml:space="preserve">AWWA </w:t>
      </w:r>
      <w:r w:rsidRPr="002163D6">
        <w:rPr>
          <w:rFonts w:ascii="Cambria" w:hAnsi="Cambria" w:cs="Cambria"/>
          <w:lang w:val="en-GB"/>
        </w:rPr>
        <w:tab/>
      </w:r>
      <w:r w:rsidRPr="002163D6">
        <w:rPr>
          <w:rFonts w:ascii="Cambria" w:hAnsi="Cambria" w:cs="Cambria"/>
          <w:lang w:val="en-GB"/>
        </w:rPr>
        <w:tab/>
        <w:t>Asian Women's Welfare Association</w:t>
      </w:r>
    </w:p>
    <w:p w14:paraId="0B59289D" w14:textId="77777777" w:rsidR="00622BC0" w:rsidRDefault="00826C5A">
      <w:pPr>
        <w:widowControl w:val="0"/>
        <w:autoSpaceDE w:val="0"/>
        <w:autoSpaceDN w:val="0"/>
        <w:adjustRightInd w:val="0"/>
        <w:spacing w:after="200"/>
        <w:ind w:left="1596" w:right="-6" w:hanging="1596"/>
        <w:rPr>
          <w:rFonts w:ascii="Cambria" w:hAnsi="Cambria" w:cs="Cambria"/>
          <w:lang w:val="en-GB"/>
        </w:rPr>
      </w:pPr>
      <w:r w:rsidRPr="002163D6">
        <w:rPr>
          <w:rFonts w:ascii="Cambria" w:hAnsi="Cambria" w:cs="Cambria"/>
          <w:lang w:val="en-GB"/>
        </w:rPr>
        <w:t xml:space="preserve">CBR </w:t>
      </w:r>
      <w:r w:rsidRPr="002163D6">
        <w:rPr>
          <w:rFonts w:ascii="Cambria" w:hAnsi="Cambria" w:cs="Cambria"/>
          <w:lang w:val="en-GB"/>
        </w:rPr>
        <w:tab/>
      </w:r>
      <w:r w:rsidRPr="002163D6">
        <w:rPr>
          <w:rFonts w:ascii="Cambria" w:hAnsi="Cambria" w:cs="Cambria"/>
          <w:lang w:val="en-GB"/>
        </w:rPr>
        <w:tab/>
        <w:t>Community Based Rehabilitation</w:t>
      </w:r>
      <w:r>
        <w:rPr>
          <w:rFonts w:ascii="Cambria" w:hAnsi="Cambria" w:cs="Cambria"/>
          <w:lang w:val="en-GB"/>
        </w:rPr>
        <w:t xml:space="preserve"> </w:t>
      </w:r>
    </w:p>
    <w:p w14:paraId="7677BB9D" w14:textId="77777777" w:rsidR="00622BC0" w:rsidRDefault="00826C5A">
      <w:pPr>
        <w:widowControl w:val="0"/>
        <w:autoSpaceDE w:val="0"/>
        <w:autoSpaceDN w:val="0"/>
        <w:adjustRightInd w:val="0"/>
        <w:spacing w:after="200"/>
        <w:ind w:left="2177" w:right="-6" w:hanging="2177"/>
        <w:rPr>
          <w:rFonts w:ascii="Cambria" w:hAnsi="Cambria" w:cs="Cambria"/>
          <w:lang w:val="en-GB"/>
        </w:rPr>
      </w:pPr>
      <w:r>
        <w:rPr>
          <w:rFonts w:ascii="Cambria" w:hAnsi="Cambria" w:cs="Cambria"/>
          <w:lang w:val="en-GB"/>
        </w:rPr>
        <w:t xml:space="preserve">CEDAW </w:t>
      </w:r>
      <w:r>
        <w:rPr>
          <w:rFonts w:ascii="Cambria" w:hAnsi="Cambria" w:cs="Cambria"/>
          <w:lang w:val="en-GB"/>
        </w:rPr>
        <w:tab/>
        <w:t xml:space="preserve">Convention on the Elimination of All Forms of </w:t>
      </w:r>
      <w:r>
        <w:rPr>
          <w:rFonts w:ascii="Cambria" w:hAnsi="Cambria" w:cs="Cambria"/>
          <w:lang w:val="en-GB"/>
        </w:rPr>
        <w:tab/>
        <w:t xml:space="preserve"> Discrimination against Women </w:t>
      </w:r>
    </w:p>
    <w:p w14:paraId="6A657928"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CHED </w:t>
      </w:r>
      <w:r>
        <w:rPr>
          <w:rFonts w:ascii="Cambria" w:hAnsi="Cambria" w:cs="Cambria"/>
          <w:lang w:val="en-GB"/>
        </w:rPr>
        <w:tab/>
      </w:r>
      <w:r>
        <w:rPr>
          <w:rFonts w:ascii="Cambria" w:hAnsi="Cambria" w:cs="Cambria"/>
          <w:lang w:val="en-GB"/>
        </w:rPr>
        <w:tab/>
        <w:t>Commission on Higher Education</w:t>
      </w:r>
    </w:p>
    <w:p w14:paraId="51E5EEF0"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CHRP </w:t>
      </w:r>
      <w:r>
        <w:rPr>
          <w:rFonts w:ascii="Cambria" w:hAnsi="Cambria" w:cs="Cambria"/>
          <w:lang w:val="en-GB"/>
        </w:rPr>
        <w:tab/>
      </w:r>
      <w:r>
        <w:rPr>
          <w:rFonts w:ascii="Cambria" w:hAnsi="Cambria" w:cs="Cambria"/>
          <w:lang w:val="en-GB"/>
        </w:rPr>
        <w:tab/>
        <w:t>Commission on Human Rights of the Philippines</w:t>
      </w:r>
    </w:p>
    <w:p w14:paraId="7D0C4D3E"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CRC </w:t>
      </w:r>
      <w:r>
        <w:rPr>
          <w:rFonts w:ascii="Cambria" w:hAnsi="Cambria" w:cs="Cambria"/>
          <w:lang w:val="en-GB"/>
        </w:rPr>
        <w:tab/>
      </w:r>
      <w:r>
        <w:rPr>
          <w:rFonts w:ascii="Cambria" w:hAnsi="Cambria" w:cs="Cambria"/>
          <w:lang w:val="en-GB"/>
        </w:rPr>
        <w:tab/>
        <w:t>Convention on the Rights of the Child</w:t>
      </w:r>
    </w:p>
    <w:p w14:paraId="5BFC3E7B"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CRPD </w:t>
      </w:r>
      <w:r>
        <w:rPr>
          <w:rFonts w:ascii="Cambria" w:hAnsi="Cambria" w:cs="Cambria"/>
          <w:lang w:val="en-GB"/>
        </w:rPr>
        <w:tab/>
      </w:r>
      <w:r>
        <w:rPr>
          <w:rFonts w:ascii="Cambria" w:hAnsi="Cambria" w:cs="Cambria"/>
          <w:lang w:val="en-GB"/>
        </w:rPr>
        <w:tab/>
        <w:t>Convention on the Rights of Persons with Disabilities</w:t>
      </w:r>
    </w:p>
    <w:p w14:paraId="76F5D15E"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DENR </w:t>
      </w:r>
      <w:r>
        <w:rPr>
          <w:rFonts w:ascii="Cambria" w:hAnsi="Cambria" w:cs="Cambria"/>
          <w:lang w:val="en-GB"/>
        </w:rPr>
        <w:tab/>
      </w:r>
      <w:r>
        <w:rPr>
          <w:rFonts w:ascii="Cambria" w:hAnsi="Cambria" w:cs="Cambria"/>
          <w:lang w:val="en-GB"/>
        </w:rPr>
        <w:tab/>
        <w:t>Department of Natural Resources</w:t>
      </w:r>
    </w:p>
    <w:p w14:paraId="4F6DF770" w14:textId="77777777" w:rsidR="00622BC0" w:rsidRDefault="00826C5A">
      <w:pPr>
        <w:widowControl w:val="0"/>
        <w:autoSpaceDE w:val="0"/>
        <w:autoSpaceDN w:val="0"/>
        <w:adjustRightInd w:val="0"/>
        <w:spacing w:after="200"/>
        <w:ind w:left="2160" w:right="-6" w:hanging="2160"/>
        <w:rPr>
          <w:rFonts w:ascii="Cambria" w:hAnsi="Cambria" w:cs="Cambria"/>
          <w:lang w:val="en-GB"/>
        </w:rPr>
      </w:pPr>
      <w:r>
        <w:rPr>
          <w:rFonts w:ascii="Cambria" w:hAnsi="Cambria" w:cs="Cambria"/>
          <w:lang w:val="en-GB"/>
        </w:rPr>
        <w:t xml:space="preserve">DEP </w:t>
      </w:r>
      <w:r>
        <w:rPr>
          <w:rFonts w:ascii="Cambria" w:hAnsi="Cambria" w:cs="Cambria"/>
          <w:lang w:val="en-GB"/>
        </w:rPr>
        <w:tab/>
        <w:t xml:space="preserve">Thai Department of Empowerment of Persons with Disabilities </w:t>
      </w:r>
    </w:p>
    <w:p w14:paraId="48BA59EE"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DFAT </w:t>
      </w:r>
      <w:r>
        <w:rPr>
          <w:rFonts w:ascii="Cambria" w:hAnsi="Cambria" w:cs="Cambria"/>
          <w:lang w:val="en-GB"/>
        </w:rPr>
        <w:tab/>
      </w:r>
      <w:r>
        <w:rPr>
          <w:rFonts w:ascii="Cambria" w:hAnsi="Cambria" w:cs="Cambria"/>
          <w:lang w:val="en-GB"/>
        </w:rPr>
        <w:tab/>
        <w:t>Department of Foreign Affairs and Trade of Australia</w:t>
      </w:r>
    </w:p>
    <w:p w14:paraId="3018DBEC"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DILG </w:t>
      </w:r>
      <w:r>
        <w:rPr>
          <w:rFonts w:ascii="Cambria" w:hAnsi="Cambria" w:cs="Cambria"/>
          <w:lang w:val="en-GB"/>
        </w:rPr>
        <w:tab/>
      </w:r>
      <w:r>
        <w:rPr>
          <w:rFonts w:ascii="Cambria" w:hAnsi="Cambria" w:cs="Cambria"/>
          <w:lang w:val="en-GB"/>
        </w:rPr>
        <w:tab/>
        <w:t>Department of Interior and Local Government</w:t>
      </w:r>
    </w:p>
    <w:p w14:paraId="44B9CC1E"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DILP </w:t>
      </w:r>
      <w:r>
        <w:rPr>
          <w:rFonts w:ascii="Cambria" w:hAnsi="Cambria" w:cs="Cambria"/>
          <w:lang w:val="en-GB"/>
        </w:rPr>
        <w:tab/>
      </w:r>
      <w:r>
        <w:rPr>
          <w:rFonts w:ascii="Cambria" w:hAnsi="Cambria" w:cs="Cambria"/>
          <w:lang w:val="en-GB"/>
        </w:rPr>
        <w:tab/>
        <w:t>Philippine DOLE Integrated Livelihood Programme</w:t>
      </w:r>
    </w:p>
    <w:p w14:paraId="26D87D82"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DOH </w:t>
      </w:r>
      <w:r>
        <w:rPr>
          <w:rFonts w:ascii="Cambria" w:hAnsi="Cambria" w:cs="Cambria"/>
          <w:lang w:val="en-GB"/>
        </w:rPr>
        <w:tab/>
      </w:r>
      <w:r>
        <w:rPr>
          <w:rFonts w:ascii="Cambria" w:hAnsi="Cambria" w:cs="Cambria"/>
          <w:lang w:val="en-GB"/>
        </w:rPr>
        <w:tab/>
        <w:t xml:space="preserve">Philippine Department of Health </w:t>
      </w:r>
    </w:p>
    <w:p w14:paraId="5A539933"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DOLE </w:t>
      </w:r>
      <w:r>
        <w:rPr>
          <w:rFonts w:ascii="Cambria" w:hAnsi="Cambria" w:cs="Cambria"/>
          <w:lang w:val="en-GB"/>
        </w:rPr>
        <w:tab/>
      </w:r>
      <w:r>
        <w:rPr>
          <w:rFonts w:ascii="Cambria" w:hAnsi="Cambria" w:cs="Cambria"/>
          <w:lang w:val="en-GB"/>
        </w:rPr>
        <w:tab/>
        <w:t>Philippine Department of Labour and Employment</w:t>
      </w:r>
    </w:p>
    <w:p w14:paraId="5429237A" w14:textId="77777777" w:rsidR="00622BC0" w:rsidRDefault="00826C5A">
      <w:pPr>
        <w:widowControl w:val="0"/>
        <w:autoSpaceDE w:val="0"/>
        <w:autoSpaceDN w:val="0"/>
        <w:adjustRightInd w:val="0"/>
        <w:spacing w:after="200"/>
        <w:ind w:left="1596" w:right="-6" w:hanging="1596"/>
        <w:rPr>
          <w:rFonts w:ascii="Cambria" w:hAnsi="Cambria" w:cs="Cambria"/>
          <w:lang w:val="en-GB"/>
        </w:rPr>
      </w:pPr>
      <w:proofErr w:type="spellStart"/>
      <w:r>
        <w:rPr>
          <w:rFonts w:ascii="Cambria" w:hAnsi="Cambria" w:cs="Cambria"/>
          <w:lang w:val="en-GB"/>
        </w:rPr>
        <w:t>DOTr</w:t>
      </w:r>
      <w:proofErr w:type="spellEnd"/>
      <w:r>
        <w:rPr>
          <w:rFonts w:ascii="Cambria" w:hAnsi="Cambria" w:cs="Cambria"/>
          <w:lang w:val="en-GB"/>
        </w:rPr>
        <w:t xml:space="preserve"> </w:t>
      </w:r>
      <w:r>
        <w:rPr>
          <w:rFonts w:ascii="Cambria" w:hAnsi="Cambria" w:cs="Cambria"/>
          <w:lang w:val="en-GB"/>
        </w:rPr>
        <w:tab/>
      </w:r>
      <w:r>
        <w:rPr>
          <w:rFonts w:ascii="Cambria" w:hAnsi="Cambria" w:cs="Cambria"/>
          <w:lang w:val="en-GB"/>
        </w:rPr>
        <w:tab/>
        <w:t>Department of Transportation</w:t>
      </w:r>
    </w:p>
    <w:p w14:paraId="4942D304"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lastRenderedPageBreak/>
        <w:t xml:space="preserve">OPD </w:t>
      </w:r>
      <w:r>
        <w:rPr>
          <w:rFonts w:ascii="Cambria" w:hAnsi="Cambria" w:cs="Cambria"/>
          <w:lang w:val="en-GB"/>
        </w:rPr>
        <w:tab/>
      </w:r>
      <w:r>
        <w:rPr>
          <w:rFonts w:ascii="Cambria" w:hAnsi="Cambria" w:cs="Cambria"/>
          <w:lang w:val="en-GB"/>
        </w:rPr>
        <w:tab/>
        <w:t>Organisation(s) of Persons with Disabilities</w:t>
      </w:r>
    </w:p>
    <w:p w14:paraId="23A6162C"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DPR RI </w:t>
      </w:r>
      <w:r>
        <w:rPr>
          <w:rFonts w:ascii="Cambria" w:hAnsi="Cambria" w:cs="Cambria"/>
          <w:lang w:val="en-GB"/>
        </w:rPr>
        <w:tab/>
      </w:r>
      <w:r>
        <w:rPr>
          <w:rFonts w:ascii="Cambria" w:hAnsi="Cambria" w:cs="Cambria"/>
          <w:lang w:val="en-GB"/>
        </w:rPr>
        <w:tab/>
        <w:t>House of Representatives of the Republic of Indonesia</w:t>
      </w:r>
    </w:p>
    <w:p w14:paraId="35AD6808"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DPWH </w:t>
      </w:r>
      <w:r>
        <w:rPr>
          <w:rFonts w:ascii="Cambria" w:hAnsi="Cambria" w:cs="Cambria"/>
          <w:lang w:val="en-GB"/>
        </w:rPr>
        <w:tab/>
      </w:r>
      <w:r>
        <w:rPr>
          <w:rFonts w:ascii="Cambria" w:hAnsi="Cambria" w:cs="Cambria"/>
          <w:lang w:val="en-GB"/>
        </w:rPr>
        <w:tab/>
        <w:t xml:space="preserve">Department of Public Works and Highways </w:t>
      </w:r>
    </w:p>
    <w:p w14:paraId="587CD0C6"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DSWD </w:t>
      </w:r>
      <w:r>
        <w:rPr>
          <w:rFonts w:ascii="Cambria" w:hAnsi="Cambria" w:cs="Cambria"/>
          <w:lang w:val="en-GB"/>
        </w:rPr>
        <w:tab/>
      </w:r>
      <w:r>
        <w:rPr>
          <w:rFonts w:ascii="Cambria" w:hAnsi="Cambria" w:cs="Cambria"/>
          <w:lang w:val="en-GB"/>
        </w:rPr>
        <w:tab/>
        <w:t xml:space="preserve">Department of Social Welfare and Development </w:t>
      </w:r>
    </w:p>
    <w:p w14:paraId="47621BEA"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DTI </w:t>
      </w:r>
      <w:r>
        <w:rPr>
          <w:rFonts w:ascii="Cambria" w:hAnsi="Cambria" w:cs="Cambria"/>
          <w:lang w:val="en-GB"/>
        </w:rPr>
        <w:tab/>
      </w:r>
      <w:r>
        <w:rPr>
          <w:rFonts w:ascii="Cambria" w:hAnsi="Cambria" w:cs="Cambria"/>
          <w:lang w:val="en-GB"/>
        </w:rPr>
        <w:tab/>
        <w:t>Department of Trade and Industry</w:t>
      </w:r>
    </w:p>
    <w:p w14:paraId="19D5ADA3"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ECOSOC </w:t>
      </w:r>
      <w:r>
        <w:rPr>
          <w:rFonts w:ascii="Cambria" w:hAnsi="Cambria" w:cs="Cambria"/>
          <w:lang w:val="en-GB"/>
        </w:rPr>
        <w:tab/>
      </w:r>
      <w:r>
        <w:rPr>
          <w:rFonts w:ascii="Cambria" w:hAnsi="Cambria" w:cs="Cambria"/>
          <w:lang w:val="en-GB"/>
        </w:rPr>
        <w:tab/>
        <w:t xml:space="preserve">United Nations Economic and Social Council </w:t>
      </w:r>
    </w:p>
    <w:p w14:paraId="35730096"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FEPD </w:t>
      </w:r>
      <w:r>
        <w:rPr>
          <w:rFonts w:ascii="Cambria" w:hAnsi="Cambria" w:cs="Cambria"/>
          <w:lang w:val="en-GB"/>
        </w:rPr>
        <w:tab/>
      </w:r>
      <w:r>
        <w:rPr>
          <w:rFonts w:ascii="Cambria" w:hAnsi="Cambria" w:cs="Cambria"/>
          <w:lang w:val="en-GB"/>
        </w:rPr>
        <w:tab/>
        <w:t>Thai Fund Empowerment for Persons with Disabilities</w:t>
      </w:r>
    </w:p>
    <w:p w14:paraId="17EA4114"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HIV </w:t>
      </w:r>
      <w:r>
        <w:rPr>
          <w:rFonts w:ascii="Cambria" w:hAnsi="Cambria" w:cs="Cambria"/>
          <w:lang w:val="en-GB"/>
        </w:rPr>
        <w:tab/>
      </w:r>
      <w:r>
        <w:rPr>
          <w:rFonts w:ascii="Cambria" w:hAnsi="Cambria" w:cs="Cambria"/>
          <w:lang w:val="en-GB"/>
        </w:rPr>
        <w:tab/>
        <w:t>Human Immunodeficiency Viruses</w:t>
      </w:r>
    </w:p>
    <w:p w14:paraId="10CF53CA"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HLPF </w:t>
      </w:r>
      <w:r>
        <w:rPr>
          <w:rFonts w:ascii="Cambria" w:hAnsi="Cambria" w:cs="Cambria"/>
          <w:lang w:val="en-GB"/>
        </w:rPr>
        <w:tab/>
      </w:r>
      <w:r>
        <w:rPr>
          <w:rFonts w:ascii="Cambria" w:hAnsi="Cambria" w:cs="Cambria"/>
          <w:lang w:val="en-GB"/>
        </w:rPr>
        <w:tab/>
        <w:t xml:space="preserve">United Nations High-Level Political Forum </w:t>
      </w:r>
    </w:p>
    <w:p w14:paraId="7CCE36B5"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HWDI </w:t>
      </w:r>
      <w:r>
        <w:rPr>
          <w:rFonts w:ascii="Cambria" w:hAnsi="Cambria" w:cs="Cambria"/>
          <w:lang w:val="en-GB"/>
        </w:rPr>
        <w:tab/>
      </w:r>
      <w:r>
        <w:rPr>
          <w:rFonts w:ascii="Cambria" w:hAnsi="Cambria" w:cs="Cambria"/>
          <w:lang w:val="en-GB"/>
        </w:rPr>
        <w:tab/>
        <w:t>Indonesian Association of Women with Disabilities</w:t>
      </w:r>
    </w:p>
    <w:p w14:paraId="0E15C527" w14:textId="77777777" w:rsidR="00622BC0" w:rsidRDefault="00826C5A">
      <w:pPr>
        <w:widowControl w:val="0"/>
        <w:autoSpaceDE w:val="0"/>
        <w:autoSpaceDN w:val="0"/>
        <w:adjustRightInd w:val="0"/>
        <w:spacing w:after="200"/>
        <w:ind w:left="2153" w:right="-6" w:hanging="2153"/>
        <w:rPr>
          <w:rFonts w:ascii="Cambria" w:hAnsi="Cambria" w:cs="Cambria"/>
          <w:lang w:val="en-GB"/>
        </w:rPr>
      </w:pPr>
      <w:r>
        <w:rPr>
          <w:rFonts w:ascii="Cambria" w:hAnsi="Cambria" w:cs="Cambria"/>
          <w:lang w:val="en-GB"/>
        </w:rPr>
        <w:t xml:space="preserve">ICESCR </w:t>
      </w:r>
      <w:r>
        <w:rPr>
          <w:rFonts w:ascii="Cambria" w:hAnsi="Cambria" w:cs="Cambria"/>
          <w:lang w:val="en-GB"/>
        </w:rPr>
        <w:tab/>
      </w:r>
      <w:r>
        <w:rPr>
          <w:rFonts w:ascii="Cambria" w:hAnsi="Cambria" w:cs="Cambria"/>
          <w:lang w:val="en-GB"/>
        </w:rPr>
        <w:tab/>
        <w:t xml:space="preserve">International Covenant on Economic, Social and Cultural Rights </w:t>
      </w:r>
    </w:p>
    <w:p w14:paraId="74392555"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ILO </w:t>
      </w:r>
      <w:r>
        <w:rPr>
          <w:rFonts w:ascii="Cambria" w:hAnsi="Cambria" w:cs="Cambria"/>
          <w:lang w:val="en-GB"/>
        </w:rPr>
        <w:tab/>
      </w:r>
      <w:r>
        <w:rPr>
          <w:rFonts w:ascii="Cambria" w:hAnsi="Cambria" w:cs="Cambria"/>
          <w:lang w:val="en-GB"/>
        </w:rPr>
        <w:tab/>
        <w:t>International Labour Organisation</w:t>
      </w:r>
    </w:p>
    <w:p w14:paraId="4F5A289C"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IMF </w:t>
      </w:r>
      <w:r>
        <w:rPr>
          <w:rFonts w:ascii="Cambria" w:hAnsi="Cambria" w:cs="Cambria"/>
          <w:lang w:val="en-GB"/>
        </w:rPr>
        <w:tab/>
      </w:r>
      <w:r>
        <w:rPr>
          <w:rFonts w:ascii="Cambria" w:hAnsi="Cambria" w:cs="Cambria"/>
          <w:lang w:val="en-GB"/>
        </w:rPr>
        <w:tab/>
        <w:t>International Monetary Fund</w:t>
      </w:r>
    </w:p>
    <w:p w14:paraId="50D4D6E4"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MDGs </w:t>
      </w:r>
      <w:r>
        <w:rPr>
          <w:rFonts w:ascii="Cambria" w:hAnsi="Cambria" w:cs="Cambria"/>
          <w:lang w:val="en-GB"/>
        </w:rPr>
        <w:tab/>
      </w:r>
      <w:r>
        <w:rPr>
          <w:rFonts w:ascii="Cambria" w:hAnsi="Cambria" w:cs="Cambria"/>
          <w:lang w:val="en-GB"/>
        </w:rPr>
        <w:tab/>
        <w:t xml:space="preserve">Millennium Development Goals </w:t>
      </w:r>
    </w:p>
    <w:p w14:paraId="3A097EFE"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MINDS </w:t>
      </w:r>
      <w:r>
        <w:rPr>
          <w:rFonts w:ascii="Cambria" w:hAnsi="Cambria" w:cs="Cambria"/>
          <w:lang w:val="en-GB"/>
        </w:rPr>
        <w:tab/>
      </w:r>
      <w:r>
        <w:rPr>
          <w:rFonts w:ascii="Cambria" w:hAnsi="Cambria" w:cs="Cambria"/>
          <w:lang w:val="en-GB"/>
        </w:rPr>
        <w:tab/>
        <w:t>Movement for the Intellectually Disabled of Singapore</w:t>
      </w:r>
    </w:p>
    <w:p w14:paraId="19599750"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MOC </w:t>
      </w:r>
      <w:r>
        <w:rPr>
          <w:rFonts w:ascii="Cambria" w:hAnsi="Cambria" w:cs="Cambria"/>
          <w:lang w:val="en-GB"/>
        </w:rPr>
        <w:tab/>
      </w:r>
      <w:r>
        <w:rPr>
          <w:rFonts w:ascii="Cambria" w:hAnsi="Cambria" w:cs="Cambria"/>
          <w:lang w:val="en-GB"/>
        </w:rPr>
        <w:tab/>
        <w:t xml:space="preserve">Ministry of Construction </w:t>
      </w:r>
    </w:p>
    <w:p w14:paraId="1D0EA504"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MOE </w:t>
      </w:r>
      <w:r>
        <w:rPr>
          <w:rFonts w:ascii="Cambria" w:hAnsi="Cambria" w:cs="Cambria"/>
          <w:lang w:val="en-GB"/>
        </w:rPr>
        <w:tab/>
      </w:r>
      <w:r>
        <w:rPr>
          <w:rFonts w:ascii="Cambria" w:hAnsi="Cambria" w:cs="Cambria"/>
          <w:lang w:val="en-GB"/>
        </w:rPr>
        <w:tab/>
        <w:t>Ministry of Education</w:t>
      </w:r>
    </w:p>
    <w:p w14:paraId="55DD52D5"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MOET </w:t>
      </w:r>
      <w:r>
        <w:rPr>
          <w:rFonts w:ascii="Cambria" w:hAnsi="Cambria" w:cs="Cambria"/>
          <w:lang w:val="en-GB"/>
        </w:rPr>
        <w:tab/>
      </w:r>
      <w:r>
        <w:rPr>
          <w:rFonts w:ascii="Cambria" w:hAnsi="Cambria" w:cs="Cambria"/>
          <w:lang w:val="en-GB"/>
        </w:rPr>
        <w:tab/>
        <w:t xml:space="preserve">Ministry of Education and Training </w:t>
      </w:r>
    </w:p>
    <w:p w14:paraId="26BFA10D"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MOF </w:t>
      </w:r>
      <w:r>
        <w:rPr>
          <w:rFonts w:ascii="Cambria" w:hAnsi="Cambria" w:cs="Cambria"/>
          <w:lang w:val="en-GB"/>
        </w:rPr>
        <w:tab/>
      </w:r>
      <w:r>
        <w:rPr>
          <w:rFonts w:ascii="Cambria" w:hAnsi="Cambria" w:cs="Cambria"/>
          <w:lang w:val="en-GB"/>
        </w:rPr>
        <w:tab/>
        <w:t>Ministry of Finance</w:t>
      </w:r>
    </w:p>
    <w:p w14:paraId="20924A3D"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MOH </w:t>
      </w:r>
      <w:r>
        <w:rPr>
          <w:rFonts w:ascii="Cambria" w:hAnsi="Cambria" w:cs="Cambria"/>
          <w:lang w:val="en-GB"/>
        </w:rPr>
        <w:tab/>
      </w:r>
      <w:r>
        <w:rPr>
          <w:rFonts w:ascii="Cambria" w:hAnsi="Cambria" w:cs="Cambria"/>
          <w:lang w:val="en-GB"/>
        </w:rPr>
        <w:tab/>
        <w:t xml:space="preserve">Ministry of Health </w:t>
      </w:r>
    </w:p>
    <w:p w14:paraId="2736C9D2"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MSDW </w:t>
      </w:r>
      <w:r>
        <w:rPr>
          <w:rFonts w:ascii="Cambria" w:hAnsi="Cambria" w:cs="Cambria"/>
          <w:lang w:val="en-GB"/>
        </w:rPr>
        <w:tab/>
      </w:r>
      <w:r>
        <w:rPr>
          <w:rFonts w:ascii="Cambria" w:hAnsi="Cambria" w:cs="Cambria"/>
          <w:lang w:val="en-GB"/>
        </w:rPr>
        <w:tab/>
        <w:t>Ministry of Social Development and Human and Security</w:t>
      </w:r>
    </w:p>
    <w:p w14:paraId="7BE957F3"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MSF </w:t>
      </w:r>
      <w:r>
        <w:rPr>
          <w:rFonts w:ascii="Cambria" w:hAnsi="Cambria" w:cs="Cambria"/>
          <w:lang w:val="en-GB"/>
        </w:rPr>
        <w:tab/>
      </w:r>
      <w:r>
        <w:rPr>
          <w:rFonts w:ascii="Cambria" w:hAnsi="Cambria" w:cs="Cambria"/>
          <w:lang w:val="en-GB"/>
        </w:rPr>
        <w:tab/>
        <w:t>Ministry of Social and Family Development</w:t>
      </w:r>
    </w:p>
    <w:p w14:paraId="41DFFD3D"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MOLISA </w:t>
      </w:r>
      <w:r>
        <w:rPr>
          <w:rFonts w:ascii="Cambria" w:hAnsi="Cambria" w:cs="Cambria"/>
          <w:lang w:val="en-GB"/>
        </w:rPr>
        <w:tab/>
      </w:r>
      <w:r>
        <w:rPr>
          <w:rFonts w:ascii="Cambria" w:hAnsi="Cambria" w:cs="Cambria"/>
          <w:lang w:val="en-GB"/>
        </w:rPr>
        <w:tab/>
        <w:t>Ministry of Labour, Invalids and Social Affairs</w:t>
      </w:r>
    </w:p>
    <w:p w14:paraId="4902DFA8"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MOT </w:t>
      </w:r>
      <w:r>
        <w:rPr>
          <w:rFonts w:ascii="Cambria" w:hAnsi="Cambria" w:cs="Cambria"/>
          <w:lang w:val="en-GB"/>
        </w:rPr>
        <w:tab/>
      </w:r>
      <w:r>
        <w:rPr>
          <w:rFonts w:ascii="Cambria" w:hAnsi="Cambria" w:cs="Cambria"/>
          <w:lang w:val="en-GB"/>
        </w:rPr>
        <w:tab/>
        <w:t xml:space="preserve">Ministry of Transportation </w:t>
      </w:r>
    </w:p>
    <w:p w14:paraId="0E4B0959"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NADT </w:t>
      </w:r>
      <w:r>
        <w:rPr>
          <w:rFonts w:ascii="Cambria" w:hAnsi="Cambria" w:cs="Cambria"/>
          <w:lang w:val="en-GB"/>
        </w:rPr>
        <w:tab/>
      </w:r>
      <w:r>
        <w:rPr>
          <w:rFonts w:ascii="Cambria" w:hAnsi="Cambria" w:cs="Cambria"/>
          <w:lang w:val="en-GB"/>
        </w:rPr>
        <w:tab/>
        <w:t>National Association of the Deaf in Thailand</w:t>
      </w:r>
    </w:p>
    <w:p w14:paraId="6FB26296"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NAP </w:t>
      </w:r>
      <w:r>
        <w:rPr>
          <w:rFonts w:ascii="Cambria" w:hAnsi="Cambria" w:cs="Cambria"/>
          <w:lang w:val="en-GB"/>
        </w:rPr>
        <w:tab/>
      </w:r>
      <w:r>
        <w:rPr>
          <w:rFonts w:ascii="Cambria" w:hAnsi="Cambria" w:cs="Cambria"/>
          <w:lang w:val="en-GB"/>
        </w:rPr>
        <w:tab/>
        <w:t>National Action Plan</w:t>
      </w:r>
    </w:p>
    <w:p w14:paraId="297D0ABB"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NCD </w:t>
      </w:r>
      <w:r>
        <w:rPr>
          <w:rFonts w:ascii="Cambria" w:hAnsi="Cambria" w:cs="Cambria"/>
          <w:lang w:val="en-GB"/>
        </w:rPr>
        <w:tab/>
      </w:r>
      <w:r>
        <w:rPr>
          <w:rFonts w:ascii="Cambria" w:hAnsi="Cambria" w:cs="Cambria"/>
          <w:lang w:val="en-GB"/>
        </w:rPr>
        <w:tab/>
        <w:t>National Committee on Persons with Disabilities</w:t>
      </w:r>
    </w:p>
    <w:p w14:paraId="3D1173B0"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lastRenderedPageBreak/>
        <w:t xml:space="preserve">NCDA </w:t>
      </w:r>
      <w:r>
        <w:rPr>
          <w:rFonts w:ascii="Cambria" w:hAnsi="Cambria" w:cs="Cambria"/>
          <w:lang w:val="en-GB"/>
        </w:rPr>
        <w:tab/>
      </w:r>
      <w:r>
        <w:rPr>
          <w:rFonts w:ascii="Cambria" w:hAnsi="Cambria" w:cs="Cambria"/>
          <w:lang w:val="en-GB"/>
        </w:rPr>
        <w:tab/>
        <w:t>National Council on Disability Affairs</w:t>
      </w:r>
    </w:p>
    <w:p w14:paraId="618FF2EA"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NCCD </w:t>
      </w:r>
      <w:r>
        <w:rPr>
          <w:rFonts w:ascii="Cambria" w:hAnsi="Cambria" w:cs="Cambria"/>
          <w:lang w:val="en-GB"/>
        </w:rPr>
        <w:tab/>
      </w:r>
      <w:r>
        <w:rPr>
          <w:rFonts w:ascii="Cambria" w:hAnsi="Cambria" w:cs="Cambria"/>
          <w:lang w:val="en-GB"/>
        </w:rPr>
        <w:tab/>
        <w:t>National Coordination Committee on Disability</w:t>
      </w:r>
    </w:p>
    <w:p w14:paraId="6A66DBE3" w14:textId="77777777" w:rsidR="00622BC0" w:rsidRDefault="00826C5A">
      <w:pPr>
        <w:widowControl w:val="0"/>
        <w:autoSpaceDE w:val="0"/>
        <w:autoSpaceDN w:val="0"/>
        <w:adjustRightInd w:val="0"/>
        <w:spacing w:after="200"/>
        <w:ind w:left="2177" w:right="-6" w:hanging="2177"/>
        <w:rPr>
          <w:rFonts w:ascii="Cambria" w:hAnsi="Cambria" w:cs="Cambria"/>
          <w:lang w:val="en-GB"/>
        </w:rPr>
      </w:pPr>
      <w:r>
        <w:rPr>
          <w:rFonts w:ascii="Cambria" w:hAnsi="Cambria" w:cs="Cambria"/>
          <w:lang w:val="en-GB"/>
        </w:rPr>
        <w:t xml:space="preserve">NCEPD </w:t>
      </w:r>
      <w:r>
        <w:rPr>
          <w:rFonts w:ascii="Cambria" w:hAnsi="Cambria" w:cs="Cambria"/>
          <w:lang w:val="en-GB"/>
        </w:rPr>
        <w:tab/>
        <w:t>National Committee for Empowerment of Persons with Disabilities</w:t>
      </w:r>
    </w:p>
    <w:p w14:paraId="070E8E5A"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NCSS </w:t>
      </w:r>
      <w:r>
        <w:rPr>
          <w:rFonts w:ascii="Cambria" w:hAnsi="Cambria" w:cs="Cambria"/>
          <w:lang w:val="en-GB"/>
        </w:rPr>
        <w:tab/>
      </w:r>
      <w:r>
        <w:rPr>
          <w:rFonts w:ascii="Cambria" w:hAnsi="Cambria" w:cs="Cambria"/>
          <w:lang w:val="en-GB"/>
        </w:rPr>
        <w:tab/>
        <w:t>National Council of Social Services</w:t>
      </w:r>
    </w:p>
    <w:p w14:paraId="5477C1F9"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NEDA </w:t>
      </w:r>
      <w:r>
        <w:rPr>
          <w:rFonts w:ascii="Cambria" w:hAnsi="Cambria" w:cs="Cambria"/>
          <w:lang w:val="en-GB"/>
        </w:rPr>
        <w:tab/>
      </w:r>
      <w:r>
        <w:rPr>
          <w:rFonts w:ascii="Cambria" w:hAnsi="Cambria" w:cs="Cambria"/>
          <w:lang w:val="en-GB"/>
        </w:rPr>
        <w:tab/>
        <w:t>National Economic and Development Authority</w:t>
      </w:r>
    </w:p>
    <w:p w14:paraId="11595EE7"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NGOs </w:t>
      </w:r>
      <w:r>
        <w:rPr>
          <w:rFonts w:ascii="Cambria" w:hAnsi="Cambria" w:cs="Cambria"/>
          <w:lang w:val="en-GB"/>
        </w:rPr>
        <w:tab/>
      </w:r>
      <w:r>
        <w:rPr>
          <w:rFonts w:ascii="Cambria" w:hAnsi="Cambria" w:cs="Cambria"/>
          <w:lang w:val="en-GB"/>
        </w:rPr>
        <w:tab/>
        <w:t>Non-Governmental Organisations</w:t>
      </w:r>
    </w:p>
    <w:p w14:paraId="2C9A778C"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OHANA </w:t>
      </w:r>
      <w:r>
        <w:rPr>
          <w:rFonts w:ascii="Cambria" w:hAnsi="Cambria" w:cs="Cambria"/>
          <w:lang w:val="en-GB"/>
        </w:rPr>
        <w:tab/>
      </w:r>
      <w:r>
        <w:rPr>
          <w:rFonts w:ascii="Cambria" w:hAnsi="Cambria" w:cs="Cambria"/>
          <w:lang w:val="en-GB"/>
        </w:rPr>
        <w:tab/>
        <w:t>Indonesian Hope Organisation</w:t>
      </w:r>
    </w:p>
    <w:p w14:paraId="4F29AFF5" w14:textId="77777777" w:rsidR="00622BC0" w:rsidRDefault="00826C5A">
      <w:pPr>
        <w:ind w:left="2160" w:hangingChars="900" w:hanging="2160"/>
        <w:rPr>
          <w:rFonts w:ascii="Cambria" w:hAnsi="Cambria" w:cs="Cambria"/>
          <w:lang w:val="en-GB"/>
        </w:rPr>
      </w:pPr>
      <w:r>
        <w:rPr>
          <w:rFonts w:ascii="Cambria" w:hAnsi="Cambria" w:cs="Cambria"/>
          <w:color w:val="222222"/>
          <w:shd w:val="clear" w:color="auto" w:fill="FFFFFF"/>
          <w:lang w:val="en-GB"/>
        </w:rPr>
        <w:t>OHCHR</w:t>
      </w:r>
      <w:r>
        <w:rPr>
          <w:rFonts w:ascii="Cambria" w:hAnsi="Cambria" w:cs="Cambria"/>
          <w:color w:val="222222"/>
          <w:shd w:val="clear" w:color="auto" w:fill="FFFFFF"/>
          <w:lang w:val="en-GB"/>
        </w:rPr>
        <w:tab/>
        <w:t>Office of the United Nations High Commissioner for Human Rights</w:t>
      </w:r>
    </w:p>
    <w:p w14:paraId="0D5018FB" w14:textId="77777777" w:rsidR="00622BC0" w:rsidRDefault="00826C5A">
      <w:pPr>
        <w:widowControl w:val="0"/>
        <w:autoSpaceDE w:val="0"/>
        <w:autoSpaceDN w:val="0"/>
        <w:adjustRightInd w:val="0"/>
        <w:spacing w:after="200"/>
        <w:ind w:right="-6"/>
        <w:rPr>
          <w:rFonts w:ascii="Cambria" w:hAnsi="Cambria" w:cs="Cambria"/>
          <w:lang w:val="en-GB"/>
        </w:rPr>
      </w:pPr>
      <w:r>
        <w:rPr>
          <w:rFonts w:ascii="Cambria" w:hAnsi="Cambria" w:cs="Cambria"/>
          <w:lang w:val="en-GB"/>
        </w:rPr>
        <w:t xml:space="preserve">OPD </w:t>
      </w:r>
      <w:r>
        <w:rPr>
          <w:rFonts w:ascii="Cambria" w:hAnsi="Cambria" w:cs="Cambria"/>
          <w:lang w:val="en-GB"/>
        </w:rPr>
        <w:tab/>
      </w:r>
      <w:r>
        <w:rPr>
          <w:rFonts w:ascii="Cambria" w:hAnsi="Cambria" w:cs="Cambria"/>
          <w:lang w:val="en-GB"/>
        </w:rPr>
        <w:tab/>
      </w:r>
      <w:r>
        <w:rPr>
          <w:rFonts w:ascii="Cambria" w:hAnsi="Cambria" w:cs="Cambria"/>
          <w:lang w:val="en-GB"/>
        </w:rPr>
        <w:tab/>
        <w:t>Organisations of Persons with Disabilities</w:t>
      </w:r>
    </w:p>
    <w:p w14:paraId="54DB19E4" w14:textId="77777777" w:rsidR="00622BC0" w:rsidRDefault="00826C5A">
      <w:pPr>
        <w:widowControl w:val="0"/>
        <w:autoSpaceDE w:val="0"/>
        <w:autoSpaceDN w:val="0"/>
        <w:adjustRightInd w:val="0"/>
        <w:spacing w:after="200"/>
        <w:ind w:left="1716" w:right="-6" w:hanging="1716"/>
        <w:rPr>
          <w:rFonts w:ascii="Cambria" w:hAnsi="Cambria" w:cs="Cambria"/>
          <w:lang w:val="en-GB"/>
        </w:rPr>
      </w:pPr>
      <w:r>
        <w:rPr>
          <w:rFonts w:ascii="Cambria" w:hAnsi="Cambria" w:cs="Cambria"/>
          <w:lang w:val="en-GB"/>
        </w:rPr>
        <w:t xml:space="preserve">PACDLD </w:t>
      </w:r>
      <w:r>
        <w:rPr>
          <w:rFonts w:ascii="Cambria" w:hAnsi="Cambria" w:cs="Cambria"/>
          <w:lang w:val="en-GB"/>
        </w:rPr>
        <w:tab/>
      </w:r>
      <w:r>
        <w:rPr>
          <w:rFonts w:ascii="Cambria" w:hAnsi="Cambria" w:cs="Cambria"/>
          <w:lang w:val="en-GB"/>
        </w:rPr>
        <w:tab/>
        <w:t xml:space="preserve">Philippine Association of Citizens with Developmental and </w:t>
      </w:r>
      <w:r>
        <w:rPr>
          <w:rFonts w:ascii="Cambria" w:hAnsi="Cambria" w:cs="Cambria"/>
          <w:lang w:val="en-GB"/>
        </w:rPr>
        <w:tab/>
        <w:t>Learning Disabilities</w:t>
      </w:r>
    </w:p>
    <w:p w14:paraId="747D2F52"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PCW </w:t>
      </w:r>
      <w:r>
        <w:rPr>
          <w:rFonts w:ascii="Cambria" w:hAnsi="Cambria" w:cs="Cambria"/>
          <w:lang w:val="en-GB"/>
        </w:rPr>
        <w:tab/>
      </w:r>
      <w:r>
        <w:rPr>
          <w:rFonts w:ascii="Cambria" w:hAnsi="Cambria" w:cs="Cambria"/>
          <w:lang w:val="en-GB"/>
        </w:rPr>
        <w:tab/>
        <w:t xml:space="preserve">Philippine Commission on Women </w:t>
      </w:r>
    </w:p>
    <w:p w14:paraId="018D416C"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PDAO </w:t>
      </w:r>
      <w:r>
        <w:rPr>
          <w:rFonts w:ascii="Cambria" w:hAnsi="Cambria" w:cs="Cambria"/>
          <w:lang w:val="en-GB"/>
        </w:rPr>
        <w:tab/>
      </w:r>
      <w:r>
        <w:rPr>
          <w:rFonts w:ascii="Cambria" w:hAnsi="Cambria" w:cs="Cambria"/>
          <w:lang w:val="en-GB"/>
        </w:rPr>
        <w:tab/>
        <w:t>Persons with Disability Affairs Office</w:t>
      </w:r>
    </w:p>
    <w:p w14:paraId="23137D9D"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PDEA </w:t>
      </w:r>
      <w:r>
        <w:rPr>
          <w:rFonts w:ascii="Cambria" w:hAnsi="Cambria" w:cs="Cambria"/>
          <w:lang w:val="en-GB"/>
        </w:rPr>
        <w:tab/>
      </w:r>
      <w:r>
        <w:rPr>
          <w:rFonts w:ascii="Cambria" w:hAnsi="Cambria" w:cs="Cambria"/>
          <w:lang w:val="en-GB"/>
        </w:rPr>
        <w:tab/>
        <w:t>Thai Persons with Disability Empowerment Act</w:t>
      </w:r>
    </w:p>
    <w:p w14:paraId="3DC6BE69"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PERMENPUPR </w:t>
      </w:r>
      <w:r>
        <w:rPr>
          <w:rFonts w:ascii="Cambria" w:hAnsi="Cambria" w:cs="Cambria"/>
          <w:lang w:val="en-GB"/>
        </w:rPr>
        <w:tab/>
        <w:t xml:space="preserve">Regulation of Ministry of Public Works and Public Housing </w:t>
      </w:r>
    </w:p>
    <w:p w14:paraId="0C83A757" w14:textId="77777777" w:rsidR="00622BC0" w:rsidRDefault="00826C5A">
      <w:pPr>
        <w:widowControl w:val="0"/>
        <w:autoSpaceDE w:val="0"/>
        <w:autoSpaceDN w:val="0"/>
        <w:adjustRightInd w:val="0"/>
        <w:spacing w:after="200"/>
        <w:ind w:left="1716" w:right="-6" w:hanging="1716"/>
        <w:rPr>
          <w:rFonts w:ascii="Cambria" w:hAnsi="Cambria" w:cs="Cambria"/>
          <w:lang w:val="en-GB"/>
        </w:rPr>
      </w:pPr>
      <w:r>
        <w:rPr>
          <w:rFonts w:ascii="Cambria" w:hAnsi="Cambria" w:cs="Cambria"/>
          <w:lang w:val="en-GB"/>
        </w:rPr>
        <w:t xml:space="preserve">PIK-PPD </w:t>
      </w:r>
      <w:r>
        <w:rPr>
          <w:rFonts w:ascii="Cambria" w:hAnsi="Cambria" w:cs="Cambria"/>
          <w:lang w:val="en-GB"/>
        </w:rPr>
        <w:tab/>
      </w:r>
      <w:r>
        <w:rPr>
          <w:rFonts w:ascii="Cambria" w:hAnsi="Cambria" w:cs="Cambria"/>
          <w:lang w:val="en-GB"/>
        </w:rPr>
        <w:tab/>
        <w:t xml:space="preserve">Information and Consultation Centre for Women with </w:t>
      </w:r>
      <w:r>
        <w:rPr>
          <w:rFonts w:ascii="Cambria" w:hAnsi="Cambria" w:cs="Cambria"/>
          <w:lang w:val="en-GB"/>
        </w:rPr>
        <w:tab/>
      </w:r>
      <w:r>
        <w:rPr>
          <w:rFonts w:ascii="Cambria" w:hAnsi="Cambria" w:cs="Cambria"/>
          <w:lang w:val="en-GB"/>
        </w:rPr>
        <w:tab/>
        <w:t>Disabilities</w:t>
      </w:r>
    </w:p>
    <w:p w14:paraId="31B760AA" w14:textId="77777777" w:rsidR="00622BC0" w:rsidRDefault="00826C5A">
      <w:pPr>
        <w:widowControl w:val="0"/>
        <w:autoSpaceDE w:val="0"/>
        <w:autoSpaceDN w:val="0"/>
        <w:adjustRightInd w:val="0"/>
        <w:spacing w:after="200"/>
        <w:ind w:left="1716" w:right="-6" w:hanging="1716"/>
        <w:rPr>
          <w:rFonts w:ascii="Cambria" w:hAnsi="Cambria" w:cs="Cambria"/>
          <w:lang w:val="en-GB"/>
        </w:rPr>
      </w:pPr>
      <w:r>
        <w:rPr>
          <w:rFonts w:ascii="Cambria" w:hAnsi="Cambria" w:cs="Cambria"/>
          <w:lang w:val="en-GB"/>
        </w:rPr>
        <w:t xml:space="preserve">PIKPPC </w:t>
      </w:r>
      <w:r>
        <w:rPr>
          <w:rFonts w:ascii="Cambria" w:hAnsi="Cambria" w:cs="Cambria"/>
          <w:lang w:val="en-GB"/>
        </w:rPr>
        <w:tab/>
      </w:r>
      <w:r>
        <w:rPr>
          <w:rFonts w:ascii="Cambria" w:hAnsi="Cambria" w:cs="Cambria"/>
          <w:lang w:val="en-GB"/>
        </w:rPr>
        <w:tab/>
        <w:t xml:space="preserve">Information and Consultation Centre for Women with </w:t>
      </w:r>
      <w:r>
        <w:rPr>
          <w:rFonts w:ascii="Cambria" w:hAnsi="Cambria" w:cs="Cambria"/>
          <w:lang w:val="en-GB"/>
        </w:rPr>
        <w:tab/>
      </w:r>
      <w:r>
        <w:rPr>
          <w:rFonts w:ascii="Cambria" w:hAnsi="Cambria" w:cs="Cambria"/>
          <w:lang w:val="en-GB"/>
        </w:rPr>
        <w:tab/>
        <w:t>Disabilities</w:t>
      </w:r>
    </w:p>
    <w:p w14:paraId="63042C1A"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PJS </w:t>
      </w:r>
      <w:r>
        <w:rPr>
          <w:rFonts w:ascii="Cambria" w:hAnsi="Cambria" w:cs="Cambria"/>
          <w:lang w:val="en-GB"/>
        </w:rPr>
        <w:tab/>
      </w:r>
      <w:r>
        <w:rPr>
          <w:rFonts w:ascii="Cambria" w:hAnsi="Cambria" w:cs="Cambria"/>
          <w:lang w:val="en-GB"/>
        </w:rPr>
        <w:tab/>
        <w:t xml:space="preserve">Indonesian Mental Health Association </w:t>
      </w:r>
    </w:p>
    <w:p w14:paraId="321CD330"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PRRM </w:t>
      </w:r>
      <w:r>
        <w:rPr>
          <w:rFonts w:ascii="Cambria" w:hAnsi="Cambria" w:cs="Cambria"/>
          <w:lang w:val="en-GB"/>
        </w:rPr>
        <w:tab/>
      </w:r>
      <w:r>
        <w:rPr>
          <w:rFonts w:ascii="Cambria" w:hAnsi="Cambria" w:cs="Cambria"/>
          <w:lang w:val="en-GB"/>
        </w:rPr>
        <w:tab/>
        <w:t>Philippine Rural Reconstruction Movement</w:t>
      </w:r>
    </w:p>
    <w:p w14:paraId="16DEA7F0"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PSA </w:t>
      </w:r>
      <w:r>
        <w:rPr>
          <w:rFonts w:ascii="Cambria" w:hAnsi="Cambria" w:cs="Cambria"/>
          <w:lang w:val="en-GB"/>
        </w:rPr>
        <w:tab/>
      </w:r>
      <w:r>
        <w:rPr>
          <w:rFonts w:ascii="Cambria" w:hAnsi="Cambria" w:cs="Cambria"/>
          <w:lang w:val="en-GB"/>
        </w:rPr>
        <w:tab/>
        <w:t xml:space="preserve">Philippines Statistics Authority </w:t>
      </w:r>
    </w:p>
    <w:p w14:paraId="76DD714F"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PUVMP </w:t>
      </w:r>
      <w:r>
        <w:rPr>
          <w:rFonts w:ascii="Cambria" w:hAnsi="Cambria" w:cs="Cambria"/>
          <w:lang w:val="en-GB"/>
        </w:rPr>
        <w:tab/>
      </w:r>
      <w:r>
        <w:rPr>
          <w:rFonts w:ascii="Cambria" w:hAnsi="Cambria" w:cs="Cambria"/>
          <w:lang w:val="en-GB"/>
        </w:rPr>
        <w:tab/>
        <w:t xml:space="preserve">Public Utility Vehicle Modernisation Programme </w:t>
      </w:r>
    </w:p>
    <w:p w14:paraId="2850DCB6"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PWD </w:t>
      </w:r>
      <w:r>
        <w:rPr>
          <w:rFonts w:ascii="Cambria" w:hAnsi="Cambria" w:cs="Cambria"/>
          <w:lang w:val="en-GB"/>
        </w:rPr>
        <w:tab/>
      </w:r>
      <w:r>
        <w:rPr>
          <w:rFonts w:ascii="Cambria" w:hAnsi="Cambria" w:cs="Cambria"/>
          <w:lang w:val="en-GB"/>
        </w:rPr>
        <w:tab/>
        <w:t>Persons with Disabilities</w:t>
      </w:r>
    </w:p>
    <w:p w14:paraId="412FF315"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PWRDs </w:t>
      </w:r>
      <w:r>
        <w:rPr>
          <w:rFonts w:ascii="Cambria" w:hAnsi="Cambria" w:cs="Cambria"/>
          <w:lang w:val="en-GB"/>
        </w:rPr>
        <w:tab/>
      </w:r>
      <w:r>
        <w:rPr>
          <w:rFonts w:ascii="Cambria" w:hAnsi="Cambria" w:cs="Cambria"/>
          <w:lang w:val="en-GB"/>
        </w:rPr>
        <w:tab/>
        <w:t>Persons with Work-Related Disabilities</w:t>
      </w:r>
    </w:p>
    <w:p w14:paraId="678D329C"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SAPDA </w:t>
      </w:r>
      <w:r>
        <w:rPr>
          <w:rFonts w:ascii="Cambria" w:hAnsi="Cambria" w:cs="Cambria"/>
          <w:lang w:val="en-GB"/>
        </w:rPr>
        <w:tab/>
      </w:r>
      <w:r>
        <w:rPr>
          <w:rFonts w:ascii="Cambria" w:hAnsi="Cambria" w:cs="Cambria"/>
          <w:lang w:val="en-GB"/>
        </w:rPr>
        <w:tab/>
        <w:t>Advocacy Centre of Women and Children with Disability</w:t>
      </w:r>
    </w:p>
    <w:p w14:paraId="2EDB7D8A" w14:textId="77777777" w:rsidR="00622BC0" w:rsidRDefault="00826C5A">
      <w:pPr>
        <w:widowControl w:val="0"/>
        <w:autoSpaceDE w:val="0"/>
        <w:autoSpaceDN w:val="0"/>
        <w:adjustRightInd w:val="0"/>
        <w:spacing w:after="200"/>
        <w:ind w:left="1596" w:right="-6" w:hanging="1596"/>
        <w:rPr>
          <w:rFonts w:ascii="Cambria" w:hAnsi="Cambria" w:cs="Cambria"/>
          <w:lang w:val="en-GB"/>
        </w:rPr>
      </w:pPr>
      <w:proofErr w:type="spellStart"/>
      <w:r>
        <w:rPr>
          <w:rFonts w:ascii="Cambria" w:hAnsi="Cambria" w:cs="Cambria"/>
          <w:lang w:val="en-GB"/>
        </w:rPr>
        <w:t>SADeaf</w:t>
      </w:r>
      <w:proofErr w:type="spellEnd"/>
      <w:r>
        <w:rPr>
          <w:rFonts w:ascii="Cambria" w:hAnsi="Cambria" w:cs="Cambria"/>
          <w:lang w:val="en-GB"/>
        </w:rPr>
        <w:t xml:space="preserve"> </w:t>
      </w:r>
      <w:r>
        <w:rPr>
          <w:rFonts w:ascii="Cambria" w:hAnsi="Cambria" w:cs="Cambria"/>
          <w:lang w:val="en-GB"/>
        </w:rPr>
        <w:tab/>
      </w:r>
      <w:r>
        <w:rPr>
          <w:rFonts w:ascii="Cambria" w:hAnsi="Cambria" w:cs="Cambria"/>
          <w:lang w:val="en-GB"/>
        </w:rPr>
        <w:tab/>
        <w:t>Singapore Association for the Deaf</w:t>
      </w:r>
    </w:p>
    <w:p w14:paraId="356BDC11"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SCDC </w:t>
      </w:r>
      <w:r>
        <w:rPr>
          <w:rFonts w:ascii="Cambria" w:hAnsi="Cambria" w:cs="Cambria"/>
          <w:lang w:val="en-GB"/>
        </w:rPr>
        <w:tab/>
      </w:r>
      <w:r>
        <w:rPr>
          <w:rFonts w:ascii="Cambria" w:hAnsi="Cambria" w:cs="Cambria"/>
          <w:lang w:val="en-GB"/>
        </w:rPr>
        <w:tab/>
        <w:t>Singapore Disability Sports Council</w:t>
      </w:r>
    </w:p>
    <w:p w14:paraId="05E65637"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lastRenderedPageBreak/>
        <w:t xml:space="preserve">SCDF </w:t>
      </w:r>
      <w:r>
        <w:rPr>
          <w:rFonts w:ascii="Cambria" w:hAnsi="Cambria" w:cs="Cambria"/>
          <w:lang w:val="en-GB"/>
        </w:rPr>
        <w:tab/>
      </w:r>
      <w:r>
        <w:rPr>
          <w:rFonts w:ascii="Cambria" w:hAnsi="Cambria" w:cs="Cambria"/>
          <w:lang w:val="en-GB"/>
        </w:rPr>
        <w:tab/>
        <w:t>Singapore Civil Defence Force</w:t>
      </w:r>
    </w:p>
    <w:p w14:paraId="70862DE1"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SDC </w:t>
      </w:r>
      <w:r>
        <w:rPr>
          <w:rFonts w:ascii="Cambria" w:hAnsi="Cambria" w:cs="Cambria"/>
          <w:lang w:val="en-GB"/>
        </w:rPr>
        <w:tab/>
      </w:r>
      <w:r>
        <w:rPr>
          <w:rFonts w:ascii="Cambria" w:hAnsi="Cambria" w:cs="Cambria"/>
          <w:lang w:val="en-GB"/>
        </w:rPr>
        <w:tab/>
        <w:t xml:space="preserve">Social Development Committee </w:t>
      </w:r>
    </w:p>
    <w:p w14:paraId="669B0FE4"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SDGs </w:t>
      </w:r>
      <w:r>
        <w:rPr>
          <w:rFonts w:ascii="Cambria" w:hAnsi="Cambria" w:cs="Cambria"/>
          <w:lang w:val="en-GB"/>
        </w:rPr>
        <w:tab/>
      </w:r>
      <w:r>
        <w:rPr>
          <w:rFonts w:ascii="Cambria" w:hAnsi="Cambria" w:cs="Cambria"/>
          <w:lang w:val="en-GB"/>
        </w:rPr>
        <w:tab/>
        <w:t xml:space="preserve">Sustainable Development Goals </w:t>
      </w:r>
    </w:p>
    <w:p w14:paraId="65BD811B"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TAB </w:t>
      </w:r>
      <w:r>
        <w:rPr>
          <w:rFonts w:ascii="Cambria" w:hAnsi="Cambria" w:cs="Cambria"/>
          <w:lang w:val="en-GB"/>
        </w:rPr>
        <w:tab/>
      </w:r>
      <w:r>
        <w:rPr>
          <w:rFonts w:ascii="Cambria" w:hAnsi="Cambria" w:cs="Cambria"/>
          <w:lang w:val="en-GB"/>
        </w:rPr>
        <w:tab/>
        <w:t>Thailand Association of the Blind</w:t>
      </w:r>
    </w:p>
    <w:p w14:paraId="1DDEA37E"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UN </w:t>
      </w:r>
      <w:r>
        <w:rPr>
          <w:rFonts w:ascii="Cambria" w:hAnsi="Cambria" w:cs="Cambria"/>
          <w:lang w:val="en-GB"/>
        </w:rPr>
        <w:tab/>
      </w:r>
      <w:r>
        <w:rPr>
          <w:rFonts w:ascii="Cambria" w:hAnsi="Cambria" w:cs="Cambria"/>
          <w:lang w:val="en-GB"/>
        </w:rPr>
        <w:tab/>
        <w:t>United Nations</w:t>
      </w:r>
    </w:p>
    <w:p w14:paraId="0132CEF3"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UNDP </w:t>
      </w:r>
      <w:r>
        <w:rPr>
          <w:rFonts w:ascii="Cambria" w:hAnsi="Cambria" w:cs="Cambria"/>
          <w:lang w:val="en-GB"/>
        </w:rPr>
        <w:tab/>
      </w:r>
      <w:r>
        <w:rPr>
          <w:rFonts w:ascii="Cambria" w:hAnsi="Cambria" w:cs="Cambria"/>
          <w:lang w:val="en-GB"/>
        </w:rPr>
        <w:tab/>
        <w:t>United Nations Development Programme</w:t>
      </w:r>
    </w:p>
    <w:p w14:paraId="153A0045" w14:textId="77777777" w:rsidR="00622BC0" w:rsidRDefault="00826C5A">
      <w:pPr>
        <w:widowControl w:val="0"/>
        <w:autoSpaceDE w:val="0"/>
        <w:autoSpaceDN w:val="0"/>
        <w:adjustRightInd w:val="0"/>
        <w:spacing w:after="200"/>
        <w:ind w:left="1716" w:right="-6" w:hanging="1716"/>
        <w:rPr>
          <w:rFonts w:ascii="Cambria" w:hAnsi="Cambria" w:cs="Cambria"/>
          <w:lang w:val="en-GB"/>
        </w:rPr>
      </w:pPr>
      <w:r>
        <w:rPr>
          <w:rFonts w:ascii="Cambria" w:hAnsi="Cambria" w:cs="Cambria"/>
          <w:lang w:val="en-GB"/>
        </w:rPr>
        <w:t xml:space="preserve">UNESCAP </w:t>
      </w:r>
      <w:r>
        <w:rPr>
          <w:rFonts w:ascii="Cambria" w:hAnsi="Cambria" w:cs="Cambria"/>
          <w:lang w:val="en-GB"/>
        </w:rPr>
        <w:tab/>
      </w:r>
      <w:r>
        <w:rPr>
          <w:rFonts w:ascii="Cambria" w:hAnsi="Cambria" w:cs="Cambria"/>
          <w:lang w:val="en-GB"/>
        </w:rPr>
        <w:tab/>
        <w:t xml:space="preserve">United Nations Economic and Social Commission for Asia </w:t>
      </w:r>
      <w:r>
        <w:rPr>
          <w:rFonts w:ascii="Cambria" w:hAnsi="Cambria" w:cs="Cambria"/>
          <w:lang w:val="en-GB"/>
        </w:rPr>
        <w:tab/>
        <w:t>and the Pacific</w:t>
      </w:r>
    </w:p>
    <w:p w14:paraId="6D290F30" w14:textId="77777777" w:rsidR="00622BC0" w:rsidRDefault="00826C5A">
      <w:pPr>
        <w:widowControl w:val="0"/>
        <w:autoSpaceDE w:val="0"/>
        <w:autoSpaceDN w:val="0"/>
        <w:adjustRightInd w:val="0"/>
        <w:spacing w:after="200"/>
        <w:ind w:left="2156" w:right="-6" w:hanging="2156"/>
        <w:rPr>
          <w:rFonts w:ascii="Cambria" w:hAnsi="Cambria" w:cs="Cambria"/>
          <w:lang w:val="en-GB"/>
        </w:rPr>
      </w:pPr>
      <w:r>
        <w:rPr>
          <w:rFonts w:ascii="Cambria" w:hAnsi="Cambria" w:cs="Cambria"/>
          <w:lang w:val="en-GB"/>
        </w:rPr>
        <w:t>UNESCO</w:t>
      </w:r>
      <w:r>
        <w:rPr>
          <w:rFonts w:ascii="Cambria" w:hAnsi="Cambria" w:cs="Cambria"/>
          <w:lang w:val="en-GB"/>
        </w:rPr>
        <w:tab/>
      </w:r>
      <w:r>
        <w:rPr>
          <w:rFonts w:ascii="Cambria" w:hAnsi="Cambria" w:cs="Cambria"/>
          <w:lang w:val="en-GB"/>
        </w:rPr>
        <w:tab/>
      </w:r>
      <w:r>
        <w:rPr>
          <w:rFonts w:ascii="Cambria" w:hAnsi="Cambria" w:cs="Arial"/>
          <w:shd w:val="clear" w:color="auto" w:fill="FFFFFF"/>
          <w:lang w:val="en-GB"/>
        </w:rPr>
        <w:t>The United Nations Educational, Scientific and Cultural Organisation</w:t>
      </w:r>
    </w:p>
    <w:p w14:paraId="5B388BA6"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UNICEF </w:t>
      </w:r>
      <w:r>
        <w:rPr>
          <w:rFonts w:ascii="Cambria" w:hAnsi="Cambria" w:cs="Cambria"/>
          <w:lang w:val="en-GB"/>
        </w:rPr>
        <w:tab/>
      </w:r>
      <w:r>
        <w:rPr>
          <w:rFonts w:ascii="Cambria" w:hAnsi="Cambria" w:cs="Cambria"/>
          <w:lang w:val="en-GB"/>
        </w:rPr>
        <w:tab/>
        <w:t>United Nations Children’s Fund</w:t>
      </w:r>
    </w:p>
    <w:p w14:paraId="2352546B"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UPR </w:t>
      </w:r>
      <w:r>
        <w:rPr>
          <w:rFonts w:ascii="Cambria" w:hAnsi="Cambria" w:cs="Cambria"/>
          <w:lang w:val="en-GB"/>
        </w:rPr>
        <w:tab/>
      </w:r>
      <w:r>
        <w:rPr>
          <w:rFonts w:ascii="Cambria" w:hAnsi="Cambria" w:cs="Cambria"/>
          <w:lang w:val="en-GB"/>
        </w:rPr>
        <w:tab/>
        <w:t>Universal Periodic Review </w:t>
      </w:r>
    </w:p>
    <w:p w14:paraId="287D630A"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VABED </w:t>
      </w:r>
      <w:r>
        <w:rPr>
          <w:rFonts w:ascii="Cambria" w:hAnsi="Cambria" w:cs="Cambria"/>
          <w:lang w:val="en-GB"/>
        </w:rPr>
        <w:tab/>
      </w:r>
      <w:r>
        <w:rPr>
          <w:rFonts w:ascii="Cambria" w:hAnsi="Cambria" w:cs="Cambria"/>
          <w:lang w:val="en-GB"/>
        </w:rPr>
        <w:tab/>
        <w:t xml:space="preserve">Vietnam Association of Business Enterprises of PWDs </w:t>
      </w:r>
    </w:p>
    <w:p w14:paraId="6D4D4C20"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VAPPDO </w:t>
      </w:r>
      <w:r>
        <w:rPr>
          <w:rFonts w:ascii="Cambria" w:hAnsi="Cambria" w:cs="Cambria"/>
          <w:lang w:val="en-GB"/>
        </w:rPr>
        <w:tab/>
      </w:r>
      <w:r>
        <w:rPr>
          <w:rFonts w:ascii="Cambria" w:hAnsi="Cambria" w:cs="Cambria"/>
          <w:lang w:val="en-GB"/>
        </w:rPr>
        <w:tab/>
        <w:t xml:space="preserve">Vietnam Association for Protection of PWDs and Orphans </w:t>
      </w:r>
    </w:p>
    <w:p w14:paraId="496E4B21"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VCP </w:t>
      </w:r>
      <w:r>
        <w:rPr>
          <w:rFonts w:ascii="Cambria" w:hAnsi="Cambria" w:cs="Cambria"/>
          <w:lang w:val="en-GB"/>
        </w:rPr>
        <w:tab/>
      </w:r>
      <w:r>
        <w:rPr>
          <w:rFonts w:ascii="Cambria" w:hAnsi="Cambria" w:cs="Cambria"/>
          <w:lang w:val="en-GB"/>
        </w:rPr>
        <w:tab/>
        <w:t>Vietnamese Communist Party</w:t>
      </w:r>
    </w:p>
    <w:p w14:paraId="27451339"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VDS </w:t>
      </w:r>
      <w:r>
        <w:rPr>
          <w:rFonts w:ascii="Cambria" w:hAnsi="Cambria" w:cs="Cambria"/>
          <w:lang w:val="en-GB"/>
        </w:rPr>
        <w:tab/>
      </w:r>
      <w:r>
        <w:rPr>
          <w:rFonts w:ascii="Cambria" w:hAnsi="Cambria" w:cs="Cambria"/>
          <w:lang w:val="en-GB"/>
        </w:rPr>
        <w:tab/>
        <w:t>Veterinary Defence Society</w:t>
      </w:r>
    </w:p>
    <w:p w14:paraId="1FFF2A35"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VDS </w:t>
      </w:r>
      <w:r>
        <w:rPr>
          <w:rFonts w:ascii="Cambria" w:hAnsi="Cambria" w:cs="Cambria"/>
          <w:lang w:val="en-GB"/>
        </w:rPr>
        <w:tab/>
      </w:r>
      <w:r>
        <w:rPr>
          <w:rFonts w:ascii="Cambria" w:hAnsi="Cambria" w:cs="Cambria"/>
          <w:lang w:val="en-GB"/>
        </w:rPr>
        <w:tab/>
        <w:t>Vietnam Disability Survey</w:t>
      </w:r>
    </w:p>
    <w:p w14:paraId="1B02E515"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VFD </w:t>
      </w:r>
      <w:r>
        <w:rPr>
          <w:rFonts w:ascii="Cambria" w:hAnsi="Cambria" w:cs="Cambria"/>
          <w:lang w:val="en-GB"/>
        </w:rPr>
        <w:tab/>
      </w:r>
      <w:r>
        <w:rPr>
          <w:rFonts w:ascii="Cambria" w:hAnsi="Cambria" w:cs="Cambria"/>
          <w:lang w:val="en-GB"/>
        </w:rPr>
        <w:tab/>
        <w:t>Vietnamese Federation on Disabilities</w:t>
      </w:r>
    </w:p>
    <w:p w14:paraId="591B2873"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VHLSS </w:t>
      </w:r>
      <w:r>
        <w:rPr>
          <w:rFonts w:ascii="Cambria" w:hAnsi="Cambria" w:cs="Cambria"/>
          <w:lang w:val="en-GB"/>
        </w:rPr>
        <w:tab/>
      </w:r>
      <w:r>
        <w:rPr>
          <w:rFonts w:ascii="Cambria" w:hAnsi="Cambria" w:cs="Cambria"/>
          <w:lang w:val="en-GB"/>
        </w:rPr>
        <w:tab/>
        <w:t xml:space="preserve">Vietnam Household Living Standards Survey </w:t>
      </w:r>
    </w:p>
    <w:p w14:paraId="01EBAB1C"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VINAREHA </w:t>
      </w:r>
      <w:r>
        <w:rPr>
          <w:rFonts w:ascii="Cambria" w:hAnsi="Cambria" w:cs="Cambria"/>
          <w:lang w:val="en-GB"/>
        </w:rPr>
        <w:tab/>
      </w:r>
      <w:r>
        <w:rPr>
          <w:rFonts w:ascii="Cambria" w:hAnsi="Cambria" w:cs="Cambria"/>
          <w:lang w:val="en-GB"/>
        </w:rPr>
        <w:tab/>
        <w:t xml:space="preserve">Vietnam Rehabilitation Association </w:t>
      </w:r>
    </w:p>
    <w:p w14:paraId="490FF0CB"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VNBA </w:t>
      </w:r>
      <w:r>
        <w:rPr>
          <w:rFonts w:ascii="Cambria" w:hAnsi="Cambria" w:cs="Cambria"/>
          <w:lang w:val="en-GB"/>
        </w:rPr>
        <w:tab/>
      </w:r>
      <w:r>
        <w:rPr>
          <w:rFonts w:ascii="Cambria" w:hAnsi="Cambria" w:cs="Cambria"/>
          <w:lang w:val="en-GB"/>
        </w:rPr>
        <w:tab/>
        <w:t xml:space="preserve">Vietnam National Blind Association </w:t>
      </w:r>
    </w:p>
    <w:p w14:paraId="03956841"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VNDA </w:t>
      </w:r>
      <w:r>
        <w:rPr>
          <w:rFonts w:ascii="Cambria" w:hAnsi="Cambria" w:cs="Cambria"/>
          <w:lang w:val="en-GB"/>
        </w:rPr>
        <w:tab/>
      </w:r>
      <w:r>
        <w:rPr>
          <w:rFonts w:ascii="Cambria" w:hAnsi="Cambria" w:cs="Cambria"/>
          <w:lang w:val="en-GB"/>
        </w:rPr>
        <w:tab/>
        <w:t xml:space="preserve">Vietnam National Deft Association </w:t>
      </w:r>
    </w:p>
    <w:p w14:paraId="15CD3B31"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VNR </w:t>
      </w:r>
      <w:r>
        <w:rPr>
          <w:rFonts w:ascii="Cambria" w:hAnsi="Cambria" w:cs="Cambria"/>
          <w:lang w:val="en-GB"/>
        </w:rPr>
        <w:tab/>
      </w:r>
      <w:r>
        <w:rPr>
          <w:rFonts w:ascii="Cambria" w:hAnsi="Cambria" w:cs="Cambria"/>
          <w:lang w:val="en-GB"/>
        </w:rPr>
        <w:tab/>
        <w:t xml:space="preserve">Voluntary National Review </w:t>
      </w:r>
    </w:p>
    <w:p w14:paraId="7D647567"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VWO </w:t>
      </w:r>
      <w:r>
        <w:rPr>
          <w:rFonts w:ascii="Cambria" w:hAnsi="Cambria" w:cs="Cambria"/>
          <w:lang w:val="en-GB"/>
        </w:rPr>
        <w:tab/>
      </w:r>
      <w:r>
        <w:rPr>
          <w:rFonts w:ascii="Cambria" w:hAnsi="Cambria" w:cs="Cambria"/>
          <w:lang w:val="en-GB"/>
        </w:rPr>
        <w:tab/>
        <w:t>Voluntary Welfare Organisations</w:t>
      </w:r>
    </w:p>
    <w:p w14:paraId="11F8EFE0"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WGQ</w:t>
      </w:r>
      <w:r>
        <w:rPr>
          <w:rFonts w:ascii="Cambria" w:hAnsi="Cambria" w:cs="Cambria"/>
          <w:lang w:val="en-GB"/>
        </w:rPr>
        <w:tab/>
      </w:r>
      <w:r>
        <w:rPr>
          <w:rFonts w:ascii="Cambria" w:hAnsi="Cambria" w:cs="Cambria"/>
          <w:lang w:val="en-GB"/>
        </w:rPr>
        <w:tab/>
        <w:t>Washington Group Set Question</w:t>
      </w:r>
    </w:p>
    <w:p w14:paraId="161716CE" w14:textId="77777777" w:rsidR="00622BC0" w:rsidRDefault="00826C5A">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WHO</w:t>
      </w:r>
      <w:r>
        <w:rPr>
          <w:rFonts w:ascii="Cambria" w:hAnsi="Cambria" w:cs="Cambria"/>
          <w:lang w:val="en-GB"/>
        </w:rPr>
        <w:tab/>
      </w:r>
      <w:r>
        <w:rPr>
          <w:rFonts w:ascii="Cambria" w:hAnsi="Cambria" w:cs="Cambria"/>
          <w:lang w:val="en-GB"/>
        </w:rPr>
        <w:tab/>
        <w:t>World Health Organisation</w:t>
      </w:r>
    </w:p>
    <w:p w14:paraId="0ED299AE" w14:textId="77777777" w:rsidR="00622BC0" w:rsidRDefault="00826C5A">
      <w:pPr>
        <w:widowControl w:val="0"/>
        <w:autoSpaceDE w:val="0"/>
        <w:autoSpaceDN w:val="0"/>
        <w:adjustRightInd w:val="0"/>
        <w:spacing w:after="200" w:line="276" w:lineRule="auto"/>
        <w:ind w:right="-6"/>
        <w:rPr>
          <w:rFonts w:ascii="Cambria" w:hAnsi="Cambria" w:cs="Cambria"/>
          <w:lang w:val="en-GB"/>
        </w:rPr>
      </w:pPr>
      <w:r>
        <w:rPr>
          <w:rFonts w:ascii="Calibri" w:hAnsi="Calibri" w:cs="Calibri"/>
          <w:lang w:val="en-GB"/>
        </w:rPr>
        <w:br w:type="page"/>
      </w:r>
    </w:p>
    <w:p w14:paraId="405E6E92" w14:textId="77777777" w:rsidR="00622BC0" w:rsidRDefault="00826C5A">
      <w:pPr>
        <w:widowControl w:val="0"/>
        <w:autoSpaceDE w:val="0"/>
        <w:autoSpaceDN w:val="0"/>
        <w:adjustRightInd w:val="0"/>
        <w:spacing w:after="200"/>
        <w:ind w:right="-6"/>
        <w:jc w:val="center"/>
        <w:rPr>
          <w:rFonts w:ascii="Cambria" w:hAnsi="Cambria" w:cs="Cambria"/>
          <w:b/>
          <w:bCs/>
          <w:lang w:val="en-GB"/>
        </w:rPr>
      </w:pPr>
      <w:r>
        <w:rPr>
          <w:rFonts w:ascii="Cambria" w:hAnsi="Cambria" w:cs="Cambria"/>
          <w:b/>
          <w:bCs/>
          <w:lang w:val="en-GB"/>
        </w:rPr>
        <w:lastRenderedPageBreak/>
        <w:t>Foreword</w:t>
      </w:r>
    </w:p>
    <w:p w14:paraId="01C4A006" w14:textId="77777777" w:rsidR="00622BC0" w:rsidRDefault="00622BC0">
      <w:pPr>
        <w:widowControl w:val="0"/>
        <w:autoSpaceDE w:val="0"/>
        <w:autoSpaceDN w:val="0"/>
        <w:adjustRightInd w:val="0"/>
        <w:spacing w:after="200"/>
        <w:ind w:right="-6"/>
        <w:jc w:val="center"/>
        <w:rPr>
          <w:rFonts w:ascii="Cambria" w:hAnsi="Cambria" w:cs="Cambria"/>
          <w:b/>
          <w:bCs/>
          <w:lang w:val="en-GB"/>
        </w:rPr>
      </w:pPr>
    </w:p>
    <w:p w14:paraId="6F3BB682"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This baseline report is an outcome of the inaugural research on the situation of persons with disabilities in five countries of the Association of Southeast Asian Nations (ASEAN); namely, Indonesia, the Philippines, Singapore, Thailand, and Viet Nam. Specifically, it is a report through the lenses of Sustainable Development Goals (SDGs) and the Convention on the Rights of Persons with Disabilities (CRPD)</w:t>
      </w:r>
      <w:r>
        <w:rPr>
          <w:rStyle w:val="CommentReference"/>
          <w:lang w:val="en-GB"/>
        </w:rPr>
        <w:t>.</w:t>
      </w:r>
      <w:r>
        <w:rPr>
          <w:rFonts w:ascii="Cambria" w:hAnsi="Cambria" w:cs="Cambria"/>
          <w:lang w:val="en-GB"/>
        </w:rPr>
        <w:t xml:space="preserve"> </w:t>
      </w:r>
    </w:p>
    <w:p w14:paraId="78951172"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above-mentioned ASEAN countries are States Parties to the CRPD and SDGs, and having incorporated the two Protocols into their national legislations, they have made the discourse on the rights of persons with disabilities a mainstay of their development agenda. Nevertheless, persons with disabilities’ participation in and access to all facets of society are still weaker than those of other people in the region. </w:t>
      </w:r>
    </w:p>
    <w:p w14:paraId="09CB4B89" w14:textId="61BAB0AC"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This report aims to assess three elements in the implementation of SDGs and CRPD; namely, adopted policies and regulations, programmes and their implementation, and the participation of the civil society and the Organisation of Persons with Disabilities (OPD). Therefore, this report underlines the importance of legal frameworks to ensure and guarantee the rights of persons with disabilities. The implementation of such structures is as important as the participation of OPD</w:t>
      </w:r>
      <w:r w:rsidR="0067025E">
        <w:rPr>
          <w:rFonts w:ascii="Cambria" w:hAnsi="Cambria" w:cs="Cambria"/>
          <w:lang w:val="en-GB"/>
        </w:rPr>
        <w:t>s</w:t>
      </w:r>
      <w:r>
        <w:rPr>
          <w:rFonts w:ascii="Cambria" w:hAnsi="Cambria" w:cs="Cambria"/>
          <w:lang w:val="en-GB"/>
        </w:rPr>
        <w:t>, which act as the rights’ custodians and agents of change.</w:t>
      </w:r>
    </w:p>
    <w:p w14:paraId="571D89D4"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In this regard, I wish to echo the seminal ASEAN Enabling Masterplan 2025: Mainstreaming the Rights of Persons with Disabilities, which seeks to complement and concretise the ASEAN Community Vision 2025 in mainstreaming the rights of persons with disabilities across all three pillars of the ASEAN community; namely, the Political-Security Community, Economic Community and Socio-Cultural Community, and foster Member States’ commitment towards an inclusive community. The ASEAN Enabling Masterplan 2025 integrates the international agenda with the principles of SDGs and CRPD; thus, it serves as a vital instrument to steer policy and programme development for an inclusive community in ASEAN. </w:t>
      </w:r>
    </w:p>
    <w:p w14:paraId="233D79A9"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I wish, therefore, that this report might serve as a light, providing a set of recommendations for governments and stakeholders in the region to consolidate and implement national action plans and strategies of the SDGs and CRPD, which are encapsulated in the ASEAN Enabling Masterplan 2025. As the mid-term review of the Masterplan is due in 2021, this report should be useful for stakeholders to seize momentum in the implementation of the development agenda. </w:t>
      </w:r>
    </w:p>
    <w:p w14:paraId="0871149A" w14:textId="15EF3499"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This report also speaks to the significance of inclusivity, the principle that persons with disabilities and OPD</w:t>
      </w:r>
      <w:r w:rsidR="0067025E">
        <w:rPr>
          <w:rFonts w:ascii="Cambria" w:hAnsi="Cambria" w:cs="Cambria"/>
          <w:lang w:val="en-GB"/>
        </w:rPr>
        <w:t>s</w:t>
      </w:r>
      <w:r>
        <w:rPr>
          <w:rFonts w:ascii="Cambria" w:hAnsi="Cambria" w:cs="Cambria"/>
          <w:lang w:val="en-GB"/>
        </w:rPr>
        <w:t xml:space="preserve"> should be included in policy-making, monitoring and evaluating processes. It is remarkable to note that five out of seven authors of this report are persons with disabilities who work devotedly on disability issues. Data </w:t>
      </w:r>
      <w:r>
        <w:rPr>
          <w:rFonts w:ascii="Cambria" w:hAnsi="Cambria" w:cs="Cambria"/>
          <w:lang w:val="en-GB"/>
        </w:rPr>
        <w:lastRenderedPageBreak/>
        <w:t>collectors also interviewed OPD</w:t>
      </w:r>
      <w:r w:rsidR="0067025E">
        <w:rPr>
          <w:rFonts w:ascii="Cambria" w:hAnsi="Cambria" w:cs="Cambria"/>
          <w:lang w:val="en-GB"/>
        </w:rPr>
        <w:t>s</w:t>
      </w:r>
      <w:r>
        <w:rPr>
          <w:rFonts w:ascii="Cambria" w:hAnsi="Cambria" w:cs="Cambria"/>
          <w:lang w:val="en-GB"/>
        </w:rPr>
        <w:t xml:space="preserve"> in each respective country, to ensure that every voice of these key stakeholders is heard in this report.</w:t>
      </w:r>
    </w:p>
    <w:p w14:paraId="75300101"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 wish to thank the International Disability Alliance (IDA) team that has been a reliable and essential partner for the ASEAN Disability Forum (ADF) in fostering the rights of persons with disabilities in this region. The report’s launch was facilitated by the generous support of IDA, which encouraged ADF to release the SDGs and CRPD implementation programme in the five ASEAN countries discussed in this report.</w:t>
      </w:r>
    </w:p>
    <w:p w14:paraId="1254C1F2"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lang w:val="en-GB"/>
        </w:rPr>
        <w:t xml:space="preserve">I want to extend my gratitude to the UK Department for International Development (DFID) and the Ministry for Foreign Affairs of Finland to support this research financially. Their valuable commitment has been beneficial in helping the participation of organisations of persons with disabilities in ASEAN. </w:t>
      </w:r>
    </w:p>
    <w:p w14:paraId="58A12865" w14:textId="14C1A056"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Also, I thank the authors who have put extensive effort to collect data and write this report, and the ADF Secretariat that facilitated the reporting team. The most gratitude goes to contributors or interviewees from various government institutions and OPD</w:t>
      </w:r>
      <w:r w:rsidR="0067025E">
        <w:rPr>
          <w:rFonts w:ascii="Cambria" w:hAnsi="Cambria" w:cs="Cambria"/>
          <w:lang w:val="en-GB"/>
        </w:rPr>
        <w:t>s</w:t>
      </w:r>
      <w:r>
        <w:rPr>
          <w:rFonts w:ascii="Cambria" w:hAnsi="Cambria" w:cs="Cambria"/>
          <w:lang w:val="en-GB"/>
        </w:rPr>
        <w:t xml:space="preserve"> in each respective country. Without their inputs, this inaugural report would be incomplete. I also acknowledge the contribution of many people not mentioned here, yet their inputs were equitably significant. </w:t>
      </w:r>
    </w:p>
    <w:p w14:paraId="39978F78"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This inaugural report on the rights of persons with disabilities in ASEAN countries is in seven chapters, which discuss the background and the situation of the SDGs and CRPD implementation in each country. Each chapter closes with a summary and suggested way forward in the march towards an inclusive community in ASEAN. I believe that many parts of the report can still be improved to enhance both the data collection and further analysis; therefore, your inputs are continuously welcome. Above all, I wish that this report will benefit the advancement of the rights of persons with disabilities. </w:t>
      </w:r>
    </w:p>
    <w:p w14:paraId="0667D433" w14:textId="77777777" w:rsidR="00622BC0" w:rsidRDefault="00622BC0">
      <w:pPr>
        <w:widowControl w:val="0"/>
        <w:autoSpaceDE w:val="0"/>
        <w:autoSpaceDN w:val="0"/>
        <w:adjustRightInd w:val="0"/>
        <w:spacing w:after="200"/>
        <w:ind w:right="-6"/>
        <w:jc w:val="both"/>
        <w:rPr>
          <w:rFonts w:ascii="Cambria" w:hAnsi="Cambria" w:cs="Cambria"/>
          <w:b/>
          <w:bCs/>
          <w:lang w:val="en-GB"/>
        </w:rPr>
      </w:pPr>
    </w:p>
    <w:p w14:paraId="584467B1"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 xml:space="preserve">Lim </w:t>
      </w:r>
      <w:proofErr w:type="spellStart"/>
      <w:r>
        <w:rPr>
          <w:rFonts w:ascii="Cambria" w:hAnsi="Cambria" w:cs="Cambria"/>
          <w:b/>
          <w:bCs/>
          <w:lang w:val="en-GB"/>
        </w:rPr>
        <w:t>Puay</w:t>
      </w:r>
      <w:proofErr w:type="spellEnd"/>
      <w:r>
        <w:rPr>
          <w:rFonts w:ascii="Cambria" w:hAnsi="Cambria" w:cs="Cambria"/>
          <w:b/>
          <w:bCs/>
          <w:lang w:val="en-GB"/>
        </w:rPr>
        <w:t xml:space="preserve"> </w:t>
      </w:r>
      <w:proofErr w:type="spellStart"/>
      <w:r>
        <w:rPr>
          <w:rFonts w:ascii="Cambria" w:hAnsi="Cambria" w:cs="Cambria"/>
          <w:b/>
          <w:bCs/>
          <w:lang w:val="en-GB"/>
        </w:rPr>
        <w:t>Tiak</w:t>
      </w:r>
      <w:proofErr w:type="spellEnd"/>
    </w:p>
    <w:p w14:paraId="534ACFDC"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Chairperson ASEAN Disability Forum </w:t>
      </w:r>
    </w:p>
    <w:p w14:paraId="78150D99" w14:textId="77777777" w:rsidR="00622BC0" w:rsidRDefault="00622BC0">
      <w:pPr>
        <w:widowControl w:val="0"/>
        <w:autoSpaceDE w:val="0"/>
        <w:autoSpaceDN w:val="0"/>
        <w:adjustRightInd w:val="0"/>
        <w:spacing w:after="200"/>
        <w:ind w:right="-6"/>
        <w:jc w:val="center"/>
        <w:rPr>
          <w:rFonts w:ascii="Cambria" w:hAnsi="Cambria" w:cs="Cambria"/>
          <w:b/>
          <w:bCs/>
          <w:lang w:val="en-GB"/>
        </w:rPr>
      </w:pPr>
    </w:p>
    <w:p w14:paraId="5AB7AF40" w14:textId="77777777" w:rsidR="00622BC0" w:rsidRDefault="00622BC0">
      <w:pPr>
        <w:widowControl w:val="0"/>
        <w:autoSpaceDE w:val="0"/>
        <w:autoSpaceDN w:val="0"/>
        <w:adjustRightInd w:val="0"/>
        <w:spacing w:after="200"/>
        <w:ind w:right="-6"/>
        <w:jc w:val="center"/>
        <w:rPr>
          <w:rFonts w:ascii="Cambria" w:hAnsi="Cambria" w:cs="Cambria"/>
          <w:b/>
          <w:bCs/>
          <w:lang w:val="en-GB"/>
        </w:rPr>
      </w:pPr>
    </w:p>
    <w:p w14:paraId="53CB1014" w14:textId="77777777" w:rsidR="00622BC0" w:rsidRDefault="00622BC0">
      <w:pPr>
        <w:widowControl w:val="0"/>
        <w:autoSpaceDE w:val="0"/>
        <w:autoSpaceDN w:val="0"/>
        <w:adjustRightInd w:val="0"/>
        <w:spacing w:after="200"/>
        <w:ind w:right="-6"/>
        <w:jc w:val="center"/>
        <w:rPr>
          <w:rFonts w:ascii="Cambria" w:hAnsi="Cambria" w:cs="Cambria"/>
          <w:b/>
          <w:bCs/>
          <w:lang w:val="en-GB"/>
        </w:rPr>
      </w:pPr>
    </w:p>
    <w:p w14:paraId="3034A356" w14:textId="77777777" w:rsidR="00622BC0" w:rsidRDefault="00622BC0">
      <w:pPr>
        <w:widowControl w:val="0"/>
        <w:autoSpaceDE w:val="0"/>
        <w:autoSpaceDN w:val="0"/>
        <w:adjustRightInd w:val="0"/>
        <w:spacing w:after="200"/>
        <w:ind w:right="-6"/>
        <w:jc w:val="center"/>
        <w:rPr>
          <w:rFonts w:ascii="Cambria" w:hAnsi="Cambria" w:cs="Cambria"/>
          <w:b/>
          <w:bCs/>
          <w:lang w:val="en-GB"/>
        </w:rPr>
      </w:pPr>
    </w:p>
    <w:p w14:paraId="6E6AEC70" w14:textId="77777777" w:rsidR="00622BC0" w:rsidRDefault="00622BC0">
      <w:pPr>
        <w:widowControl w:val="0"/>
        <w:autoSpaceDE w:val="0"/>
        <w:autoSpaceDN w:val="0"/>
        <w:adjustRightInd w:val="0"/>
        <w:spacing w:after="200"/>
        <w:ind w:right="-6"/>
        <w:jc w:val="center"/>
        <w:rPr>
          <w:rFonts w:ascii="Cambria" w:hAnsi="Cambria" w:cs="Cambria"/>
          <w:b/>
          <w:bCs/>
          <w:lang w:val="en-GB"/>
        </w:rPr>
      </w:pPr>
    </w:p>
    <w:p w14:paraId="16FD687F" w14:textId="77777777" w:rsidR="00622BC0" w:rsidRDefault="00622BC0">
      <w:pPr>
        <w:widowControl w:val="0"/>
        <w:autoSpaceDE w:val="0"/>
        <w:autoSpaceDN w:val="0"/>
        <w:adjustRightInd w:val="0"/>
        <w:spacing w:after="200"/>
        <w:ind w:right="-6"/>
        <w:jc w:val="center"/>
        <w:rPr>
          <w:rFonts w:ascii="Cambria" w:hAnsi="Cambria" w:cs="Cambria"/>
          <w:b/>
          <w:bCs/>
          <w:lang w:val="en-GB"/>
        </w:rPr>
      </w:pPr>
    </w:p>
    <w:p w14:paraId="129E8184" w14:textId="77777777" w:rsidR="00622BC0" w:rsidRDefault="00622BC0">
      <w:pPr>
        <w:widowControl w:val="0"/>
        <w:autoSpaceDE w:val="0"/>
        <w:autoSpaceDN w:val="0"/>
        <w:adjustRightInd w:val="0"/>
        <w:spacing w:after="200"/>
        <w:ind w:right="-6"/>
        <w:jc w:val="center"/>
        <w:rPr>
          <w:rFonts w:ascii="Cambria" w:hAnsi="Cambria" w:cs="Cambria"/>
          <w:b/>
          <w:bCs/>
          <w:lang w:val="en-GB"/>
        </w:rPr>
      </w:pPr>
    </w:p>
    <w:p w14:paraId="65DB7353" w14:textId="77777777" w:rsidR="00622BC0" w:rsidRDefault="00826C5A">
      <w:pPr>
        <w:widowControl w:val="0"/>
        <w:autoSpaceDE w:val="0"/>
        <w:autoSpaceDN w:val="0"/>
        <w:adjustRightInd w:val="0"/>
        <w:spacing w:after="200" w:line="276" w:lineRule="auto"/>
        <w:ind w:right="-6"/>
        <w:jc w:val="center"/>
        <w:rPr>
          <w:rFonts w:ascii="Cambria" w:hAnsi="Cambria" w:cs="Cambria"/>
          <w:b/>
          <w:bCs/>
          <w:lang w:val="en-GB"/>
        </w:rPr>
      </w:pPr>
      <w:r>
        <w:rPr>
          <w:rFonts w:ascii="Cambria" w:hAnsi="Cambria" w:cs="Cambria"/>
          <w:b/>
          <w:bCs/>
          <w:lang w:val="en-GB"/>
        </w:rPr>
        <w:lastRenderedPageBreak/>
        <w:t>Editor’s Note</w:t>
      </w:r>
    </w:p>
    <w:p w14:paraId="2EE43735" w14:textId="77777777" w:rsidR="00622BC0" w:rsidRDefault="00622BC0">
      <w:pPr>
        <w:widowControl w:val="0"/>
        <w:autoSpaceDE w:val="0"/>
        <w:autoSpaceDN w:val="0"/>
        <w:adjustRightInd w:val="0"/>
        <w:spacing w:after="200"/>
        <w:ind w:right="-6"/>
        <w:jc w:val="both"/>
        <w:rPr>
          <w:rFonts w:ascii="Cambria" w:hAnsi="Cambria" w:cs="Cambria"/>
          <w:b/>
          <w:bCs/>
          <w:lang w:val="en-GB"/>
        </w:rPr>
      </w:pPr>
    </w:p>
    <w:p w14:paraId="0426AFFE"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impact of SDGs on disability is most manifested in development policies. Governments design inclusive development policies, meaning that planning takes into account persons with disabilities. In this report, no vast improvement in protecting the rights of persons with disabilities stands out. Rather, the report emphasises only ongoing efforts, especially on awareness campaigns and regulatory frameworks.</w:t>
      </w:r>
    </w:p>
    <w:p w14:paraId="6949C7F8"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Practically in every country, disability issues tend to be limited to general state policies on SDGs. Disability issues will be gleaned either from budget allocations with regard to the number of persons with disabilities or from budgeting processes within a development implementing unit, which mostly lack transparency. Protection of the rights of persons with disabilities is still “business as usual,” confined under social protection policies (such as education, health and labour) and accessibility as an affirmative effort. It is not considered a matter of equality under service provision or legal protections. Equality before the law is not extended to persons with disabilities. Their issues are not prioritised in the justice system; rather, they are referred to the family, local customs, and law enforcement. For vulnerable groups, particularly persons with intellectual disabilities, there is no meaningful participation in the community, e.g. forums for self-expression. </w:t>
      </w:r>
    </w:p>
    <w:p w14:paraId="4E896E41"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This trend will significantly impact the 2030 Agenda for Sustainable Development, whose pledge, "no one will be left behind," thus becomes meaningless. This pledge was not only intended to reduce poverty but also to spread access to justice for all, including persons with disabilities.</w:t>
      </w:r>
    </w:p>
    <w:p w14:paraId="09578271" w14:textId="6330B30B"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OPD</w:t>
      </w:r>
      <w:r w:rsidR="0067025E">
        <w:rPr>
          <w:rFonts w:ascii="Cambria" w:hAnsi="Cambria" w:cs="Cambria"/>
          <w:lang w:val="en-GB"/>
        </w:rPr>
        <w:t>s</w:t>
      </w:r>
      <w:r>
        <w:rPr>
          <w:rFonts w:ascii="Cambria" w:hAnsi="Cambria" w:cs="Cambria"/>
          <w:lang w:val="en-GB"/>
        </w:rPr>
        <w:t xml:space="preserve"> need to do better in demanding the full inclusion of disability issues in the global development agenda. In every country, OPD must get more involved, increase advocacy, monitor and evaluate progress and continuously urge member states to act on the ASEAN Enabling Masterplan 2025, so that the concerted effort to mainstream the rights of persons with disabilities, a centrepiece of the interconnected ideals of the SDGs and CRPD, may come to fruition.</w:t>
      </w:r>
    </w:p>
    <w:p w14:paraId="7D33DFD2" w14:textId="77777777" w:rsidR="00622BC0" w:rsidRDefault="00622BC0">
      <w:pPr>
        <w:widowControl w:val="0"/>
        <w:autoSpaceDE w:val="0"/>
        <w:autoSpaceDN w:val="0"/>
        <w:adjustRightInd w:val="0"/>
        <w:spacing w:after="200"/>
        <w:ind w:right="-6"/>
        <w:jc w:val="both"/>
        <w:rPr>
          <w:rFonts w:ascii="Cambria" w:hAnsi="Cambria" w:cs="Cambria"/>
          <w:lang w:val="en-GB"/>
        </w:rPr>
      </w:pPr>
    </w:p>
    <w:p w14:paraId="4A1E7306" w14:textId="77777777" w:rsidR="00622BC0" w:rsidRDefault="00826C5A">
      <w:pPr>
        <w:widowControl w:val="0"/>
        <w:autoSpaceDE w:val="0"/>
        <w:autoSpaceDN w:val="0"/>
        <w:adjustRightInd w:val="0"/>
        <w:spacing w:after="200"/>
        <w:ind w:right="-6"/>
        <w:rPr>
          <w:rFonts w:ascii="Cambria" w:hAnsi="Cambria" w:cs="Cambria"/>
          <w:b/>
          <w:bCs/>
          <w:lang w:val="en-GB"/>
        </w:rPr>
      </w:pPr>
      <w:proofErr w:type="spellStart"/>
      <w:r>
        <w:rPr>
          <w:rFonts w:ascii="Cambria" w:hAnsi="Cambria" w:cs="Cambria"/>
          <w:b/>
          <w:bCs/>
          <w:lang w:val="en-GB"/>
        </w:rPr>
        <w:t>Maulani</w:t>
      </w:r>
      <w:proofErr w:type="spellEnd"/>
      <w:r>
        <w:rPr>
          <w:rFonts w:ascii="Cambria" w:hAnsi="Cambria" w:cs="Cambria"/>
          <w:b/>
          <w:bCs/>
          <w:lang w:val="en-GB"/>
        </w:rPr>
        <w:t xml:space="preserve"> </w:t>
      </w:r>
      <w:proofErr w:type="spellStart"/>
      <w:r>
        <w:rPr>
          <w:rFonts w:ascii="Cambria" w:hAnsi="Cambria" w:cs="Cambria"/>
          <w:b/>
          <w:bCs/>
          <w:lang w:val="en-GB"/>
        </w:rPr>
        <w:t>A.Rotinsulu</w:t>
      </w:r>
      <w:proofErr w:type="spellEnd"/>
    </w:p>
    <w:p w14:paraId="0D2F9136" w14:textId="77777777" w:rsidR="00622BC0" w:rsidRDefault="00826C5A">
      <w:pPr>
        <w:widowControl w:val="0"/>
        <w:autoSpaceDE w:val="0"/>
        <w:autoSpaceDN w:val="0"/>
        <w:adjustRightInd w:val="0"/>
        <w:spacing w:after="200"/>
        <w:ind w:right="-6"/>
        <w:rPr>
          <w:rFonts w:ascii="Cambria" w:hAnsi="Cambria" w:cs="Cambria"/>
          <w:lang w:val="en-GB"/>
        </w:rPr>
      </w:pPr>
      <w:r>
        <w:rPr>
          <w:rFonts w:ascii="Cambria" w:hAnsi="Cambria" w:cs="Cambria"/>
          <w:lang w:val="en-GB"/>
        </w:rPr>
        <w:t>Disability Rights Advisor/Editor</w:t>
      </w:r>
    </w:p>
    <w:p w14:paraId="5D9AB1EA" w14:textId="77777777" w:rsidR="00622BC0" w:rsidRDefault="00622BC0">
      <w:pPr>
        <w:widowControl w:val="0"/>
        <w:autoSpaceDE w:val="0"/>
        <w:autoSpaceDN w:val="0"/>
        <w:adjustRightInd w:val="0"/>
        <w:spacing w:after="200"/>
        <w:ind w:right="-6"/>
        <w:jc w:val="both"/>
        <w:rPr>
          <w:rFonts w:ascii="Cambria" w:hAnsi="Cambria" w:cs="Cambria"/>
          <w:b/>
          <w:bCs/>
          <w:lang w:val="en-GB"/>
        </w:rPr>
        <w:sectPr w:rsidR="00622BC0">
          <w:footerReference w:type="even" r:id="rId57"/>
          <w:footerReference w:type="default" r:id="rId58"/>
          <w:pgSz w:w="11900" w:h="16840"/>
          <w:pgMar w:top="1440" w:right="1800" w:bottom="1440" w:left="1800" w:header="720" w:footer="720" w:gutter="0"/>
          <w:pgNumType w:fmt="lowerRoman"/>
          <w:cols w:space="720"/>
          <w:titlePg/>
        </w:sectPr>
      </w:pPr>
    </w:p>
    <w:p w14:paraId="12A8487C"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lastRenderedPageBreak/>
        <w:t>Chapter 1. Baseline Study: A Glimpse of CRPD and SDGs Implementation</w:t>
      </w:r>
    </w:p>
    <w:p w14:paraId="5CF174CB" w14:textId="77777777" w:rsidR="00622BC0" w:rsidRDefault="00826C5A">
      <w:pPr>
        <w:widowControl w:val="0"/>
        <w:autoSpaceDE w:val="0"/>
        <w:autoSpaceDN w:val="0"/>
        <w:adjustRightInd w:val="0"/>
        <w:ind w:right="-6"/>
        <w:jc w:val="center"/>
        <w:rPr>
          <w:rFonts w:ascii="Cambria" w:hAnsi="Cambria" w:cs="Cambria"/>
          <w:b/>
          <w:bCs/>
          <w:lang w:val="en-GB"/>
        </w:rPr>
      </w:pPr>
      <w:r>
        <w:rPr>
          <w:rFonts w:ascii="Cambria" w:hAnsi="Cambria" w:cs="Cambria"/>
          <w:b/>
          <w:bCs/>
          <w:lang w:val="en-GB"/>
        </w:rPr>
        <w:t>in the Southeast Asian Countries</w:t>
      </w:r>
    </w:p>
    <w:p w14:paraId="361A6EFB" w14:textId="77777777" w:rsidR="00622BC0" w:rsidRDefault="00622BC0">
      <w:pPr>
        <w:widowControl w:val="0"/>
        <w:autoSpaceDE w:val="0"/>
        <w:autoSpaceDN w:val="0"/>
        <w:adjustRightInd w:val="0"/>
        <w:ind w:right="-6"/>
        <w:jc w:val="center"/>
        <w:rPr>
          <w:rFonts w:ascii="Cambria" w:hAnsi="Cambria" w:cs="Cambria"/>
          <w:b/>
          <w:bCs/>
          <w:lang w:val="en-GB"/>
        </w:rPr>
      </w:pPr>
    </w:p>
    <w:p w14:paraId="2F2067DB" w14:textId="77777777" w:rsidR="00622BC0" w:rsidRDefault="00826C5A">
      <w:pPr>
        <w:widowControl w:val="0"/>
        <w:autoSpaceDE w:val="0"/>
        <w:autoSpaceDN w:val="0"/>
        <w:adjustRightInd w:val="0"/>
        <w:ind w:right="-6"/>
        <w:jc w:val="center"/>
        <w:rPr>
          <w:rFonts w:ascii="Cambria" w:hAnsi="Cambria" w:cs="Cambria"/>
          <w:b/>
          <w:bCs/>
          <w:lang w:val="en-GB"/>
        </w:rPr>
      </w:pPr>
      <w:r>
        <w:rPr>
          <w:rFonts w:ascii="Cambria" w:hAnsi="Cambria" w:cs="Cambria"/>
          <w:b/>
          <w:bCs/>
          <w:lang w:val="en-GB"/>
        </w:rPr>
        <w:t xml:space="preserve">By: Mimi A. </w:t>
      </w:r>
      <w:proofErr w:type="spellStart"/>
      <w:r>
        <w:rPr>
          <w:rFonts w:ascii="Cambria" w:hAnsi="Cambria" w:cs="Cambria"/>
          <w:b/>
          <w:bCs/>
          <w:lang w:val="en-GB"/>
        </w:rPr>
        <w:t>Lusli</w:t>
      </w:r>
      <w:proofErr w:type="spellEnd"/>
      <w:r>
        <w:rPr>
          <w:rFonts w:ascii="Cambria" w:hAnsi="Cambria" w:cs="Cambria"/>
          <w:b/>
          <w:bCs/>
          <w:lang w:val="en-GB"/>
        </w:rPr>
        <w:t xml:space="preserve"> and Wike Devi </w:t>
      </w:r>
      <w:proofErr w:type="spellStart"/>
      <w:r>
        <w:rPr>
          <w:rFonts w:ascii="Cambria" w:hAnsi="Cambria" w:cs="Cambria"/>
          <w:b/>
          <w:bCs/>
          <w:lang w:val="en-GB"/>
        </w:rPr>
        <w:t>Erianti</w:t>
      </w:r>
      <w:proofErr w:type="spellEnd"/>
    </w:p>
    <w:p w14:paraId="093CF9C7" w14:textId="77777777" w:rsidR="00622BC0" w:rsidRDefault="00622BC0">
      <w:pPr>
        <w:widowControl w:val="0"/>
        <w:autoSpaceDE w:val="0"/>
        <w:autoSpaceDN w:val="0"/>
        <w:adjustRightInd w:val="0"/>
        <w:ind w:right="-6"/>
        <w:jc w:val="center"/>
        <w:rPr>
          <w:rFonts w:ascii="Cambria" w:hAnsi="Cambria" w:cs="Cambria"/>
          <w:b/>
          <w:bCs/>
          <w:lang w:val="en-GB"/>
        </w:rPr>
      </w:pPr>
    </w:p>
    <w:p w14:paraId="03470A22" w14:textId="77777777" w:rsidR="00622BC0" w:rsidRDefault="00622BC0">
      <w:pPr>
        <w:widowControl w:val="0"/>
        <w:autoSpaceDE w:val="0"/>
        <w:autoSpaceDN w:val="0"/>
        <w:adjustRightInd w:val="0"/>
        <w:ind w:right="-6"/>
        <w:jc w:val="center"/>
        <w:rPr>
          <w:rFonts w:ascii="Cambria" w:hAnsi="Cambria" w:cs="Cambria"/>
          <w:b/>
          <w:bCs/>
          <w:lang w:val="en-GB"/>
        </w:rPr>
      </w:pPr>
    </w:p>
    <w:p w14:paraId="575C6EBA" w14:textId="77777777" w:rsidR="00622BC0" w:rsidRDefault="00622BC0">
      <w:pPr>
        <w:widowControl w:val="0"/>
        <w:autoSpaceDE w:val="0"/>
        <w:autoSpaceDN w:val="0"/>
        <w:adjustRightInd w:val="0"/>
        <w:ind w:right="-6"/>
        <w:jc w:val="center"/>
        <w:rPr>
          <w:rFonts w:ascii="Cambria" w:hAnsi="Cambria" w:cs="Cambria"/>
          <w:b/>
          <w:bCs/>
          <w:lang w:val="en-GB"/>
        </w:rPr>
      </w:pPr>
    </w:p>
    <w:p w14:paraId="1010AE24" w14:textId="77777777" w:rsidR="00622BC0" w:rsidRDefault="00622BC0">
      <w:pPr>
        <w:widowControl w:val="0"/>
        <w:autoSpaceDE w:val="0"/>
        <w:autoSpaceDN w:val="0"/>
        <w:adjustRightInd w:val="0"/>
        <w:ind w:right="-6"/>
        <w:jc w:val="center"/>
        <w:rPr>
          <w:rFonts w:ascii="Cambria" w:hAnsi="Cambria" w:cs="Cambria"/>
          <w:b/>
          <w:bCs/>
          <w:lang w:val="en-GB"/>
        </w:rPr>
      </w:pPr>
    </w:p>
    <w:p w14:paraId="6AF55A04" w14:textId="77777777" w:rsidR="00622BC0" w:rsidRDefault="00826C5A">
      <w:pPr>
        <w:widowControl w:val="0"/>
        <w:numPr>
          <w:ilvl w:val="0"/>
          <w:numId w:val="2"/>
        </w:numPr>
        <w:autoSpaceDE w:val="0"/>
        <w:autoSpaceDN w:val="0"/>
        <w:adjustRightInd w:val="0"/>
        <w:spacing w:after="200"/>
        <w:ind w:left="425" w:right="-6" w:hanging="425"/>
        <w:rPr>
          <w:rFonts w:ascii="Cambria" w:hAnsi="Cambria" w:cs="Cambria"/>
          <w:b/>
          <w:bCs/>
          <w:lang w:val="en-GB"/>
        </w:rPr>
      </w:pPr>
      <w:r>
        <w:rPr>
          <w:rFonts w:ascii="Cambria" w:hAnsi="Cambria" w:cs="Cambria"/>
          <w:b/>
          <w:bCs/>
          <w:lang w:val="en-GB"/>
        </w:rPr>
        <w:t>Background</w:t>
      </w:r>
      <w:r>
        <w:rPr>
          <w:rFonts w:ascii="Cambria" w:hAnsi="Cambria" w:cs="Cambria"/>
          <w:b/>
          <w:bCs/>
          <w:lang w:val="en-GB"/>
        </w:rPr>
        <w:tab/>
      </w:r>
    </w:p>
    <w:p w14:paraId="618B3B78" w14:textId="77777777" w:rsidR="00622BC0" w:rsidRDefault="00622BC0">
      <w:pPr>
        <w:widowControl w:val="0"/>
        <w:autoSpaceDE w:val="0"/>
        <w:autoSpaceDN w:val="0"/>
        <w:adjustRightInd w:val="0"/>
        <w:spacing w:after="200"/>
        <w:ind w:right="-6"/>
        <w:jc w:val="both"/>
        <w:rPr>
          <w:rFonts w:ascii="Cambria" w:hAnsi="Cambria" w:cs="Cambria"/>
          <w:lang w:val="en-GB"/>
        </w:rPr>
      </w:pPr>
    </w:p>
    <w:p w14:paraId="357559B7" w14:textId="77777777" w:rsidR="00622BC0" w:rsidRDefault="00826C5A">
      <w:pPr>
        <w:widowControl w:val="0"/>
        <w:autoSpaceDE w:val="0"/>
        <w:autoSpaceDN w:val="0"/>
        <w:adjustRightInd w:val="0"/>
        <w:spacing w:line="240" w:lineRule="auto"/>
        <w:ind w:right="-6"/>
        <w:jc w:val="both"/>
        <w:rPr>
          <w:rFonts w:ascii="Cambria" w:hAnsi="Cambria" w:cs="Cambria"/>
          <w:lang w:val="en-GB"/>
        </w:rPr>
      </w:pPr>
      <w:r>
        <w:rPr>
          <w:rFonts w:ascii="Cambria" w:hAnsi="Cambria" w:cs="Cambria"/>
        </w:rPr>
        <w:t>T</w:t>
      </w:r>
      <w:r>
        <w:rPr>
          <w:rFonts w:ascii="Cambria" w:hAnsi="Cambria" w:cs="Cambria"/>
          <w:lang w:val="en-GB"/>
        </w:rPr>
        <w:t>he commitment of Asia and Pacific countries to the disability agenda after</w:t>
      </w:r>
      <w:r>
        <w:rPr>
          <w:rFonts w:ascii="Cambria" w:hAnsi="Cambria" w:cs="Cambria"/>
        </w:rPr>
        <w:t xml:space="preserve"> </w:t>
      </w:r>
      <w:r>
        <w:rPr>
          <w:rFonts w:ascii="Cambria" w:hAnsi="Cambria" w:cs="Cambria"/>
          <w:lang w:val="en-GB"/>
        </w:rPr>
        <w:t>the adoption of the CRPD became more tangible with the Incheon Strategy to "Make the Rights Real" for persons with disabilities in ASEAN. The latter, inked 2012 in Incheon, Republic of Korea, to chart the course of the new Asian and Pacific Decade of Persons with Disabilities for the period 2013 to 2022, provided</w:t>
      </w:r>
      <w:r>
        <w:rPr>
          <w:rFonts w:ascii="Georgia" w:hAnsi="Georgia"/>
          <w:color w:val="3B3B3B"/>
          <w:shd w:val="clear" w:color="auto" w:fill="FFFFFF"/>
          <w:lang w:val="en-GB"/>
        </w:rPr>
        <w:t xml:space="preserve"> the world with the first set of regionally agreed disability-inclusive development goals. </w:t>
      </w:r>
    </w:p>
    <w:p w14:paraId="71FF8344"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Through the CRPD and the Incheon Strategy, the ASEAN member states have committed to the global effort to eliminate barriers that hinder persons with disabilities from full participating in their communities. However, available data in the region, which as of 2017 had an estimated 690 million people with disabilities (UNESCAP, 2019), reveals important challenges.</w:t>
      </w:r>
    </w:p>
    <w:p w14:paraId="725BB3F9"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Top among the challenges is progress in policy formulation. Policymakers in ASEAN are expected to develop public policies and regulations that provide answers in the pursuit for full inclusion and enjoyment of rights by persons with disabilities. Measures undertaken in this regard should be advantageous for persons with disabilities. Their situation and issues should be addressed objectively and adequately; otherwise, problems have remain unresolved. </w:t>
      </w:r>
    </w:p>
    <w:p w14:paraId="4314436E" w14:textId="5C34A756"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However, the 2017 data by United Nations Economic and Social Commission for Asia </w:t>
      </w:r>
      <w:r>
        <w:rPr>
          <w:rFonts w:ascii="Cambria" w:hAnsi="Cambria" w:cs="Cambria"/>
          <w:lang w:val="en-GB"/>
        </w:rPr>
        <w:tab/>
        <w:t xml:space="preserve">and the Pacific (UNESCAP), which showed that, 1) only 0.4% Members of Parliament in the region are persons with disabilities, 2) the percentage of children with disabilities enrolled in secondary education was drastically low at 52.7%, and 3) compared with other people, persons with disabilities were two to six times less likely to be employed. </w:t>
      </w:r>
    </w:p>
    <w:p w14:paraId="3A7E0952"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In Indonesia, 63% of persons with disabilities are self-employed, due to lack of access to the labour market (UNESCAP, 2016). Available data shows that adult women with disabilities are 1.5 times more likely to suffer physical and sexual abuse compared to women without disabilities (UNESCAP, 2017). </w:t>
      </w:r>
    </w:p>
    <w:p w14:paraId="10385EF7"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lastRenderedPageBreak/>
        <w:t xml:space="preserve">It is against this kind of backdrop that the SDGs were designed. The 17 SDG goals aim to achieve sustainable development that requires efforts and partnership from all sectors and stakeholders to ensure no one is left behind. </w:t>
      </w:r>
    </w:p>
    <w:p w14:paraId="5D9FEAD7"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Concerning SDGs, the Office of the United Nations High Commissioner for Human Rights (OHCHR) has defined human rights indicators to align with the global agenda and human rights principles, especially the right to development as a means of measuring SDGs implementation (OHCHR, 2017). On the other hand, CRPD determines and reaffirms that persons with disabilities are entitled to human rights and fundamental freedoms equally. The Convention validated the United Nations’ effort to abolish the medical and charitable approaches to persons with disabilities (OHCHR, 2014).</w:t>
      </w:r>
    </w:p>
    <w:p w14:paraId="360DFA8A"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Furthermore, 43 UNESCAP members, including all ASEAN member states, were by 2016 States Parties to the CRPD. Of particular significance is that being a State Party to the CRPD allows states and their civil societies, including Organisations of Persons with Disabilities (OPD), to submit reports to the CRPD Committee, as part of nations’ monitoring and evaluation mechanisms. Fortunately, all ASEAN member are States Parties of SDGs and CRPD, which emphasises their commitment to promote and protect the rights of persons with disabilities in the region. In fact, most ASEAN member states have submitted reports to both the CRPD Committee and the Voluntary National Review (VNR) to the United Nations Economic and Social Council (ECOSOC). These reports show how the CRPD and the development agenda have been implemented in ASEAN, and to what extent ASEAN member states are incorporating these parallel but inter-related frameworks.</w:t>
      </w:r>
    </w:p>
    <w:p w14:paraId="51515720"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In addition, a substantial commitment to the protection and promotion of the rights of persons with disabilities in the region has been pushed forward by the ASEAN Intergovernmental Commission on Human Rights (AICHR), which teamed up with Senior Officials Meeting on Social Welfare and Development (SOMSWD) and the ASEAN Commission on the Promotion and Protection of the Rights of Women and Children (ACWC). </w:t>
      </w:r>
    </w:p>
    <w:p w14:paraId="38883C0B"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These three bodies collaborated as the Taskforce on the Mainstreaming of the Rights of Persons with Disabilities in the ASEAN Communities to develop the draft of ASEAN Masterplan on the rights of persons with disabilities. These efforts followed the 2013 adoption of the Bali Declaration on the Enhancement of the Role and Participation of the Persons with disabilities in the ASEAN Community and Mobilisation Framework of the ASEAN Decade of Persons with Disabilities (2011-2020), which will end soon.</w:t>
      </w:r>
    </w:p>
    <w:p w14:paraId="5D744E88" w14:textId="5E51A8DA"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efforts of the above mentioned Taskforce bore fruit in the 2018 adoption of the ASEAN Enabling Masterplan 2025, a milestone in the endeavour to enhance the promotion and protection of the rights of persons with disabilities. The Masterplan becomes a measurable, intersecting framework between SDGs and CRPD, open to evaluation by multi-stakeholders, especially the governments of </w:t>
      </w:r>
      <w:r>
        <w:rPr>
          <w:rFonts w:ascii="Cambria" w:hAnsi="Cambria" w:cs="Cambria"/>
          <w:lang w:val="en-GB"/>
        </w:rPr>
        <w:lastRenderedPageBreak/>
        <w:t>ASEAN member states. It is important, however, that OPD</w:t>
      </w:r>
      <w:r w:rsidR="0067025E">
        <w:rPr>
          <w:rFonts w:ascii="Cambria" w:hAnsi="Cambria" w:cs="Cambria"/>
          <w:lang w:val="en-GB"/>
        </w:rPr>
        <w:t>s</w:t>
      </w:r>
      <w:r>
        <w:rPr>
          <w:rFonts w:ascii="Cambria" w:hAnsi="Cambria" w:cs="Cambria"/>
          <w:lang w:val="en-GB"/>
        </w:rPr>
        <w:t xml:space="preserve"> participate in any initiative by governments and the civil society in ASEAN to ensure that the rights, as well as inclusive development processes for persons with disabilities, are developed and implemented correctly. </w:t>
      </w:r>
    </w:p>
    <w:p w14:paraId="51F59DC2" w14:textId="5741C380"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 hallmark of OPD’s accomplishments in the region is the ASEAN Disability Forum’s work. An initiative of OPD</w:t>
      </w:r>
      <w:r w:rsidR="0067025E">
        <w:rPr>
          <w:rFonts w:ascii="Cambria" w:hAnsi="Cambria" w:cs="Cambria"/>
          <w:lang w:val="en-GB"/>
        </w:rPr>
        <w:t>s</w:t>
      </w:r>
      <w:r>
        <w:rPr>
          <w:rFonts w:ascii="Cambria" w:hAnsi="Cambria" w:cs="Cambria"/>
          <w:lang w:val="en-GB"/>
        </w:rPr>
        <w:t xml:space="preserve"> with the support of governments, civil society and the business sector, the ADF works to realise communities where all citizens with disabilities, regardless of type and severity of impairment, are provided with appropriate support and enjoy community living on an equal basis with others. </w:t>
      </w:r>
    </w:p>
    <w:p w14:paraId="04CF2E15"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This baseline study on the implementation of SDGs and CRPD was initiated by ADF to identify specific and related policies, regulations, programmes, and their impact on the development agenda among the ASEAN member states. So far, many reports have assessed the implementation of Millennium Development Goals (MDGs) and SDGs among the ASEAN member states. However, a baseline study on the same was lacking. This is a first.</w:t>
      </w:r>
    </w:p>
    <w:p w14:paraId="1B279BB2" w14:textId="77777777" w:rsidR="00622BC0" w:rsidRDefault="00622BC0">
      <w:pPr>
        <w:widowControl w:val="0"/>
        <w:autoSpaceDE w:val="0"/>
        <w:autoSpaceDN w:val="0"/>
        <w:adjustRightInd w:val="0"/>
        <w:spacing w:after="200"/>
        <w:ind w:right="-6"/>
        <w:jc w:val="both"/>
        <w:rPr>
          <w:rFonts w:ascii="Cambria" w:hAnsi="Cambria" w:cs="Cambria"/>
          <w:lang w:val="en-GB"/>
        </w:rPr>
      </w:pPr>
    </w:p>
    <w:p w14:paraId="598CBAC1" w14:textId="77777777" w:rsidR="00622BC0" w:rsidRPr="002163D6" w:rsidRDefault="00826C5A">
      <w:pPr>
        <w:pStyle w:val="ListParagraph"/>
        <w:widowControl w:val="0"/>
        <w:numPr>
          <w:ilvl w:val="0"/>
          <w:numId w:val="2"/>
        </w:numPr>
        <w:autoSpaceDE w:val="0"/>
        <w:autoSpaceDN w:val="0"/>
        <w:adjustRightInd w:val="0"/>
        <w:spacing w:after="200"/>
        <w:ind w:left="425" w:right="-6" w:hanging="425"/>
        <w:jc w:val="both"/>
        <w:rPr>
          <w:rFonts w:ascii="Cambria" w:hAnsi="Cambria" w:cs="Cambria"/>
          <w:b/>
          <w:bCs/>
          <w:sz w:val="24"/>
          <w:szCs w:val="24"/>
          <w:lang w:val="en-GB"/>
        </w:rPr>
      </w:pPr>
      <w:r w:rsidRPr="002163D6">
        <w:rPr>
          <w:rFonts w:ascii="Cambria" w:hAnsi="Cambria" w:cs="Cambria"/>
          <w:b/>
          <w:bCs/>
          <w:sz w:val="24"/>
          <w:szCs w:val="24"/>
          <w:lang w:val="en-GB"/>
        </w:rPr>
        <w:t>International Frameworks on the Rights of Persons with Disabilities</w:t>
      </w:r>
    </w:p>
    <w:p w14:paraId="06E555B5" w14:textId="77777777" w:rsidR="00622BC0" w:rsidRPr="002163D6" w:rsidRDefault="00826C5A">
      <w:pPr>
        <w:widowControl w:val="0"/>
        <w:autoSpaceDE w:val="0"/>
        <w:autoSpaceDN w:val="0"/>
        <w:adjustRightInd w:val="0"/>
        <w:spacing w:after="200"/>
        <w:ind w:right="-6"/>
        <w:jc w:val="both"/>
        <w:rPr>
          <w:rFonts w:ascii="Cambria" w:hAnsi="Cambria" w:cs="Cambria"/>
          <w:b/>
          <w:bCs/>
          <w:lang w:val="en-GB"/>
        </w:rPr>
      </w:pPr>
      <w:r w:rsidRPr="002163D6">
        <w:rPr>
          <w:rFonts w:ascii="Cambria" w:hAnsi="Cambria" w:cs="Cambria"/>
          <w:b/>
          <w:bCs/>
          <w:lang w:val="en-GB"/>
        </w:rPr>
        <w:t>The Convention on the Rights of Persons with Disabilities (CRPD)</w:t>
      </w:r>
    </w:p>
    <w:p w14:paraId="08A156BC" w14:textId="77777777" w:rsidR="00622BC0" w:rsidRDefault="00826C5A">
      <w:pPr>
        <w:widowControl w:val="0"/>
        <w:autoSpaceDE w:val="0"/>
        <w:autoSpaceDN w:val="0"/>
        <w:adjustRightInd w:val="0"/>
        <w:spacing w:after="200"/>
        <w:ind w:right="-6"/>
        <w:jc w:val="both"/>
        <w:rPr>
          <w:rFonts w:ascii="Cambria" w:hAnsi="Cambria" w:cs="Cambria"/>
          <w:lang w:val="en-GB"/>
        </w:rPr>
      </w:pPr>
      <w:r w:rsidRPr="002163D6">
        <w:rPr>
          <w:rFonts w:ascii="Cambria" w:hAnsi="Cambria" w:cs="Cambria"/>
          <w:lang w:val="en-GB"/>
        </w:rPr>
        <w:t>The CRPD provides the most useful reference and direction on how to mainstream rights protections</w:t>
      </w:r>
      <w:r>
        <w:rPr>
          <w:rFonts w:ascii="Cambria" w:hAnsi="Cambria" w:cs="Cambria"/>
          <w:lang w:val="en-GB"/>
        </w:rPr>
        <w:t xml:space="preserve"> for persons with disabilities. The Convention was adopted, by consensus, at the United Nations General Assembly in 2006 as the eighth core international human rights instrument. The ASEAN member states have been State Parties to the CRPD, and some have submitted their state reports on implementation. These include, among others, Indonesia, Thailand, the Philippines, Singapore, and Viet Nam. </w:t>
      </w:r>
    </w:p>
    <w:p w14:paraId="30892D49"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Twenty-one articles in the CRPD mention specific rights, which are also stipulated in other international human rights treaties. However, the other instruments neglected to effectively address disability infringement and violations. The CRPD guarantees disability-specific rights, even as these rights remain principally universal and equal for all. The CRPD redresses the disability concept by utilizing a human rights-based approach. In this regard, the Convention’s main objectives are to promote, protect and ensures persons with disabilities’ full and equal enjoyment of human rights and fundamental freedoms, as well as to promote their human dignity.</w:t>
      </w:r>
    </w:p>
    <w:p w14:paraId="199B0BD5"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States Parties to the CRPD are expected to ensure the full and meaningful participation of all persons with disabilities in all facets of society. The Convention’s stipulations were development mainly as a result of the meaningful and active participation of persons with disabilities. The participation principles, required to fulfil the human rights-based approach to decision-making processes, good governance and social accountability, formed the heart of the Convention. </w:t>
      </w:r>
      <w:r>
        <w:rPr>
          <w:rFonts w:ascii="Cambria" w:hAnsi="Cambria" w:cs="Cambria"/>
          <w:lang w:val="en-GB"/>
        </w:rPr>
        <w:lastRenderedPageBreak/>
        <w:t>These basic principles are already guaranteed in the Universal Declaration of Human Rights. The CRPD recognised them as both general and cross-cutting obligations.</w:t>
      </w:r>
    </w:p>
    <w:p w14:paraId="6C21BAB3" w14:textId="491EC51E"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As part of a broad definition of “participation,” the Convention prescribes that State Parties bear the responsibility to formerly consult and involve persons with disabilities (CRPD Article 4 (3)) in the monitoring process of disability issues (CRPD Article.33 (3). The involvement and participation of persons with disabilities through "representative organisations" or OP</w:t>
      </w:r>
      <w:r w:rsidR="0067025E">
        <w:rPr>
          <w:rFonts w:ascii="Cambria" w:hAnsi="Cambria" w:cs="Cambria"/>
          <w:lang w:val="en-GB"/>
        </w:rPr>
        <w:t xml:space="preserve">Ds </w:t>
      </w:r>
      <w:r>
        <w:rPr>
          <w:rFonts w:ascii="Cambria" w:hAnsi="Cambria" w:cs="Cambria"/>
          <w:lang w:val="en-GB"/>
        </w:rPr>
        <w:t>are deeply rooted in both CRPD Articles 4 (3) and 33 (3) (Committee, General Comment No. 7, 2018).</w:t>
      </w:r>
    </w:p>
    <w:p w14:paraId="65045A70"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On its part, meaningful involvement and participation would be unfulfilled without the principles of equality and non-discrimination. These principles are the cornerstones of all human rights; thus, CRPD defines them through the substantive phrase, "on an equal basis with others," (Committee, General Comment No. 6 on equality and non-discrimination, 2018). The Convention also reaffirms the principle of equality before the law for persons with disabilities, that they are the rights holders and are eligible to exercise full legal capacity regardless of any disability and on an equal basis with others (Committee, Article 12: Equal recognition before the law, 2014). </w:t>
      </w:r>
    </w:p>
    <w:p w14:paraId="0B70E6D1"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Gender equality is a central principle in human rights. In fact, equality of any kind is a fundamental human rights principle that could be relatively applied to a broad spectrum of circumstances and on the specific contexts. CRPD Article 6 is a non-discrimination and equality provision that outlaws discrimination against women and girls. This Article is developed to respond to the deprivation of recognition and multiple discriminations faced by women and girls with disabilities from all backgrounds (Committee, General Comment No. 3 on women and girls with disabilities, 2016). </w:t>
      </w:r>
    </w:p>
    <w:p w14:paraId="05539A99"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accessibility principle is crucial to the enjoyment of freedom of movement by persons with disabilities; thus, it is a precondition in the pursuit for them to live independently and participate fully and on an equal basis with others in society. Without governments being compelled to guarantee accessibility to physical environments for all types of disabilities, persons with disabilities would not necessarily enjoy access to public transportation, information, communication, technology, and other open facilities (Committee, Article 9: Accessibility, 2014). </w:t>
      </w:r>
    </w:p>
    <w:p w14:paraId="735E9BAC"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lang w:val="en-GB"/>
        </w:rPr>
        <w:t>In view of the above, persons with disabilities will enjoy their full human rights and fundamental freedoms depending on how the CRPD is incorporated into domestic laws. In other words, the Convention will be more impactful if implemented through domestic laws that ensure the promotion of the rights of persons with disabilities at all levels. The shifting paradigm from medical to rights approach for persons with disabilities is crucial to changing social perspectives. (Kanter, 2015).</w:t>
      </w:r>
    </w:p>
    <w:p w14:paraId="0F870940"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Sustainable Development Goals (SDGs)</w:t>
      </w:r>
    </w:p>
    <w:p w14:paraId="4A7AA827"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lastRenderedPageBreak/>
        <w:t xml:space="preserve">The sustainable development goals, adopted in the historic 2015 UN Summit, are intended to achieve inclusive and equal dignity, peace, and prosperity for all people. Despite its objectives, vulnerable groups remain on the periphery of society, with efforts toward progress not reaching them equitably. This was displayed in the two consecutive 2018 and 2019 UN Sustainable Development Goals Reports, which illustrated to what extent persons and organisations with disabilities have been included in the implementation of SDGs. These two reports captured the vulnerabilities of 28% of persons with severe disabilities in the social protection mechanism and who receive a disability pension (Nations. 2018, 2019). </w:t>
      </w:r>
    </w:p>
    <w:p w14:paraId="5E91BA15"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Other than that, the reports showed that increasing access to public transportation requires a deliberate effort to implement the principle of inclusion for all people, including persons with disabilities. Unfortunately, the reports did not appropriately detail the conditions of persons with disabilities, most likely due to the absence of adequate segregated data of persons with disabilities. The reports indicate that most countries do not collect data regularly for half of the global indicators, which makes vulnerable groups "invisible" and exacerbates their vulnerabilities (Nations. 2018, 2019). </w:t>
      </w:r>
    </w:p>
    <w:p w14:paraId="179C9046"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Concerning the regional outlook, ASEAN is a diverse and rapidly changing region that, nonetheless, is committed to the 2030 Agenda. Previously, the ASEAN Secretariat produced a report in 2017 demonstrating the achievement of MDGs among member states. The overall outcomes show that ASEAN member states have gathered a remarkable pace toward the MDGs targets; for instance, the report showed that net school enrolments and literacy rates increased steadily over years. </w:t>
      </w:r>
    </w:p>
    <w:p w14:paraId="6C577C55"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Other progress was found in the health sector, on reducing mortality rates and meeting poverty and hunger reduction targets (ASEAN, 2017). However, challenges remain, especially on narrowing the development gap among ASEAN member states to ensure that benefits are achieved relatively equally.</w:t>
      </w:r>
    </w:p>
    <w:p w14:paraId="7349BDD7"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Furthermore, complementarity frameworks between SDGs and the ASEAN Community Vision 2025 have been developed. This complementarity is determined at all levels, as follows: </w:t>
      </w:r>
    </w:p>
    <w:p w14:paraId="6F04CFC6" w14:textId="77777777" w:rsidR="00622BC0" w:rsidRDefault="00826C5A">
      <w:pPr>
        <w:widowControl w:val="0"/>
        <w:numPr>
          <w:ilvl w:val="0"/>
          <w:numId w:val="3"/>
        </w:numPr>
        <w:autoSpaceDE w:val="0"/>
        <w:autoSpaceDN w:val="0"/>
        <w:adjustRightInd w:val="0"/>
        <w:spacing w:after="200"/>
        <w:ind w:left="960" w:right="-6" w:hanging="425"/>
        <w:jc w:val="both"/>
        <w:rPr>
          <w:rFonts w:ascii="Cambria" w:hAnsi="Cambria" w:cs="Cambria"/>
          <w:lang w:val="en-GB"/>
        </w:rPr>
      </w:pPr>
      <w:r>
        <w:rPr>
          <w:rFonts w:ascii="Cambria" w:hAnsi="Cambria" w:cs="Cambria"/>
          <w:lang w:val="en-GB"/>
        </w:rPr>
        <w:t>Complementarity between goals and objectives of both agendas, to ensure a shared destination;</w:t>
      </w:r>
    </w:p>
    <w:p w14:paraId="26A3C3B6" w14:textId="77777777" w:rsidR="00622BC0" w:rsidRDefault="00826C5A">
      <w:pPr>
        <w:widowControl w:val="0"/>
        <w:numPr>
          <w:ilvl w:val="0"/>
          <w:numId w:val="3"/>
        </w:numPr>
        <w:autoSpaceDE w:val="0"/>
        <w:autoSpaceDN w:val="0"/>
        <w:adjustRightInd w:val="0"/>
        <w:spacing w:after="200"/>
        <w:ind w:left="960" w:right="-6" w:hanging="425"/>
        <w:jc w:val="both"/>
        <w:rPr>
          <w:rFonts w:ascii="Cambria" w:hAnsi="Cambria" w:cs="Cambria"/>
          <w:lang w:val="en-GB"/>
        </w:rPr>
      </w:pPr>
      <w:r>
        <w:rPr>
          <w:rFonts w:ascii="Cambria" w:hAnsi="Cambria" w:cs="Cambria"/>
          <w:lang w:val="en-GB"/>
        </w:rPr>
        <w:t>Complementarity between underlying values and operational principles, to guide planning, decision making and action choices;</w:t>
      </w:r>
    </w:p>
    <w:p w14:paraId="7397DC6E" w14:textId="77777777" w:rsidR="00622BC0" w:rsidRDefault="00826C5A">
      <w:pPr>
        <w:widowControl w:val="0"/>
        <w:numPr>
          <w:ilvl w:val="0"/>
          <w:numId w:val="3"/>
        </w:numPr>
        <w:autoSpaceDE w:val="0"/>
        <w:autoSpaceDN w:val="0"/>
        <w:adjustRightInd w:val="0"/>
        <w:spacing w:after="200"/>
        <w:ind w:left="960" w:right="-6" w:hanging="425"/>
        <w:jc w:val="both"/>
        <w:rPr>
          <w:rFonts w:ascii="Cambria" w:hAnsi="Cambria" w:cs="Cambria"/>
          <w:lang w:val="en-GB"/>
        </w:rPr>
      </w:pPr>
      <w:r>
        <w:rPr>
          <w:rFonts w:ascii="Cambria" w:hAnsi="Cambria" w:cs="Cambria"/>
          <w:lang w:val="en-GB"/>
        </w:rPr>
        <w:t>Complementarity between operational detail and implementation mechanisms, including institutional arrangements, resource allocation, monitoring and reporting;</w:t>
      </w:r>
    </w:p>
    <w:p w14:paraId="23F05476" w14:textId="77777777" w:rsidR="00622BC0" w:rsidRDefault="00826C5A">
      <w:pPr>
        <w:widowControl w:val="0"/>
        <w:numPr>
          <w:ilvl w:val="0"/>
          <w:numId w:val="3"/>
        </w:numPr>
        <w:autoSpaceDE w:val="0"/>
        <w:autoSpaceDN w:val="0"/>
        <w:adjustRightInd w:val="0"/>
        <w:spacing w:after="200"/>
        <w:ind w:left="960" w:right="-6" w:hanging="425"/>
        <w:jc w:val="both"/>
        <w:rPr>
          <w:rFonts w:ascii="Cambria" w:hAnsi="Cambria" w:cs="Cambria"/>
          <w:lang w:val="en-GB"/>
        </w:rPr>
      </w:pPr>
      <w:r>
        <w:rPr>
          <w:rFonts w:ascii="Cambria" w:hAnsi="Cambria" w:cs="Cambria"/>
          <w:lang w:val="en-GB"/>
        </w:rPr>
        <w:t xml:space="preserve">Complementarity between selected and cross-cutting priorities, to enhance focus and avoid instances where one action cancels out benefits </w:t>
      </w:r>
      <w:r>
        <w:rPr>
          <w:rFonts w:ascii="Cambria" w:hAnsi="Cambria" w:cs="Cambria"/>
          <w:lang w:val="en-GB"/>
        </w:rPr>
        <w:lastRenderedPageBreak/>
        <w:t>of another.</w:t>
      </w:r>
    </w:p>
    <w:p w14:paraId="55E4E6F1"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identified cross-cutting priority areas between SDGs and ASEAN Community Vision 2025 are, among others, poverty eradication, infrastructure and connectivity, sustainable management of natural resources, sustainable production and consumption, as well as resilience. These proposed priority areas were obtained from recommendations to support ASEAN member states to achieve ASEAN Community Vision 2025 and SDGs (UNESCAP. 2017). </w:t>
      </w:r>
    </w:p>
    <w:p w14:paraId="497C8E9B"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As early as 2016, the ASEAN member states such as the Philippines, Indonesia, Malaysia, Thailand, and Viet Nam started to indicate their commitment to align SDGs to the ASEAN Community Vision 2025 by setting up regulations and issuing reports on the implementation of SDGs.</w:t>
      </w:r>
    </w:p>
    <w:p w14:paraId="4A77AF18"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Reports show that an estimated 132 million people have been pulled out from extreme poverty in ASEAN, but without a robust mechanism on social protection, persons with disabilities are prone to return below poverty line (ASEAN C. U., 2017). On the other hand, the enjoyment of rights to education, good health, and gender equality remained behind considerably. </w:t>
      </w:r>
    </w:p>
    <w:p w14:paraId="6C84FCF0"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Mixed progress was found in SDG 3 of good health and well-being in ASEAN. While some member states like the Philippines are achieving good targets on decreasing the number of diseases, such as HIV, all countries, except Malaysia, managed to decrease tuberculosis prevalence. Notably, Myanmar has a problem reducing its high rate of deaths from non-communicable disease. Despite these findings, ASEAN has recorded improvements in quality education of SDG 4. This is particularly notable in Cambodia’s increased primary education enrolment rates. Generally, the ASEAN region now enjoys above 95% in primary education completion rates, compared to the era of MDGs when the rates were much lower (ASEAN C. U., 2017).</w:t>
      </w:r>
    </w:p>
    <w:p w14:paraId="44E87F7E"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Another report by the International Monetary Funds (IMF) found that ASEAN has since 2000 achieved significant progress in improving incomes and economic opportunities, including for women, and reducing the poverty rate (IMF, 2017). </w:t>
      </w:r>
    </w:p>
    <w:p w14:paraId="266FEBCD"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Regarding SDGs implementation, a baseline study developed by UNESCAP in collaboration with ASEAN to assess progress made from 2015 to 2017 not only emphasised the significant achievement of several goals by 2015, it also identified anticipated progress on priority goals. Several goals, viz. poverty eradication, good health and well-being and quality of education had passed targets (UNESCAP, ASEAN SDGs Baseline, 2017). </w:t>
      </w:r>
    </w:p>
    <w:p w14:paraId="2EB5E7F2" w14:textId="0A2C7614"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ASEAN members states in 2019 set a new milestone on the protection of the rights of persons with disabilities, by adopting the ASEAN Enabling Masterplan 2025. This important document will be an essential tool for monitoring and evaluating mechanisms that are inclusive and that involve the participation of OPD</w:t>
      </w:r>
      <w:r w:rsidR="0067025E">
        <w:rPr>
          <w:rFonts w:ascii="Cambria" w:hAnsi="Cambria" w:cs="Cambria"/>
          <w:lang w:val="en-GB"/>
        </w:rPr>
        <w:t xml:space="preserve">s </w:t>
      </w:r>
      <w:r>
        <w:rPr>
          <w:rFonts w:ascii="Cambria" w:hAnsi="Cambria" w:cs="Cambria"/>
          <w:lang w:val="en-GB"/>
        </w:rPr>
        <w:t xml:space="preserve">and multi-stakeholders in the implementation of SDGs-CRPD, in alignment with the 2030 Agenda. </w:t>
      </w:r>
      <w:r>
        <w:rPr>
          <w:rFonts w:ascii="Cambria" w:hAnsi="Cambria" w:cs="Cambria"/>
        </w:rPr>
        <w:t xml:space="preserve">The Masterplan consists of 76 key action points traversing the three </w:t>
      </w:r>
      <w:r>
        <w:rPr>
          <w:rFonts w:ascii="Cambria" w:hAnsi="Cambria" w:cs="Cambria"/>
        </w:rPr>
        <w:lastRenderedPageBreak/>
        <w:t>ASEAN community pillars; namely, the Political-Security Community, the Economic Community and the Socio-Cultural Community. Performance on these action points will be reviewed at the projected mid and end-term milestones in 2021 and 2025, respectively (Secretariat, 2018).</w:t>
      </w:r>
      <w:r>
        <w:rPr>
          <w:rFonts w:ascii="Cambria" w:hAnsi="Cambria" w:cs="Cambria"/>
          <w:lang w:val="en-GB"/>
        </w:rPr>
        <w:t xml:space="preserve"> </w:t>
      </w:r>
    </w:p>
    <w:p w14:paraId="13900BE7"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Incheon Strategy to “Make the Right Real”</w:t>
      </w:r>
    </w:p>
    <w:p w14:paraId="1825605B"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Incheon Strategy was adopted in 2012 by 43 countries across the Asia and Pacific region, including the ASEAN member states. This regional measure was undertaken as a twin-track approach in parallel with other international standards to achieve disability-inclusive development; namely, the CRPD, SDGs, and Sendai Framework for Disaster Risk Reduction 2015-2030 in the small-scale region (UNESCAP, 2018). </w:t>
      </w:r>
    </w:p>
    <w:p w14:paraId="6CEE48D0"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foundation for the Incheon Strategy began with the Asian and Pacific Decade of the Persons with Disabilites from 1993-2002 as well as the adoption of the CRPD in 2011 when the treaty entered into force.  . The Incheon Strategy was generated from various contributors by the governments to civil societies, drawing input from several meetings including the Expert Group Meeting-cum-Stakeholder Consultation to Review the Implementation of Asian and Pacific Decade of Disabled Persons, 2003-2012 and the </w:t>
      </w:r>
      <w:proofErr w:type="spellStart"/>
      <w:r>
        <w:rPr>
          <w:rFonts w:ascii="Cambria" w:hAnsi="Cambria" w:cs="Cambria"/>
          <w:lang w:val="en-GB"/>
        </w:rPr>
        <w:t>Biwako</w:t>
      </w:r>
      <w:proofErr w:type="spellEnd"/>
      <w:r>
        <w:rPr>
          <w:rFonts w:ascii="Cambria" w:hAnsi="Cambria" w:cs="Cambria"/>
          <w:lang w:val="en-GB"/>
        </w:rPr>
        <w:t xml:space="preserve"> Millennium Framework for Action, among others (Bangkok, 25-26th June 2010). </w:t>
      </w:r>
    </w:p>
    <w:p w14:paraId="337470EA"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Incheon Strategy was not intended to reduplicate existing mechanisms. On the other hand, it enhances the commitment of Asia and Pacific countries to fulfil the global agendas as outlined in the CRPD and SDGs. Like the MDGs’ eight goals, the Incheon Strategy has 10, regionally adopted, disability-specific development goals, 27 targets and 62 indicators to boost the enjoyment and inclusive development for persons with disabilities in the Asia and Pacific region.</w:t>
      </w:r>
    </w:p>
    <w:p w14:paraId="151C857F" w14:textId="251BD710"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Emphasis on government and multi-stakeholder approach to issues is at the core of modalities to achieve Incheon Strategy’s goals. The key to success is in establishing a national coordination mechanism to implement the Strategy. Within this framework, governments should prepare and implement an engagement plan that includes meaningful participation of OPD</w:t>
      </w:r>
      <w:r w:rsidR="0067025E">
        <w:rPr>
          <w:rFonts w:ascii="Cambria" w:hAnsi="Cambria" w:cs="Cambria"/>
          <w:lang w:val="en-GB"/>
        </w:rPr>
        <w:t>s</w:t>
      </w:r>
      <w:r>
        <w:rPr>
          <w:rFonts w:ascii="Cambria" w:hAnsi="Cambria" w:cs="Cambria"/>
          <w:lang w:val="en-GB"/>
        </w:rPr>
        <w:t xml:space="preserve"> and provide technical assistance to them (UNESCAP, 2018). </w:t>
      </w:r>
    </w:p>
    <w:p w14:paraId="023A0D5E"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Working Group of Incheon Strategy commits to review and support the implementation of this framework. Moreover, UNESCAP in 2018 launched a report that reviews the Strategy’s midpoint implementation (UNESCAP, 2018). The report outlined several critical findings; principally: </w:t>
      </w:r>
    </w:p>
    <w:p w14:paraId="081F736B" w14:textId="77777777" w:rsidR="00622BC0" w:rsidRDefault="00826C5A">
      <w:pPr>
        <w:widowControl w:val="0"/>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1.</w:t>
      </w:r>
      <w:r>
        <w:rPr>
          <w:rFonts w:ascii="Cambria" w:hAnsi="Cambria" w:cs="Cambria"/>
          <w:lang w:val="en-GB"/>
        </w:rPr>
        <w:tab/>
        <w:t>That persons with disabilities face barriers to employment;</w:t>
      </w:r>
    </w:p>
    <w:p w14:paraId="1D8C5BB1" w14:textId="77777777" w:rsidR="00622BC0" w:rsidRDefault="00826C5A">
      <w:pPr>
        <w:widowControl w:val="0"/>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2.</w:t>
      </w:r>
      <w:r>
        <w:rPr>
          <w:rFonts w:ascii="Cambria" w:hAnsi="Cambria" w:cs="Cambria"/>
          <w:lang w:val="en-GB"/>
        </w:rPr>
        <w:tab/>
        <w:t>That persons with disabilities live in extreme poverty;</w:t>
      </w:r>
    </w:p>
    <w:p w14:paraId="2CA64BDA" w14:textId="77777777" w:rsidR="00622BC0" w:rsidRDefault="00826C5A">
      <w:pPr>
        <w:widowControl w:val="0"/>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3.</w:t>
      </w:r>
      <w:r>
        <w:rPr>
          <w:rFonts w:ascii="Cambria" w:hAnsi="Cambria" w:cs="Cambria"/>
          <w:lang w:val="en-GB"/>
        </w:rPr>
        <w:tab/>
        <w:t>That women and girls with disabilities face additional barriers to participate in the public sector;</w:t>
      </w:r>
    </w:p>
    <w:p w14:paraId="02B8A6AB" w14:textId="77777777" w:rsidR="00622BC0" w:rsidRDefault="00826C5A">
      <w:pPr>
        <w:widowControl w:val="0"/>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lastRenderedPageBreak/>
        <w:t>4.</w:t>
      </w:r>
      <w:r>
        <w:rPr>
          <w:rFonts w:ascii="Cambria" w:hAnsi="Cambria" w:cs="Cambria"/>
          <w:lang w:val="en-GB"/>
        </w:rPr>
        <w:tab/>
        <w:t>That disaster risk-reduction planning and management is lacking in the region;</w:t>
      </w:r>
    </w:p>
    <w:p w14:paraId="00DE91A4" w14:textId="77777777" w:rsidR="00622BC0" w:rsidRDefault="00826C5A">
      <w:pPr>
        <w:widowControl w:val="0"/>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5.</w:t>
      </w:r>
      <w:r>
        <w:rPr>
          <w:rFonts w:ascii="Cambria" w:hAnsi="Cambria" w:cs="Cambria"/>
          <w:lang w:val="en-GB"/>
        </w:rPr>
        <w:tab/>
        <w:t>That quality data collection remains a challenge, especially due to non-standardised methods by the different Asia and Pacific countries.</w:t>
      </w:r>
    </w:p>
    <w:p w14:paraId="7585F7CD" w14:textId="77777777" w:rsidR="00622BC0" w:rsidRDefault="00622BC0">
      <w:pPr>
        <w:widowControl w:val="0"/>
        <w:autoSpaceDE w:val="0"/>
        <w:autoSpaceDN w:val="0"/>
        <w:adjustRightInd w:val="0"/>
        <w:spacing w:after="200"/>
        <w:ind w:left="240" w:right="-6" w:hangingChars="100" w:hanging="240"/>
        <w:jc w:val="both"/>
        <w:rPr>
          <w:rFonts w:ascii="Cambria" w:hAnsi="Cambria" w:cs="Cambria"/>
          <w:lang w:val="en-GB"/>
        </w:rPr>
      </w:pPr>
    </w:p>
    <w:p w14:paraId="2F805F4A"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3.</w:t>
      </w:r>
      <w:r>
        <w:rPr>
          <w:rFonts w:ascii="Cambria" w:hAnsi="Cambria" w:cs="Cambria"/>
          <w:b/>
          <w:bCs/>
        </w:rPr>
        <w:t xml:space="preserve">  </w:t>
      </w:r>
      <w:r>
        <w:rPr>
          <w:rFonts w:ascii="Cambria" w:hAnsi="Cambria" w:cs="Cambria"/>
          <w:b/>
          <w:bCs/>
          <w:lang w:val="en-GB"/>
        </w:rPr>
        <w:t>Purpose and Scope of Baseline Study</w:t>
      </w:r>
    </w:p>
    <w:p w14:paraId="6AD46F39"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baseline study aims to detail the current situation of persons with disabilities, juxtaposed with policies and development programmes in the CRPD implementation process and aligned with the SDGs, particularly SDG 3 on good health and well-being, SDG 4 on quality education, SDG 5 on gender equality, SDG 8 on decent work and economic growth, and SDG 11 on sustainable cities and communities among the five ASEAN member states surveyed. This baseline study was made feasible by the fact that these five countries completed their CRPD States Parties reports and the VNR. The study aims to achieve the following:</w:t>
      </w:r>
    </w:p>
    <w:p w14:paraId="72BBD9A3" w14:textId="77777777" w:rsidR="00622BC0" w:rsidRDefault="00826C5A">
      <w:pPr>
        <w:widowControl w:val="0"/>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1.</w:t>
      </w:r>
      <w:r>
        <w:rPr>
          <w:rFonts w:ascii="Cambria" w:hAnsi="Cambria" w:cs="Cambria"/>
          <w:lang w:val="en-GB"/>
        </w:rPr>
        <w:tab/>
        <w:t>Identify the government bodies responsible for developing and monitoring policies and regulations to implement the SDGs-CRPD for persons with disabilities;</w:t>
      </w:r>
    </w:p>
    <w:p w14:paraId="2E59F9DD" w14:textId="77777777" w:rsidR="00622BC0" w:rsidRDefault="00826C5A">
      <w:pPr>
        <w:widowControl w:val="0"/>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2.</w:t>
      </w:r>
      <w:r>
        <w:rPr>
          <w:rFonts w:ascii="Cambria" w:hAnsi="Cambria" w:cs="Cambria"/>
          <w:lang w:val="en-GB"/>
        </w:rPr>
        <w:tab/>
        <w:t>Identify policies and regulations pivotal to implementing the SDGs-CRPD for persons with disabilities;</w:t>
      </w:r>
    </w:p>
    <w:p w14:paraId="4CD3713F" w14:textId="77777777" w:rsidR="00622BC0" w:rsidRDefault="00826C5A">
      <w:pPr>
        <w:widowControl w:val="0"/>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3.</w:t>
      </w:r>
      <w:r>
        <w:rPr>
          <w:rFonts w:ascii="Cambria" w:hAnsi="Cambria" w:cs="Cambria"/>
          <w:lang w:val="en-GB"/>
        </w:rPr>
        <w:tab/>
        <w:t>Identify development programmes that are inclusive of persons with disabilities, to accelerate the implementation of SDGs-CRPD;</w:t>
      </w:r>
    </w:p>
    <w:p w14:paraId="66AC4F2F" w14:textId="38164C31" w:rsidR="00622BC0" w:rsidRDefault="00826C5A">
      <w:pPr>
        <w:widowControl w:val="0"/>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4.</w:t>
      </w:r>
      <w:r>
        <w:rPr>
          <w:rFonts w:ascii="Cambria" w:hAnsi="Cambria" w:cs="Cambria"/>
          <w:lang w:val="en-GB"/>
        </w:rPr>
        <w:tab/>
        <w:t>Assess the participation of OPD</w:t>
      </w:r>
      <w:r w:rsidR="0067025E">
        <w:rPr>
          <w:rFonts w:ascii="Cambria" w:hAnsi="Cambria" w:cs="Cambria"/>
          <w:lang w:val="en-GB"/>
        </w:rPr>
        <w:t>s</w:t>
      </w:r>
      <w:r>
        <w:rPr>
          <w:rFonts w:ascii="Cambria" w:hAnsi="Cambria" w:cs="Cambria"/>
          <w:lang w:val="en-GB"/>
        </w:rPr>
        <w:t xml:space="preserve"> in the policy-making process and the monitoring mechanisms in SDGs-CRPD implementation, with an eye on inclusion and rights-based approach to persons with disabilities;</w:t>
      </w:r>
    </w:p>
    <w:p w14:paraId="7B669AFB" w14:textId="77777777" w:rsidR="00622BC0" w:rsidRDefault="00826C5A">
      <w:pPr>
        <w:widowControl w:val="0"/>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5.</w:t>
      </w:r>
      <w:r>
        <w:rPr>
          <w:rFonts w:ascii="Cambria" w:hAnsi="Cambria" w:cs="Cambria"/>
          <w:lang w:val="en-GB"/>
        </w:rPr>
        <w:tab/>
        <w:t>Generally, assess to what extent the SDGs and CRPD have been implemented and how they have benefited persons with disabilities among the five ASEAN member states.</w:t>
      </w:r>
    </w:p>
    <w:p w14:paraId="2A549861"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line with SDGs, the baseline study focuses on some articles of the CRPD, as illustrated in Table 1 below.</w:t>
      </w:r>
    </w:p>
    <w:p w14:paraId="1AF6BB5B" w14:textId="77777777" w:rsidR="00622BC0" w:rsidRDefault="00622BC0">
      <w:pPr>
        <w:widowControl w:val="0"/>
        <w:autoSpaceDE w:val="0"/>
        <w:autoSpaceDN w:val="0"/>
        <w:adjustRightInd w:val="0"/>
        <w:spacing w:after="200"/>
        <w:ind w:right="-6"/>
        <w:jc w:val="center"/>
        <w:rPr>
          <w:rFonts w:ascii="Cambria" w:hAnsi="Cambria" w:cs="Cambria"/>
          <w:lang w:val="en-GB"/>
        </w:rPr>
      </w:pPr>
    </w:p>
    <w:p w14:paraId="067E62C3" w14:textId="77777777" w:rsidR="00622BC0" w:rsidRDefault="00622BC0">
      <w:pPr>
        <w:widowControl w:val="0"/>
        <w:autoSpaceDE w:val="0"/>
        <w:autoSpaceDN w:val="0"/>
        <w:adjustRightInd w:val="0"/>
        <w:spacing w:after="200"/>
        <w:ind w:right="-6"/>
        <w:jc w:val="center"/>
        <w:rPr>
          <w:rFonts w:ascii="Cambria" w:hAnsi="Cambria" w:cs="Cambria"/>
          <w:lang w:val="en-GB"/>
        </w:rPr>
      </w:pPr>
    </w:p>
    <w:p w14:paraId="399F7801" w14:textId="77777777" w:rsidR="00622BC0" w:rsidRDefault="00622BC0">
      <w:pPr>
        <w:widowControl w:val="0"/>
        <w:autoSpaceDE w:val="0"/>
        <w:autoSpaceDN w:val="0"/>
        <w:adjustRightInd w:val="0"/>
        <w:spacing w:after="200"/>
        <w:ind w:right="-6"/>
        <w:jc w:val="center"/>
        <w:rPr>
          <w:rFonts w:ascii="Cambria" w:hAnsi="Cambria" w:cs="Cambria"/>
          <w:lang w:val="en-GB"/>
        </w:rPr>
      </w:pPr>
    </w:p>
    <w:p w14:paraId="35CB9BCD" w14:textId="77777777" w:rsidR="00622BC0" w:rsidRDefault="00622BC0">
      <w:pPr>
        <w:widowControl w:val="0"/>
        <w:autoSpaceDE w:val="0"/>
        <w:autoSpaceDN w:val="0"/>
        <w:adjustRightInd w:val="0"/>
        <w:spacing w:after="200"/>
        <w:ind w:right="-6"/>
        <w:jc w:val="center"/>
        <w:rPr>
          <w:rFonts w:ascii="Cambria" w:hAnsi="Cambria" w:cs="Cambria"/>
          <w:lang w:val="en-GB"/>
        </w:rPr>
      </w:pPr>
    </w:p>
    <w:p w14:paraId="5F24CE5A"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Table 1. Scope of SDGs and CRPD Articles</w:t>
      </w:r>
    </w:p>
    <w:tbl>
      <w:tblPr>
        <w:tblW w:w="8414"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4484"/>
        <w:gridCol w:w="3930"/>
      </w:tblGrid>
      <w:tr w:rsidR="00622BC0" w14:paraId="3470DEDD" w14:textId="77777777">
        <w:tc>
          <w:tcPr>
            <w:tcW w:w="4484" w:type="dxa"/>
            <w:tcBorders>
              <w:top w:val="single" w:sz="8" w:space="0" w:color="808080"/>
              <w:left w:val="single" w:sz="8" w:space="0" w:color="808080"/>
              <w:bottom w:val="single" w:sz="18" w:space="0" w:color="FFFFFF"/>
              <w:right w:val="single" w:sz="8" w:space="0" w:color="808080"/>
            </w:tcBorders>
            <w:shd w:val="clear" w:color="auto" w:fill="4BACC6"/>
            <w:tcMar>
              <w:left w:w="0" w:type="dxa"/>
              <w:right w:w="0" w:type="dxa"/>
            </w:tcMar>
          </w:tcPr>
          <w:p w14:paraId="220D4C75" w14:textId="77777777" w:rsidR="00622BC0" w:rsidRDefault="00826C5A">
            <w:pPr>
              <w:widowControl w:val="0"/>
              <w:autoSpaceDE w:val="0"/>
              <w:autoSpaceDN w:val="0"/>
              <w:adjustRightInd w:val="0"/>
              <w:spacing w:after="200"/>
              <w:ind w:right="-6"/>
              <w:jc w:val="center"/>
              <w:rPr>
                <w:rFonts w:ascii="Cambria" w:hAnsi="Cambria" w:cs="Cambria"/>
                <w:b/>
                <w:bCs/>
                <w:color w:val="FFFFFF"/>
                <w:lang w:val="en-GB"/>
              </w:rPr>
            </w:pPr>
            <w:r>
              <w:rPr>
                <w:rFonts w:ascii="Cambria" w:hAnsi="Cambria" w:cs="Cambria"/>
                <w:b/>
                <w:bCs/>
                <w:color w:val="FFFFFF"/>
                <w:lang w:val="en-GB"/>
              </w:rPr>
              <w:lastRenderedPageBreak/>
              <w:t>SDGs Goals</w:t>
            </w:r>
          </w:p>
        </w:tc>
        <w:tc>
          <w:tcPr>
            <w:tcW w:w="3930" w:type="dxa"/>
            <w:tcBorders>
              <w:top w:val="single" w:sz="8" w:space="0" w:color="808080"/>
              <w:left w:val="single" w:sz="8" w:space="0" w:color="808080"/>
              <w:bottom w:val="single" w:sz="18" w:space="0" w:color="FFFFFF"/>
              <w:right w:val="single" w:sz="8" w:space="0" w:color="808080"/>
            </w:tcBorders>
            <w:shd w:val="clear" w:color="auto" w:fill="4BACC6"/>
            <w:tcMar>
              <w:left w:w="0" w:type="dxa"/>
              <w:right w:w="0" w:type="dxa"/>
            </w:tcMar>
          </w:tcPr>
          <w:p w14:paraId="733ADE59" w14:textId="77777777" w:rsidR="00622BC0" w:rsidRDefault="00826C5A">
            <w:pPr>
              <w:widowControl w:val="0"/>
              <w:autoSpaceDE w:val="0"/>
              <w:autoSpaceDN w:val="0"/>
              <w:adjustRightInd w:val="0"/>
              <w:spacing w:after="200"/>
              <w:ind w:right="-6"/>
              <w:jc w:val="center"/>
              <w:rPr>
                <w:rFonts w:ascii="Cambria" w:hAnsi="Cambria" w:cs="Cambria"/>
                <w:b/>
                <w:bCs/>
                <w:color w:val="FFFFFF"/>
                <w:lang w:val="en-GB"/>
              </w:rPr>
            </w:pPr>
            <w:r>
              <w:rPr>
                <w:rFonts w:ascii="Cambria" w:hAnsi="Cambria" w:cs="Cambria"/>
                <w:b/>
                <w:bCs/>
                <w:color w:val="FFFFFF"/>
                <w:lang w:val="en-GB"/>
              </w:rPr>
              <w:t>CRPD Articles</w:t>
            </w:r>
          </w:p>
        </w:tc>
      </w:tr>
      <w:tr w:rsidR="00622BC0" w14:paraId="06D28BE0" w14:textId="77777777">
        <w:tblPrEx>
          <w:tblBorders>
            <w:top w:val="none" w:sz="0" w:space="0" w:color="auto"/>
          </w:tblBorders>
        </w:tblPrEx>
        <w:tc>
          <w:tcPr>
            <w:tcW w:w="4484" w:type="dxa"/>
            <w:tcBorders>
              <w:top w:val="single" w:sz="18" w:space="0" w:color="FFFFFF"/>
              <w:left w:val="single" w:sz="8" w:space="0" w:color="808080"/>
              <w:bottom w:val="single" w:sz="8" w:space="0" w:color="808080"/>
              <w:right w:val="single" w:sz="8" w:space="0" w:color="808080"/>
            </w:tcBorders>
            <w:shd w:val="clear" w:color="auto" w:fill="FFFFFF"/>
            <w:tcMar>
              <w:left w:w="0" w:type="dxa"/>
              <w:right w:w="0" w:type="dxa"/>
            </w:tcMar>
          </w:tcPr>
          <w:p w14:paraId="692298BA"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SDG 3 Good health and well-being</w:t>
            </w:r>
          </w:p>
        </w:tc>
        <w:tc>
          <w:tcPr>
            <w:tcW w:w="3930" w:type="dxa"/>
            <w:tcBorders>
              <w:top w:val="single" w:sz="18" w:space="0" w:color="FFFFFF"/>
              <w:left w:val="single" w:sz="8" w:space="0" w:color="808080"/>
              <w:bottom w:val="single" w:sz="8" w:space="0" w:color="808080"/>
              <w:right w:val="single" w:sz="8" w:space="0" w:color="808080"/>
            </w:tcBorders>
            <w:shd w:val="clear" w:color="auto" w:fill="FFFFFF"/>
            <w:tcMar>
              <w:left w:w="0" w:type="dxa"/>
              <w:right w:w="0" w:type="dxa"/>
            </w:tcMar>
          </w:tcPr>
          <w:p w14:paraId="6F4A0C9B"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Articles 6, 7, 23, 25, 26</w:t>
            </w:r>
          </w:p>
        </w:tc>
      </w:tr>
      <w:tr w:rsidR="00622BC0" w14:paraId="49CB7142" w14:textId="77777777">
        <w:tblPrEx>
          <w:tblBorders>
            <w:top w:val="none" w:sz="0" w:space="0" w:color="auto"/>
          </w:tblBorders>
        </w:tblPrEx>
        <w:tc>
          <w:tcPr>
            <w:tcW w:w="4484" w:type="dxa"/>
            <w:tcBorders>
              <w:top w:val="single" w:sz="8" w:space="0" w:color="808080"/>
              <w:left w:val="single" w:sz="8" w:space="0" w:color="808080"/>
              <w:bottom w:val="single" w:sz="8" w:space="0" w:color="808080"/>
              <w:right w:val="single" w:sz="8" w:space="0" w:color="808080"/>
            </w:tcBorders>
            <w:shd w:val="clear" w:color="auto" w:fill="FFFFFF"/>
            <w:tcMar>
              <w:left w:w="0" w:type="dxa"/>
              <w:right w:w="0" w:type="dxa"/>
            </w:tcMar>
          </w:tcPr>
          <w:p w14:paraId="564CC3B3"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SDG 4 Quality education</w:t>
            </w:r>
          </w:p>
        </w:tc>
        <w:tc>
          <w:tcPr>
            <w:tcW w:w="3930" w:type="dxa"/>
            <w:tcBorders>
              <w:top w:val="single" w:sz="8" w:space="0" w:color="808080"/>
              <w:left w:val="single" w:sz="8" w:space="0" w:color="808080"/>
              <w:bottom w:val="single" w:sz="8" w:space="0" w:color="808080"/>
              <w:right w:val="single" w:sz="8" w:space="0" w:color="808080"/>
            </w:tcBorders>
            <w:shd w:val="clear" w:color="auto" w:fill="FFFFFF"/>
            <w:tcMar>
              <w:left w:w="0" w:type="dxa"/>
              <w:right w:w="0" w:type="dxa"/>
            </w:tcMar>
          </w:tcPr>
          <w:p w14:paraId="59FC9420"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Articles 6, 7, 8, 24</w:t>
            </w:r>
          </w:p>
        </w:tc>
      </w:tr>
      <w:tr w:rsidR="00622BC0" w14:paraId="09A0D804" w14:textId="77777777">
        <w:tblPrEx>
          <w:tblBorders>
            <w:top w:val="none" w:sz="0" w:space="0" w:color="auto"/>
          </w:tblBorders>
        </w:tblPrEx>
        <w:tc>
          <w:tcPr>
            <w:tcW w:w="4484" w:type="dxa"/>
            <w:tcBorders>
              <w:top w:val="single" w:sz="8" w:space="0" w:color="808080"/>
              <w:left w:val="single" w:sz="8" w:space="0" w:color="808080"/>
              <w:bottom w:val="single" w:sz="8" w:space="0" w:color="808080"/>
              <w:right w:val="single" w:sz="8" w:space="0" w:color="808080"/>
            </w:tcBorders>
            <w:shd w:val="clear" w:color="auto" w:fill="FFFFFF"/>
            <w:tcMar>
              <w:left w:w="0" w:type="dxa"/>
              <w:right w:w="0" w:type="dxa"/>
            </w:tcMar>
          </w:tcPr>
          <w:p w14:paraId="1CC4BE74"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SDG 5 Gender equality</w:t>
            </w:r>
          </w:p>
        </w:tc>
        <w:tc>
          <w:tcPr>
            <w:tcW w:w="3930" w:type="dxa"/>
            <w:tcBorders>
              <w:top w:val="single" w:sz="8" w:space="0" w:color="808080"/>
              <w:left w:val="single" w:sz="8" w:space="0" w:color="808080"/>
              <w:bottom w:val="single" w:sz="8" w:space="0" w:color="808080"/>
              <w:right w:val="single" w:sz="8" w:space="0" w:color="808080"/>
            </w:tcBorders>
            <w:shd w:val="clear" w:color="auto" w:fill="FFFFFF"/>
            <w:tcMar>
              <w:left w:w="0" w:type="dxa"/>
              <w:right w:w="0" w:type="dxa"/>
            </w:tcMar>
          </w:tcPr>
          <w:p w14:paraId="42CB3AF0"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Articles 6, 7, 16</w:t>
            </w:r>
          </w:p>
        </w:tc>
      </w:tr>
      <w:tr w:rsidR="00622BC0" w14:paraId="45A21514" w14:textId="77777777">
        <w:tblPrEx>
          <w:tblBorders>
            <w:top w:val="none" w:sz="0" w:space="0" w:color="auto"/>
          </w:tblBorders>
        </w:tblPrEx>
        <w:tc>
          <w:tcPr>
            <w:tcW w:w="4484" w:type="dxa"/>
            <w:tcBorders>
              <w:top w:val="single" w:sz="8" w:space="0" w:color="808080"/>
              <w:left w:val="single" w:sz="8" w:space="0" w:color="808080"/>
              <w:bottom w:val="single" w:sz="8" w:space="0" w:color="808080"/>
              <w:right w:val="single" w:sz="8" w:space="0" w:color="808080"/>
            </w:tcBorders>
            <w:shd w:val="clear" w:color="auto" w:fill="FFFFFF"/>
            <w:tcMar>
              <w:left w:w="0" w:type="dxa"/>
              <w:right w:w="0" w:type="dxa"/>
            </w:tcMar>
          </w:tcPr>
          <w:p w14:paraId="7A8BC839"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SDG 8 Decent work and economic growth</w:t>
            </w:r>
          </w:p>
        </w:tc>
        <w:tc>
          <w:tcPr>
            <w:tcW w:w="3930" w:type="dxa"/>
            <w:tcBorders>
              <w:top w:val="single" w:sz="8" w:space="0" w:color="808080"/>
              <w:left w:val="single" w:sz="8" w:space="0" w:color="808080"/>
              <w:bottom w:val="single" w:sz="8" w:space="0" w:color="808080"/>
              <w:right w:val="single" w:sz="8" w:space="0" w:color="808080"/>
            </w:tcBorders>
            <w:shd w:val="clear" w:color="auto" w:fill="FFFFFF"/>
            <w:tcMar>
              <w:left w:w="0" w:type="dxa"/>
              <w:right w:w="0" w:type="dxa"/>
            </w:tcMar>
          </w:tcPr>
          <w:p w14:paraId="5F8D2A71"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Articles 5, 9, 27, 28</w:t>
            </w:r>
          </w:p>
        </w:tc>
      </w:tr>
      <w:tr w:rsidR="00622BC0" w14:paraId="35502DB5" w14:textId="77777777">
        <w:tblPrEx>
          <w:tblBorders>
            <w:top w:val="none" w:sz="0" w:space="0" w:color="auto"/>
            <w:bottom w:val="single" w:sz="4" w:space="0" w:color="auto"/>
          </w:tblBorders>
        </w:tblPrEx>
        <w:tc>
          <w:tcPr>
            <w:tcW w:w="4484" w:type="dxa"/>
            <w:tcBorders>
              <w:top w:val="single" w:sz="8" w:space="0" w:color="808080"/>
              <w:left w:val="single" w:sz="8" w:space="0" w:color="808080"/>
              <w:bottom w:val="single" w:sz="8" w:space="0" w:color="808080"/>
              <w:right w:val="single" w:sz="8" w:space="0" w:color="808080"/>
            </w:tcBorders>
            <w:shd w:val="clear" w:color="auto" w:fill="FFFFFF"/>
            <w:tcMar>
              <w:left w:w="0" w:type="dxa"/>
              <w:right w:w="0" w:type="dxa"/>
            </w:tcMar>
          </w:tcPr>
          <w:p w14:paraId="760F8CE9"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SDG 11 Sustainable cities and communities</w:t>
            </w:r>
          </w:p>
        </w:tc>
        <w:tc>
          <w:tcPr>
            <w:tcW w:w="3930" w:type="dxa"/>
            <w:tcBorders>
              <w:top w:val="single" w:sz="8" w:space="0" w:color="808080"/>
              <w:left w:val="single" w:sz="8" w:space="0" w:color="808080"/>
              <w:bottom w:val="single" w:sz="8" w:space="0" w:color="808080"/>
              <w:right w:val="single" w:sz="8" w:space="0" w:color="808080"/>
            </w:tcBorders>
            <w:shd w:val="clear" w:color="auto" w:fill="FFFFFF"/>
            <w:tcMar>
              <w:left w:w="0" w:type="dxa"/>
              <w:right w:w="0" w:type="dxa"/>
            </w:tcMar>
          </w:tcPr>
          <w:p w14:paraId="4D9DAF05"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Articles 6, 7, 9, 28, 30</w:t>
            </w:r>
          </w:p>
        </w:tc>
      </w:tr>
    </w:tbl>
    <w:p w14:paraId="5FF638E4" w14:textId="77777777" w:rsidR="00622BC0" w:rsidRDefault="00622BC0">
      <w:pPr>
        <w:widowControl w:val="0"/>
        <w:autoSpaceDE w:val="0"/>
        <w:autoSpaceDN w:val="0"/>
        <w:adjustRightInd w:val="0"/>
        <w:spacing w:after="200"/>
        <w:ind w:right="-6"/>
        <w:jc w:val="both"/>
        <w:rPr>
          <w:rFonts w:ascii="Cambria" w:hAnsi="Cambria" w:cs="Cambria"/>
          <w:b/>
          <w:bCs/>
          <w:lang w:val="en-GB"/>
        </w:rPr>
      </w:pPr>
    </w:p>
    <w:p w14:paraId="03F16F41"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4. Methodologies of the Baseline Study</w:t>
      </w:r>
    </w:p>
    <w:p w14:paraId="6045BDB8"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baseline study utilised a qualitative method comprising of several activities; namely, </w:t>
      </w:r>
    </w:p>
    <w:p w14:paraId="6E8C2304" w14:textId="77777777" w:rsidR="00622BC0" w:rsidRDefault="00826C5A">
      <w:pPr>
        <w:widowControl w:val="0"/>
        <w:autoSpaceDE w:val="0"/>
        <w:autoSpaceDN w:val="0"/>
        <w:adjustRightInd w:val="0"/>
        <w:spacing w:after="200"/>
        <w:ind w:left="394" w:right="-6" w:hanging="194"/>
        <w:jc w:val="both"/>
        <w:rPr>
          <w:rFonts w:ascii="Cambria" w:hAnsi="Cambria" w:cs="Cambria"/>
          <w:lang w:val="en-GB"/>
        </w:rPr>
      </w:pPr>
      <w:r>
        <w:rPr>
          <w:rFonts w:ascii="Cambria" w:hAnsi="Cambria" w:cs="Cambria"/>
          <w:lang w:val="en-GB"/>
        </w:rPr>
        <w:t>1. In-depth interview with focal point of government bodies;</w:t>
      </w:r>
    </w:p>
    <w:p w14:paraId="1128553B" w14:textId="77777777" w:rsidR="00622BC0" w:rsidRDefault="00826C5A">
      <w:pPr>
        <w:widowControl w:val="0"/>
        <w:autoSpaceDE w:val="0"/>
        <w:autoSpaceDN w:val="0"/>
        <w:adjustRightInd w:val="0"/>
        <w:spacing w:after="200"/>
        <w:ind w:left="394" w:right="-6" w:hanging="194"/>
        <w:jc w:val="both"/>
        <w:rPr>
          <w:rFonts w:ascii="Cambria" w:hAnsi="Cambria" w:cs="Cambria"/>
          <w:lang w:val="en-GB"/>
        </w:rPr>
      </w:pPr>
      <w:r>
        <w:rPr>
          <w:rFonts w:ascii="Cambria" w:hAnsi="Cambria" w:cs="Cambria"/>
          <w:lang w:val="en-GB"/>
        </w:rPr>
        <w:t>2. Literature or desk review to collect secondary data from previous and recent reports on SDGs-CRPD implementation; and</w:t>
      </w:r>
    </w:p>
    <w:p w14:paraId="535A66D0" w14:textId="77777777" w:rsidR="00622BC0" w:rsidRDefault="00826C5A">
      <w:pPr>
        <w:widowControl w:val="0"/>
        <w:autoSpaceDE w:val="0"/>
        <w:autoSpaceDN w:val="0"/>
        <w:adjustRightInd w:val="0"/>
        <w:spacing w:after="200"/>
        <w:ind w:left="394" w:right="-6" w:hanging="194"/>
        <w:jc w:val="both"/>
        <w:rPr>
          <w:rFonts w:ascii="Cambria" w:hAnsi="Cambria" w:cs="Cambria"/>
          <w:lang w:val="en-GB"/>
        </w:rPr>
      </w:pPr>
      <w:r>
        <w:rPr>
          <w:rFonts w:ascii="Cambria" w:hAnsi="Cambria" w:cs="Cambria"/>
          <w:lang w:val="en-GB"/>
        </w:rPr>
        <w:t xml:space="preserve">3.Focus group discussions among researchers, data collectors, experts, and ADF steering committees to seek feedback on the study. </w:t>
      </w:r>
    </w:p>
    <w:p w14:paraId="4E27241C" w14:textId="4A75C34D"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To get primary information, the data collectors conducted in-depth interviews with focal points of government bodies in the five countries surveyed. Secondary data was collected through various sources, but mainly from country reports and OPD</w:t>
      </w:r>
      <w:r w:rsidR="0067025E">
        <w:rPr>
          <w:rFonts w:ascii="Cambria" w:hAnsi="Cambria" w:cs="Cambria"/>
          <w:lang w:val="en-GB"/>
        </w:rPr>
        <w:t>s</w:t>
      </w:r>
      <w:r>
        <w:rPr>
          <w:rFonts w:ascii="Cambria" w:hAnsi="Cambria" w:cs="Cambria"/>
          <w:lang w:val="en-GB"/>
        </w:rPr>
        <w:t xml:space="preserve"> reports on SDGs-CRPD implementation. The baseline study was conducted by the regional researcher and six data collectors representing national researchers in the five countries, which were fully supported by the ADF Secretariat. The research period took six months, from August 2019 to January 2020.</w:t>
      </w:r>
    </w:p>
    <w:p w14:paraId="4EA12B40" w14:textId="77777777" w:rsidR="00622BC0" w:rsidRDefault="00622BC0">
      <w:pPr>
        <w:widowControl w:val="0"/>
        <w:autoSpaceDE w:val="0"/>
        <w:autoSpaceDN w:val="0"/>
        <w:adjustRightInd w:val="0"/>
        <w:spacing w:after="200"/>
        <w:ind w:right="-6"/>
        <w:jc w:val="both"/>
        <w:rPr>
          <w:rFonts w:ascii="Cambria" w:hAnsi="Cambria" w:cs="Cambria"/>
          <w:lang w:val="en-GB"/>
        </w:rPr>
      </w:pPr>
    </w:p>
    <w:p w14:paraId="1805115E" w14:textId="77777777" w:rsidR="00622BC0" w:rsidRDefault="00622BC0">
      <w:pPr>
        <w:widowControl w:val="0"/>
        <w:autoSpaceDE w:val="0"/>
        <w:autoSpaceDN w:val="0"/>
        <w:adjustRightInd w:val="0"/>
        <w:spacing w:after="200"/>
        <w:ind w:right="-6"/>
        <w:jc w:val="both"/>
        <w:rPr>
          <w:rFonts w:ascii="Cambria" w:hAnsi="Cambria" w:cs="Cambria"/>
          <w:lang w:val="en-GB"/>
        </w:rPr>
      </w:pPr>
    </w:p>
    <w:p w14:paraId="1577F1D5" w14:textId="77777777" w:rsidR="00622BC0" w:rsidRDefault="00622BC0">
      <w:pPr>
        <w:widowControl w:val="0"/>
        <w:autoSpaceDE w:val="0"/>
        <w:autoSpaceDN w:val="0"/>
        <w:adjustRightInd w:val="0"/>
        <w:spacing w:after="200"/>
        <w:ind w:right="-6"/>
        <w:jc w:val="both"/>
        <w:rPr>
          <w:rFonts w:ascii="Cambria" w:hAnsi="Cambria" w:cs="Cambria"/>
          <w:lang w:val="en-GB"/>
        </w:rPr>
      </w:pPr>
    </w:p>
    <w:p w14:paraId="35853213" w14:textId="77777777" w:rsidR="00622BC0" w:rsidRDefault="00622BC0">
      <w:pPr>
        <w:widowControl w:val="0"/>
        <w:autoSpaceDE w:val="0"/>
        <w:autoSpaceDN w:val="0"/>
        <w:adjustRightInd w:val="0"/>
        <w:spacing w:after="200"/>
        <w:ind w:right="-6"/>
        <w:jc w:val="both"/>
        <w:rPr>
          <w:rFonts w:ascii="Cambria" w:hAnsi="Cambria" w:cs="Cambria"/>
          <w:lang w:val="en-GB"/>
        </w:rPr>
      </w:pPr>
    </w:p>
    <w:p w14:paraId="51DED77F" w14:textId="77777777" w:rsidR="00622BC0" w:rsidRDefault="00622BC0">
      <w:pPr>
        <w:widowControl w:val="0"/>
        <w:autoSpaceDE w:val="0"/>
        <w:autoSpaceDN w:val="0"/>
        <w:adjustRightInd w:val="0"/>
        <w:spacing w:after="200"/>
        <w:ind w:right="-6"/>
        <w:jc w:val="both"/>
        <w:rPr>
          <w:rFonts w:ascii="Cambria" w:hAnsi="Cambria" w:cs="Cambria"/>
          <w:lang w:val="en-GB"/>
        </w:rPr>
      </w:pPr>
    </w:p>
    <w:p w14:paraId="6CFDFFBF" w14:textId="77777777" w:rsidR="00622BC0" w:rsidRDefault="00622BC0">
      <w:pPr>
        <w:widowControl w:val="0"/>
        <w:autoSpaceDE w:val="0"/>
        <w:autoSpaceDN w:val="0"/>
        <w:adjustRightInd w:val="0"/>
        <w:spacing w:after="200"/>
        <w:ind w:right="-6"/>
        <w:jc w:val="both"/>
        <w:rPr>
          <w:rFonts w:ascii="Cambria" w:hAnsi="Cambria" w:cs="Cambria"/>
          <w:lang w:val="en-GB"/>
        </w:rPr>
      </w:pPr>
    </w:p>
    <w:p w14:paraId="67492FB4" w14:textId="77777777" w:rsidR="00622BC0" w:rsidRDefault="00622BC0">
      <w:pPr>
        <w:widowControl w:val="0"/>
        <w:autoSpaceDE w:val="0"/>
        <w:autoSpaceDN w:val="0"/>
        <w:adjustRightInd w:val="0"/>
        <w:spacing w:after="200"/>
        <w:ind w:right="-6"/>
        <w:jc w:val="both"/>
        <w:rPr>
          <w:rFonts w:ascii="Cambria" w:hAnsi="Cambria" w:cs="Cambria"/>
          <w:lang w:val="en-GB"/>
        </w:rPr>
      </w:pPr>
    </w:p>
    <w:p w14:paraId="7DB80D30" w14:textId="77777777" w:rsidR="00622BC0" w:rsidRDefault="00826C5A">
      <w:pPr>
        <w:widowControl w:val="0"/>
        <w:autoSpaceDE w:val="0"/>
        <w:autoSpaceDN w:val="0"/>
        <w:adjustRightInd w:val="0"/>
        <w:spacing w:after="200"/>
        <w:ind w:right="-6"/>
        <w:jc w:val="center"/>
        <w:rPr>
          <w:rFonts w:ascii="Cambria" w:hAnsi="Cambria" w:cs="Cambria"/>
          <w:b/>
          <w:bCs/>
          <w:lang w:val="en-GB"/>
        </w:rPr>
      </w:pPr>
      <w:r>
        <w:rPr>
          <w:rFonts w:ascii="Cambria" w:hAnsi="Cambria" w:cs="Cambria"/>
          <w:b/>
          <w:bCs/>
          <w:lang w:val="en-GB"/>
        </w:rPr>
        <w:t>Chapter 2. Indonesia’s Experience on the SDGs and CRPD Implementation</w:t>
      </w:r>
    </w:p>
    <w:p w14:paraId="18DEF3DC" w14:textId="77777777" w:rsidR="00622BC0" w:rsidRDefault="00826C5A">
      <w:pPr>
        <w:widowControl w:val="0"/>
        <w:autoSpaceDE w:val="0"/>
        <w:autoSpaceDN w:val="0"/>
        <w:adjustRightInd w:val="0"/>
        <w:spacing w:after="200"/>
        <w:ind w:right="-6"/>
        <w:jc w:val="center"/>
        <w:rPr>
          <w:rFonts w:ascii="Cambria" w:hAnsi="Cambria" w:cs="Cambria"/>
          <w:b/>
          <w:bCs/>
          <w:lang w:val="en-GB"/>
        </w:rPr>
      </w:pPr>
      <w:r>
        <w:rPr>
          <w:rFonts w:ascii="Cambria" w:hAnsi="Cambria" w:cs="Cambria"/>
          <w:b/>
          <w:bCs/>
          <w:lang w:val="en-GB"/>
        </w:rPr>
        <w:lastRenderedPageBreak/>
        <w:t xml:space="preserve">By </w:t>
      </w:r>
      <w:proofErr w:type="spellStart"/>
      <w:r>
        <w:rPr>
          <w:rFonts w:ascii="Cambria" w:hAnsi="Cambria" w:cs="Cambria"/>
          <w:b/>
          <w:bCs/>
          <w:lang w:val="en-GB"/>
        </w:rPr>
        <w:t>Fikri</w:t>
      </w:r>
      <w:proofErr w:type="spellEnd"/>
      <w:r>
        <w:rPr>
          <w:rFonts w:ascii="Cambria" w:hAnsi="Cambria" w:cs="Cambria"/>
          <w:b/>
          <w:bCs/>
          <w:lang w:val="en-GB"/>
        </w:rPr>
        <w:t xml:space="preserve"> Abdullah</w:t>
      </w:r>
    </w:p>
    <w:p w14:paraId="3C3DF77E" w14:textId="77777777" w:rsidR="00622BC0" w:rsidRDefault="00622BC0">
      <w:pPr>
        <w:widowControl w:val="0"/>
        <w:autoSpaceDE w:val="0"/>
        <w:autoSpaceDN w:val="0"/>
        <w:adjustRightInd w:val="0"/>
        <w:spacing w:after="200"/>
        <w:ind w:right="-6"/>
        <w:jc w:val="both"/>
        <w:rPr>
          <w:rFonts w:ascii="Cambria" w:hAnsi="Cambria" w:cs="Cambria"/>
          <w:b/>
          <w:bCs/>
          <w:lang w:val="en-GB"/>
        </w:rPr>
      </w:pPr>
    </w:p>
    <w:p w14:paraId="304C7BEF" w14:textId="77777777" w:rsidR="00622BC0" w:rsidRDefault="00826C5A">
      <w:pPr>
        <w:widowControl w:val="0"/>
        <w:numPr>
          <w:ilvl w:val="0"/>
          <w:numId w:val="4"/>
        </w:numPr>
        <w:tabs>
          <w:tab w:val="left" w:pos="0"/>
        </w:tabs>
        <w:autoSpaceDE w:val="0"/>
        <w:autoSpaceDN w:val="0"/>
        <w:adjustRightInd w:val="0"/>
        <w:spacing w:after="200"/>
        <w:ind w:left="0" w:right="-6" w:firstLine="0"/>
        <w:jc w:val="both"/>
        <w:rPr>
          <w:rFonts w:ascii="Cambria" w:hAnsi="Cambria" w:cs="Cambria"/>
          <w:b/>
          <w:bCs/>
          <w:lang w:val="en-GB"/>
        </w:rPr>
      </w:pPr>
      <w:r>
        <w:rPr>
          <w:rFonts w:ascii="Cambria" w:hAnsi="Cambria" w:cs="Cambria"/>
          <w:b/>
          <w:bCs/>
          <w:lang w:val="en-GB"/>
        </w:rPr>
        <w:t xml:space="preserve">Introduction </w:t>
      </w:r>
    </w:p>
    <w:p w14:paraId="013B4D87" w14:textId="77777777" w:rsidR="00622BC0" w:rsidRDefault="00622BC0">
      <w:pPr>
        <w:widowControl w:val="0"/>
        <w:autoSpaceDE w:val="0"/>
        <w:autoSpaceDN w:val="0"/>
        <w:adjustRightInd w:val="0"/>
        <w:spacing w:after="200"/>
        <w:ind w:right="-6"/>
        <w:jc w:val="both"/>
        <w:rPr>
          <w:rFonts w:ascii="Cambria" w:hAnsi="Cambria" w:cs="Cambria"/>
          <w:lang w:val="en-GB"/>
        </w:rPr>
      </w:pPr>
    </w:p>
    <w:p w14:paraId="5B19F561" w14:textId="6CD54733"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rPr>
        <w:t>I</w:t>
      </w:r>
      <w:proofErr w:type="spellStart"/>
      <w:r>
        <w:rPr>
          <w:rFonts w:ascii="Cambria" w:hAnsi="Cambria" w:cs="Cambria"/>
          <w:lang w:val="en-GB"/>
        </w:rPr>
        <w:t>ndonesia</w:t>
      </w:r>
      <w:proofErr w:type="spellEnd"/>
      <w:r>
        <w:rPr>
          <w:rFonts w:ascii="Cambria" w:hAnsi="Cambria" w:cs="Cambria"/>
          <w:lang w:val="en-GB"/>
        </w:rPr>
        <w:t xml:space="preserve"> ratified the Convention into statutory regulation through Law No. 19 of 2011 on Ratification of the CRPD. This showed the government’s commitment to implement the landmark instrument. In addition, as a result of the socio-political movement of OPD</w:t>
      </w:r>
      <w:r w:rsidR="0067025E">
        <w:rPr>
          <w:rFonts w:ascii="Cambria" w:hAnsi="Cambria" w:cs="Cambria"/>
          <w:lang w:val="en-GB"/>
        </w:rPr>
        <w:t>s</w:t>
      </w:r>
      <w:r>
        <w:rPr>
          <w:rFonts w:ascii="Cambria" w:hAnsi="Cambria" w:cs="Cambria"/>
          <w:lang w:val="en-GB"/>
        </w:rPr>
        <w:t xml:space="preserve"> in Indonesia the government enacted Law No. 8 of 2016 on persons with disabilities</w:t>
      </w:r>
      <w:r w:rsidR="0067025E">
        <w:rPr>
          <w:rFonts w:ascii="Cambria" w:hAnsi="Cambria" w:cs="Cambria"/>
          <w:lang w:val="en-GB"/>
        </w:rPr>
        <w:t xml:space="preserve">. </w:t>
      </w:r>
      <w:r>
        <w:rPr>
          <w:rFonts w:ascii="Cambria" w:hAnsi="Cambria" w:cs="Cambria"/>
          <w:lang w:val="en-GB"/>
        </w:rPr>
        <w:t xml:space="preserve">The law is a revision of Law No. 4 of 1997 on “Disabled People,” which was deemed uncompliant with the CRPD as it dominantly used the medical and welfare approach to disability issues (Nicola </w:t>
      </w:r>
      <w:proofErr w:type="spellStart"/>
      <w:r>
        <w:rPr>
          <w:rFonts w:ascii="Cambria" w:hAnsi="Cambria" w:cs="Cambria"/>
          <w:lang w:val="en-GB"/>
        </w:rPr>
        <w:t>Colbran</w:t>
      </w:r>
      <w:proofErr w:type="spellEnd"/>
      <w:r>
        <w:rPr>
          <w:rFonts w:ascii="Cambria" w:hAnsi="Cambria" w:cs="Cambria"/>
          <w:lang w:val="en-GB"/>
        </w:rPr>
        <w:t xml:space="preserve">, 2010). Thus, Law No. 8 of 2016 with its rights approach would strengthen implementation of the CRPD. </w:t>
      </w:r>
    </w:p>
    <w:p w14:paraId="0DE77311"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Having also signed on to the SDGs, the blueprint to achieve a better and more sustainable future for all, Indonesia has showed a strong commitment to implement the global development programme. Specifically, the country’s Presidential Regulation No. 59 of 2017 on the Implementation of SDGs marked Indonesia’s commitment to the SDGs. This regulation legitimised a foundation for all government levels, central, provincial and district/city – even villages -- to implement SDGs. </w:t>
      </w:r>
    </w:p>
    <w:p w14:paraId="0336168A" w14:textId="4D196A09"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However, implementation always require regular review through well-established monitoring and evaluation mechanisms by multi-stakeholders, including OPD</w:t>
      </w:r>
      <w:r w:rsidR="0067025E">
        <w:rPr>
          <w:rFonts w:ascii="Cambria" w:hAnsi="Cambria" w:cs="Cambria"/>
          <w:lang w:val="en-GB"/>
        </w:rPr>
        <w:t>s</w:t>
      </w:r>
      <w:r>
        <w:rPr>
          <w:rFonts w:ascii="Cambria" w:hAnsi="Cambria" w:cs="Cambria"/>
          <w:lang w:val="en-GB"/>
        </w:rPr>
        <w:t>. This speaks to the essential principle of participation, of which, according to reports, Indonesia has fallen short. Despite the necessary policies and regulations in place, results have been inadequate (Tempo, 2017).</w:t>
      </w:r>
    </w:p>
    <w:p w14:paraId="4D0B6AEC" w14:textId="77777777" w:rsidR="00622BC0" w:rsidRDefault="00622BC0">
      <w:pPr>
        <w:widowControl w:val="0"/>
        <w:autoSpaceDE w:val="0"/>
        <w:autoSpaceDN w:val="0"/>
        <w:adjustRightInd w:val="0"/>
        <w:spacing w:after="200"/>
        <w:ind w:right="-6"/>
        <w:jc w:val="both"/>
        <w:rPr>
          <w:rFonts w:ascii="Cambria" w:hAnsi="Cambria" w:cs="Cambria"/>
          <w:lang w:val="en-GB"/>
        </w:rPr>
      </w:pPr>
    </w:p>
    <w:p w14:paraId="4A11C1D1" w14:textId="77777777" w:rsidR="00622BC0" w:rsidRDefault="00826C5A">
      <w:pPr>
        <w:widowControl w:val="0"/>
        <w:numPr>
          <w:ilvl w:val="0"/>
          <w:numId w:val="5"/>
        </w:numPr>
        <w:autoSpaceDE w:val="0"/>
        <w:autoSpaceDN w:val="0"/>
        <w:adjustRightInd w:val="0"/>
        <w:spacing w:after="200"/>
        <w:ind w:left="0" w:right="-6" w:firstLine="0"/>
        <w:jc w:val="both"/>
        <w:rPr>
          <w:rFonts w:ascii="Cambria" w:hAnsi="Cambria" w:cs="Cambria"/>
          <w:b/>
          <w:bCs/>
          <w:lang w:val="en-GB"/>
        </w:rPr>
      </w:pPr>
      <w:r>
        <w:rPr>
          <w:rFonts w:ascii="Cambria" w:hAnsi="Cambria" w:cs="Cambria"/>
          <w:b/>
          <w:bCs/>
          <w:lang w:val="en-GB"/>
        </w:rPr>
        <w:t>A Preview of Persons with Disabilities’ Situation in Indonesia</w:t>
      </w:r>
    </w:p>
    <w:p w14:paraId="264556DA"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Indonesia has the highest disability prevalence rate, 8.6%, in Southeast Asia (UNESCAP, 2019), accounting for over 21 million persons with disabilities in the region (Indonesia CRPD State Report, 2017). However, the country’s lack of quality data – for example, Indonesia has varied definitions of disability and methodologies – has become the main challenge to addressing the needs of persons with disabilities. Nevertheless, the disability movement in Indonesia is making incremental progress, as shown in the following aspects. </w:t>
      </w:r>
    </w:p>
    <w:p w14:paraId="4D21C090" w14:textId="6CEAC5E0"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First, the social-political movement pushed for the amendment of Law No. 4 of 1997 on “Disabled People.” The result was Law No. 8 of 2016 on persons with disabilities, which is CRPD compliant. Second, scientific studies on a variety of disability issues are being conducted by university academics and non-governmental organisations. Third, efforts to mainstream disability issues are </w:t>
      </w:r>
      <w:r>
        <w:rPr>
          <w:rFonts w:ascii="Cambria" w:hAnsi="Cambria" w:cs="Cambria"/>
          <w:lang w:val="en-GB"/>
        </w:rPr>
        <w:lastRenderedPageBreak/>
        <w:t>evident in mainstream media and other media outlets by OPD</w:t>
      </w:r>
      <w:r w:rsidR="0067025E">
        <w:rPr>
          <w:rFonts w:ascii="Cambria" w:hAnsi="Cambria" w:cs="Cambria"/>
          <w:lang w:val="en-GB"/>
        </w:rPr>
        <w:t>s</w:t>
      </w:r>
      <w:r>
        <w:rPr>
          <w:rFonts w:ascii="Cambria" w:hAnsi="Cambria" w:cs="Cambria"/>
          <w:lang w:val="en-GB"/>
        </w:rPr>
        <w:t>. Fourth, various regulations on persons with disabilities are emerging both at the provincial and district/city levels. Fifth, shadow reports are written by the civil society and OPD</w:t>
      </w:r>
      <w:r w:rsidR="0067025E">
        <w:rPr>
          <w:rFonts w:ascii="Cambria" w:hAnsi="Cambria" w:cs="Cambria"/>
          <w:lang w:val="en-GB"/>
        </w:rPr>
        <w:t>s</w:t>
      </w:r>
      <w:r>
        <w:rPr>
          <w:rFonts w:ascii="Cambria" w:hAnsi="Cambria" w:cs="Cambria"/>
          <w:lang w:val="en-GB"/>
        </w:rPr>
        <w:t xml:space="preserve"> on the CRPD, VNR and SDGs.</w:t>
      </w:r>
    </w:p>
    <w:p w14:paraId="77C9BC15"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documents below portray recent experiences and on-going progress on the implementation of the CRPD and SDGs in Indonesia. </w:t>
      </w:r>
    </w:p>
    <w:p w14:paraId="114164DF"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The Indonesian Government Report on the Implementation of CRPD</w:t>
      </w:r>
    </w:p>
    <w:p w14:paraId="14C78094" w14:textId="77777777" w:rsidR="00622BC0" w:rsidRDefault="00826C5A">
      <w:pPr>
        <w:widowControl w:val="0"/>
        <w:autoSpaceDE w:val="0"/>
        <w:autoSpaceDN w:val="0"/>
        <w:adjustRightInd w:val="0"/>
        <w:spacing w:after="200"/>
        <w:ind w:right="-6"/>
        <w:jc w:val="both"/>
        <w:rPr>
          <w:rFonts w:ascii="Calibri" w:hAnsi="Calibri" w:cs="Calibri"/>
          <w:lang w:val="en-GB"/>
        </w:rPr>
      </w:pPr>
      <w:r>
        <w:rPr>
          <w:rFonts w:ascii="Cambria" w:hAnsi="Cambria" w:cs="Cambria"/>
          <w:lang w:val="en-GB"/>
        </w:rPr>
        <w:t>The introduction to Indonesia's 2017 CRPD State Report states in part: "Disability has been mainstreamed in the development strategy as one of the national priorities. Various government agencies have initiated programmes to improve legal and institutional frameworks, implementation mechanisms as well as policy monitoring and evaluation for persons with disabilities. Among policymakers, public servants and law enforcement , these measures help shift the paradigm on disability issues from a charity-based to rights-based approach, and empower persons with disabilities to participate as full members of the society (Initial CRPD Report from Indonesia, 2017)</w:t>
      </w:r>
      <w:r>
        <w:rPr>
          <w:rFonts w:ascii="Calibri" w:hAnsi="Calibri" w:cs="Calibri"/>
          <w:lang w:val="en-GB"/>
        </w:rPr>
        <w:t xml:space="preserve">.” </w:t>
      </w:r>
    </w:p>
    <w:p w14:paraId="3496062A"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lang w:val="en-GB"/>
        </w:rPr>
        <w:t>Law No. 33 of 2004 on the Regional Government gives regions authority to draw needed plans and budgets for matters on persons with disabilities, in conformity with Law No. 8 of 2016 the CRPD, and SDGs. However, the 2019 Government Work Plan (RKP), an annual development master plan for development programmes both national and regional levels, does not address any priority area or mainstreaming efforts for persons with disabilities. (RKP 2019, 2018).</w:t>
      </w:r>
    </w:p>
    <w:p w14:paraId="7A773B1E" w14:textId="05B61CBD"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The CRPD Shadow Report of OPD</w:t>
      </w:r>
      <w:r w:rsidR="0067025E">
        <w:rPr>
          <w:rFonts w:ascii="Cambria" w:hAnsi="Cambria" w:cs="Cambria"/>
          <w:b/>
          <w:bCs/>
          <w:lang w:val="en-GB"/>
        </w:rPr>
        <w:t>s</w:t>
      </w:r>
    </w:p>
    <w:p w14:paraId="4B23E123" w14:textId="60579379"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an effort to supervise implementation of the CRPD, Indonesia’s OPD</w:t>
      </w:r>
      <w:r w:rsidR="0067025E">
        <w:rPr>
          <w:rFonts w:ascii="Cambria" w:hAnsi="Cambria" w:cs="Cambria"/>
          <w:lang w:val="en-GB"/>
        </w:rPr>
        <w:t>s</w:t>
      </w:r>
      <w:r>
        <w:rPr>
          <w:rFonts w:ascii="Cambria" w:hAnsi="Cambria" w:cs="Cambria"/>
          <w:lang w:val="en-GB"/>
        </w:rPr>
        <w:t xml:space="preserve"> periodically produces shadow reports, which receive positive reviews, detailing disability activities and a record of complaints by persons with disabilities. Participation by persons with disabilities can be seen, for example, in these statements by the OPD</w:t>
      </w:r>
      <w:r w:rsidR="0067025E">
        <w:rPr>
          <w:rFonts w:ascii="Cambria" w:hAnsi="Cambria" w:cs="Cambria"/>
          <w:lang w:val="en-GB"/>
        </w:rPr>
        <w:t>s</w:t>
      </w:r>
      <w:r>
        <w:rPr>
          <w:rFonts w:ascii="Cambria" w:hAnsi="Cambria" w:cs="Cambria"/>
          <w:lang w:val="en-GB"/>
        </w:rPr>
        <w:t xml:space="preserve"> in the "shadow report:"</w:t>
      </w:r>
    </w:p>
    <w:p w14:paraId="3A80E3A4"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Indonesian government has begun to involve organisations of persons with disabilities in the development and regional policy-making processes, even if implementation has been uneven and very limited and the budget non transparent."</w:t>
      </w:r>
    </w:p>
    <w:p w14:paraId="399D3D92" w14:textId="5EEB5B9B"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“O</w:t>
      </w:r>
      <w:r w:rsidR="0067025E">
        <w:rPr>
          <w:rFonts w:ascii="Cambria" w:hAnsi="Cambria" w:cs="Cambria"/>
          <w:lang w:val="en-GB"/>
        </w:rPr>
        <w:t>PDs</w:t>
      </w:r>
      <w:r>
        <w:rPr>
          <w:rFonts w:ascii="Cambria" w:hAnsi="Cambria" w:cs="Cambria"/>
          <w:lang w:val="en-GB"/>
        </w:rPr>
        <w:t xml:space="preserve"> participation is still passive and limited to the planning process and has not reached the implementation or monitoring and evaluation process. OPD</w:t>
      </w:r>
      <w:r w:rsidR="0067025E">
        <w:rPr>
          <w:rFonts w:ascii="Cambria" w:hAnsi="Cambria" w:cs="Cambria"/>
          <w:lang w:val="en-GB"/>
        </w:rPr>
        <w:t>s</w:t>
      </w:r>
      <w:r>
        <w:rPr>
          <w:rFonts w:ascii="Cambria" w:hAnsi="Cambria" w:cs="Cambria"/>
          <w:lang w:val="en-GB"/>
        </w:rPr>
        <w:t xml:space="preserve"> are only involved in the Development Planning Consultative Forum and ceremonial activities (Indonesian CRPD Shadow Report, 2017).”</w:t>
      </w:r>
    </w:p>
    <w:p w14:paraId="604FD2F1" w14:textId="062629AC"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Such limited participation by OPD</w:t>
      </w:r>
      <w:r w:rsidR="0067025E">
        <w:rPr>
          <w:rFonts w:ascii="Cambria" w:hAnsi="Cambria" w:cs="Cambria"/>
          <w:lang w:val="en-GB"/>
        </w:rPr>
        <w:t>s</w:t>
      </w:r>
      <w:r>
        <w:rPr>
          <w:rFonts w:ascii="Cambria" w:hAnsi="Cambria" w:cs="Cambria"/>
          <w:lang w:val="en-GB"/>
        </w:rPr>
        <w:t xml:space="preserve"> in policy-making and development non-compliant with CRPD Article 4 (3), which prescribes that the States Parties must consult with persons with disabilities. Furthermore, persons with disabilities shall be included in legislation and policy making to in order realise the CRPD ideals, </w:t>
      </w:r>
      <w:r>
        <w:rPr>
          <w:rFonts w:ascii="Cambria" w:hAnsi="Cambria" w:cs="Cambria"/>
          <w:lang w:val="en-GB"/>
        </w:rPr>
        <w:lastRenderedPageBreak/>
        <w:t>accordingly. Lack of involvement result in government policies and programmes that do not fulfil the rights of persons with disabilities or, even worse, ignores these persons. For example, employment in the public sector requires a certificate of physical and mental health, and that candidates should not be on any medication. This automatically cuts out persons with intellectual disabilities and prevents them from decent work opportunities, which is their right (Damayanti, Interview, 2019).</w:t>
      </w:r>
    </w:p>
    <w:p w14:paraId="715C5DA3"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The Government of Indonesia’s Voluntary National Review (VNR) in 2019</w:t>
      </w:r>
    </w:p>
    <w:p w14:paraId="7F811A3E"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2019 VNR focuses on six development goals; namely, SDG 4 on quality of education, SDG 8 on decent work and economic growth, SDG 10 on reduced inequality, SDG 13 on climate action, SDG 16 on peace, justice, and strong institutions and SDG 17 on partnerships for the goals. Indonesia is among countries that provide a report on SDGs implementation at the national level. </w:t>
      </w:r>
    </w:p>
    <w:p w14:paraId="16D8A93F"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The Voluntary National Review (VNR) by Indonesian’s OPDs</w:t>
      </w:r>
    </w:p>
    <w:p w14:paraId="10E19EF2" w14:textId="205BB49D"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lang w:val="en-GB"/>
        </w:rPr>
        <w:t xml:space="preserve">Under the theme, "Our Agenda for Inclusion” Indonesian OPDs submitted a shadow report during the Voluntary National Review for Indonesia on the implementation of the SDGs at the High-Level Political Forum in 2019.  This shadow report outlined the perspectives and priorities of persons with disabilites on what reforms are needed to ensure full inclusion in development efforts and where there are gaps in compliance with the CRPD.  OPDs from Indonesia’s disability movement worked collaboratively to develop the report looking disability inclusion within the six Goals prioritized by the Indonesian government.  "Indonesia’s disability movement completed a VNR report capturing the above mentioned six development goals. </w:t>
      </w:r>
    </w:p>
    <w:p w14:paraId="0C49B129"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Research Studies on People with Disabilities in Indonesia</w:t>
      </w:r>
    </w:p>
    <w:p w14:paraId="021E2ED1"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 2019 study by SMERU Research Institute on "Obstacles to Creating Inclusive Development of persons with disabilities" used the UNICEF Social Ecology Model (MES) as a tool for analysing the occurrence of obstacles in disability-inclusive development. The model consists of five levels of social systems; namely, individual, interpersonal, community, organisation and policy (</w:t>
      </w:r>
      <w:proofErr w:type="spellStart"/>
      <w:r>
        <w:rPr>
          <w:rFonts w:ascii="Cambria" w:hAnsi="Cambria" w:cs="Cambria"/>
          <w:lang w:val="en-GB"/>
        </w:rPr>
        <w:t>Astuti</w:t>
      </w:r>
      <w:proofErr w:type="spellEnd"/>
      <w:r>
        <w:rPr>
          <w:rFonts w:ascii="Cambria" w:hAnsi="Cambria" w:cs="Cambria"/>
          <w:lang w:val="en-GB"/>
        </w:rPr>
        <w:t xml:space="preserve">, et. El, 2019). The study shows that the five social systems (MES) ranging from individuals to policies are interrelated. </w:t>
      </w:r>
    </w:p>
    <w:p w14:paraId="5AF6AEE3"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However, an obstacle emerges at the organisational level, i.e. failure of service providers to treat persons with disabilities as legitimate service consumers. Ecological obstacles also exist. Although Indonesia has several legislations on persons with disabilities, such as Law No. 19 of 2011 on Ratification of the CRPD and Law No. 8 of 2016 on persons with disabilities, the popularisation, implementation, and supervision of these policies are still problematic (</w:t>
      </w:r>
      <w:proofErr w:type="spellStart"/>
      <w:r>
        <w:rPr>
          <w:rFonts w:ascii="Cambria" w:hAnsi="Cambria" w:cs="Cambria"/>
          <w:lang w:val="en-GB"/>
        </w:rPr>
        <w:t>Astuti</w:t>
      </w:r>
      <w:proofErr w:type="spellEnd"/>
      <w:r>
        <w:rPr>
          <w:rFonts w:ascii="Cambria" w:hAnsi="Cambria" w:cs="Cambria"/>
          <w:lang w:val="en-GB"/>
        </w:rPr>
        <w:t>, et. Ell, 2019).</w:t>
      </w:r>
    </w:p>
    <w:p w14:paraId="44A025B1"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This study shows that full participation of persons with disabilities in inclusive </w:t>
      </w:r>
      <w:r>
        <w:rPr>
          <w:rFonts w:ascii="Cambria" w:hAnsi="Cambria" w:cs="Cambria"/>
          <w:lang w:val="en-GB"/>
        </w:rPr>
        <w:lastRenderedPageBreak/>
        <w:t>development in Indonesia still faces significant obstacles. These obstacles are experienced by persons with disabilities at all levels of the social system.</w:t>
      </w:r>
    </w:p>
    <w:p w14:paraId="4ED2BF02"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National Human Rights Action Plan 2015-2019</w:t>
      </w:r>
    </w:p>
    <w:p w14:paraId="05F6830D"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Indonesia’s action blueprint to realise the fulfilment of protections and rights of persons with disabilities is in the 2015-2019 National Human Rights Action Plan. The action plan is consistent with the National Midterm Development Plan 2015-2019 and is also an integral part of the former Presidential Regulation No. 75 of 2015 on National Human Rights Action Plan. A revised Regulation No. 33 of 2018 is also in place.</w:t>
      </w:r>
    </w:p>
    <w:p w14:paraId="5D0E3C99"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general objective of the Action Plan is for the State to "to gain respect, protection, fulfilment, enforcement and promotion of human rights for all levels of Indonesian society, by considering religious values, morals, customs, culture, security, public order and the interests of the Indonesian people, based on Indonesia Primary Principals/Pancasila and the 1945 Constitution of the Republic of Indonesia (See the National Human Rights Action Plan Documents, Annex of </w:t>
      </w:r>
      <w:proofErr w:type="spellStart"/>
      <w:r>
        <w:rPr>
          <w:rFonts w:ascii="Cambria" w:hAnsi="Cambria" w:cs="Cambria"/>
          <w:lang w:val="en-GB"/>
        </w:rPr>
        <w:t>Perpres</w:t>
      </w:r>
      <w:proofErr w:type="spellEnd"/>
      <w:r>
        <w:rPr>
          <w:rFonts w:ascii="Cambria" w:hAnsi="Cambria" w:cs="Cambria"/>
          <w:lang w:val="en-GB"/>
        </w:rPr>
        <w:t xml:space="preserve"> No. 75 of 2015).” Besides, specific objectives were formulated into the strategies; namely,,</w:t>
      </w:r>
    </w:p>
    <w:p w14:paraId="0637A03D" w14:textId="77777777" w:rsidR="00622BC0" w:rsidRDefault="00826C5A">
      <w:pPr>
        <w:widowControl w:val="0"/>
        <w:numPr>
          <w:ilvl w:val="0"/>
          <w:numId w:val="6"/>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Increase the state’s and society’s understanding of human rights;</w:t>
      </w:r>
    </w:p>
    <w:p w14:paraId="1F0AF1CB" w14:textId="77777777" w:rsidR="00622BC0" w:rsidRDefault="00826C5A">
      <w:pPr>
        <w:widowControl w:val="0"/>
        <w:numPr>
          <w:ilvl w:val="0"/>
          <w:numId w:val="6"/>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Implement human rights instruments in public policies;</w:t>
      </w:r>
    </w:p>
    <w:p w14:paraId="01EAC3FA" w14:textId="77777777" w:rsidR="00622BC0" w:rsidRDefault="00826C5A">
      <w:pPr>
        <w:widowControl w:val="0"/>
        <w:numPr>
          <w:ilvl w:val="0"/>
          <w:numId w:val="6"/>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Increase Indonesia's participation in forums that advocate for respect, protection, fulfilment, enforcement, and promotion of human rights;</w:t>
      </w:r>
    </w:p>
    <w:p w14:paraId="266D0F62" w14:textId="77777777" w:rsidR="00622BC0" w:rsidRDefault="00826C5A">
      <w:pPr>
        <w:widowControl w:val="0"/>
        <w:numPr>
          <w:ilvl w:val="0"/>
          <w:numId w:val="6"/>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Increase redress of human rights violations;</w:t>
      </w:r>
    </w:p>
    <w:p w14:paraId="40F3F9F8" w14:textId="77777777" w:rsidR="00622BC0" w:rsidRDefault="00826C5A">
      <w:pPr>
        <w:widowControl w:val="0"/>
        <w:numPr>
          <w:ilvl w:val="0"/>
          <w:numId w:val="6"/>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Promote access by persons with disabilities and other vulnerable groups to participate in the civil, political, economic, social and cultural discourse.</w:t>
      </w:r>
    </w:p>
    <w:p w14:paraId="6AC987FE"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These objectives show that persons with disabilities are at the centre of the pursuit to realise progress in the human rights agenda. The action plans and policy documents also reinforce the duties of state organs and other stakeholders, particularly those with oversight responsibilities, in the rights discourse. For example, Regulation No. 33 of 2018 states in part that the joint secretariat of national human rights action plan consists of government ministries of law and human rights affairs, social affairs, home affairs, national development planning and foreign affairs. The joint secretariat is charged with the following duties:</w:t>
      </w:r>
    </w:p>
    <w:p w14:paraId="4A8228E5" w14:textId="77777777" w:rsidR="00622BC0" w:rsidRDefault="00826C5A">
      <w:pPr>
        <w:widowControl w:val="0"/>
        <w:numPr>
          <w:ilvl w:val="0"/>
          <w:numId w:val="7"/>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The Ministry of Law and Human Rights Affairs is responsible for coordinating, monitoring, verifying, evaluating and reporting on the implementation of human rights actions – which are unrelated to the empowerment of persons with disabilities in/and between ministries, institutions, provinces, and districts/cities.</w:t>
      </w:r>
    </w:p>
    <w:p w14:paraId="7E67B5E0" w14:textId="77777777" w:rsidR="00622BC0" w:rsidRDefault="00826C5A">
      <w:pPr>
        <w:widowControl w:val="0"/>
        <w:numPr>
          <w:ilvl w:val="0"/>
          <w:numId w:val="7"/>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 xml:space="preserve">The Ministry of Social Affairs is responsible for coordinating, monitoring, </w:t>
      </w:r>
      <w:r>
        <w:rPr>
          <w:rFonts w:ascii="Cambria" w:hAnsi="Cambria" w:cs="Cambria"/>
          <w:lang w:val="en-GB"/>
        </w:rPr>
        <w:lastRenderedPageBreak/>
        <w:t>verifying, evaluating, and reporting on the implementation of national human rights action plans related to the empowerment of persons with disabilities and other vulnerable groups in and between ministries, institutions, provinces, and districts/cities.</w:t>
      </w:r>
    </w:p>
    <w:p w14:paraId="6BB946A9" w14:textId="77777777" w:rsidR="00622BC0" w:rsidRDefault="00826C5A">
      <w:pPr>
        <w:widowControl w:val="0"/>
        <w:numPr>
          <w:ilvl w:val="0"/>
          <w:numId w:val="7"/>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The Ministry of Home Affairs is responsible for ensuring support from local governments to implement national human rights action plans in their respective regions.</w:t>
      </w:r>
    </w:p>
    <w:p w14:paraId="3DD8BE00" w14:textId="77777777" w:rsidR="00622BC0" w:rsidRDefault="00826C5A">
      <w:pPr>
        <w:widowControl w:val="0"/>
        <w:numPr>
          <w:ilvl w:val="0"/>
          <w:numId w:val="7"/>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The Ministry of National Development Planning is responsible for facilitating the implementation of human rights action plans.</w:t>
      </w:r>
    </w:p>
    <w:p w14:paraId="3EFDE289"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first duty above shows that the scope of the Ministry of Law and Human Rights is for other matters excluding the affairs of persons with disabilities. On the other hand, the scope of Ministry of Social Affairs includes empowerment of persons with disabilities. However, the affairs of persons with disabilities are still viewed within the paradigm of "social empowerment" instead “human rights.” The third strategy, Regulation No. 33 of 2018 on National Human Rights Action Plan, seeks to shift the treatment of persons with disabilities into a human rights paradigm (Annex II of Presidential Regulation No. 33, 2018).</w:t>
      </w:r>
    </w:p>
    <w:p w14:paraId="2CE88820" w14:textId="77777777" w:rsidR="00622BC0" w:rsidRDefault="00622BC0">
      <w:pPr>
        <w:widowControl w:val="0"/>
        <w:autoSpaceDE w:val="0"/>
        <w:autoSpaceDN w:val="0"/>
        <w:adjustRightInd w:val="0"/>
        <w:spacing w:after="200"/>
        <w:ind w:right="-6"/>
        <w:jc w:val="both"/>
        <w:rPr>
          <w:rFonts w:ascii="Cambria" w:hAnsi="Cambria" w:cs="Cambria"/>
          <w:lang w:val="en-GB"/>
        </w:rPr>
      </w:pPr>
    </w:p>
    <w:p w14:paraId="6FBAEBBE" w14:textId="77777777" w:rsidR="00622BC0" w:rsidRDefault="00826C5A">
      <w:pPr>
        <w:widowControl w:val="0"/>
        <w:numPr>
          <w:ilvl w:val="0"/>
          <w:numId w:val="5"/>
        </w:numPr>
        <w:autoSpaceDE w:val="0"/>
        <w:autoSpaceDN w:val="0"/>
        <w:adjustRightInd w:val="0"/>
        <w:spacing w:after="200"/>
        <w:ind w:left="0" w:right="-6" w:firstLine="0"/>
        <w:jc w:val="both"/>
        <w:rPr>
          <w:rFonts w:ascii="Cambria" w:hAnsi="Cambria" w:cs="Cambria"/>
          <w:b/>
          <w:bCs/>
          <w:lang w:val="en-GB"/>
        </w:rPr>
      </w:pPr>
      <w:r>
        <w:rPr>
          <w:rFonts w:ascii="Cambria" w:hAnsi="Cambria" w:cs="Cambria"/>
          <w:b/>
          <w:bCs/>
          <w:lang w:val="en-GB"/>
        </w:rPr>
        <w:t>SDG Goal 3 - Good Health and Well-being</w:t>
      </w:r>
    </w:p>
    <w:p w14:paraId="70F2DA19"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Policy and Regulations</w:t>
      </w:r>
    </w:p>
    <w:p w14:paraId="2FA5D783"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the Indonesian context, health affairs are managed by the Ministry of Health. The country has several health policies, which focus not only on regulations and policies under the Ministry of Health, but linkages exist with other sectors outside the Ministry (</w:t>
      </w:r>
      <w:proofErr w:type="spellStart"/>
      <w:r>
        <w:rPr>
          <w:rFonts w:ascii="Cambria" w:hAnsi="Cambria" w:cs="Cambria"/>
          <w:lang w:val="en-GB"/>
        </w:rPr>
        <w:t>Mulati</w:t>
      </w:r>
      <w:proofErr w:type="spellEnd"/>
      <w:r>
        <w:rPr>
          <w:rFonts w:ascii="Cambria" w:hAnsi="Cambria" w:cs="Cambria"/>
          <w:lang w:val="en-GB"/>
        </w:rPr>
        <w:t>, Interview, 2019). These linkages show intersection with disability issues between one institution and another.</w:t>
      </w:r>
    </w:p>
    <w:p w14:paraId="08497BC2"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Naturally, numerous health-related pieces of legislation existed before the ratification of the CRPD and Law No. 8 of 2016 on persons with disabilities. Therefore, some regulations still use the term "disabled" (</w:t>
      </w:r>
      <w:proofErr w:type="spellStart"/>
      <w:r>
        <w:rPr>
          <w:rFonts w:ascii="Cambria" w:hAnsi="Cambria" w:cs="Cambria"/>
          <w:lang w:val="en-GB"/>
        </w:rPr>
        <w:t>Mulati</w:t>
      </w:r>
      <w:proofErr w:type="spellEnd"/>
      <w:r>
        <w:rPr>
          <w:rFonts w:ascii="Cambria" w:hAnsi="Cambria" w:cs="Cambria"/>
          <w:lang w:val="en-GB"/>
        </w:rPr>
        <w:t>, Interview, 2019). Specific legislation touching on the health of persons with disabilities are under the primary Law on Health and various derivative regulations.</w:t>
      </w:r>
    </w:p>
    <w:p w14:paraId="061D79AD"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following laws and regulations cover health issues for persons with disabilities in Indonesia:</w:t>
      </w:r>
    </w:p>
    <w:p w14:paraId="33D19E2A" w14:textId="77777777" w:rsidR="00622BC0" w:rsidRDefault="00622BC0">
      <w:pPr>
        <w:widowControl w:val="0"/>
        <w:autoSpaceDE w:val="0"/>
        <w:autoSpaceDN w:val="0"/>
        <w:adjustRightInd w:val="0"/>
        <w:spacing w:after="200"/>
        <w:ind w:right="-6"/>
        <w:jc w:val="center"/>
        <w:rPr>
          <w:rFonts w:ascii="Cambria" w:hAnsi="Cambria" w:cs="Cambria"/>
          <w:lang w:val="en-GB"/>
        </w:rPr>
      </w:pPr>
    </w:p>
    <w:p w14:paraId="0BAD9391" w14:textId="77777777" w:rsidR="00622BC0" w:rsidRDefault="00622BC0">
      <w:pPr>
        <w:widowControl w:val="0"/>
        <w:autoSpaceDE w:val="0"/>
        <w:autoSpaceDN w:val="0"/>
        <w:adjustRightInd w:val="0"/>
        <w:spacing w:after="200"/>
        <w:ind w:right="-6"/>
        <w:jc w:val="center"/>
        <w:rPr>
          <w:rFonts w:ascii="Cambria" w:hAnsi="Cambria" w:cs="Cambria"/>
          <w:lang w:val="en-GB"/>
        </w:rPr>
      </w:pPr>
    </w:p>
    <w:p w14:paraId="1D02E124" w14:textId="77777777" w:rsidR="00622BC0" w:rsidRDefault="00622BC0">
      <w:pPr>
        <w:widowControl w:val="0"/>
        <w:autoSpaceDE w:val="0"/>
        <w:autoSpaceDN w:val="0"/>
        <w:adjustRightInd w:val="0"/>
        <w:spacing w:after="200"/>
        <w:ind w:right="-6"/>
        <w:jc w:val="center"/>
        <w:rPr>
          <w:rFonts w:ascii="Cambria" w:hAnsi="Cambria" w:cs="Cambria"/>
          <w:lang w:val="en-GB"/>
        </w:rPr>
      </w:pPr>
    </w:p>
    <w:p w14:paraId="1283F627" w14:textId="77777777" w:rsidR="00622BC0" w:rsidRDefault="00622BC0">
      <w:pPr>
        <w:widowControl w:val="0"/>
        <w:autoSpaceDE w:val="0"/>
        <w:autoSpaceDN w:val="0"/>
        <w:adjustRightInd w:val="0"/>
        <w:spacing w:after="200"/>
        <w:ind w:right="-6"/>
        <w:jc w:val="center"/>
        <w:rPr>
          <w:rFonts w:ascii="Cambria" w:hAnsi="Cambria" w:cs="Cambria"/>
          <w:lang w:val="en-GB"/>
        </w:rPr>
      </w:pPr>
    </w:p>
    <w:p w14:paraId="6B86E200"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lastRenderedPageBreak/>
        <w:t>Table 2 Policy and Regulations on Health in Indonesia</w:t>
      </w:r>
    </w:p>
    <w:tbl>
      <w:tblPr>
        <w:tblW w:w="8365"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3379"/>
        <w:gridCol w:w="4986"/>
      </w:tblGrid>
      <w:tr w:rsidR="00622BC0" w14:paraId="54EFBF24" w14:textId="77777777">
        <w:tc>
          <w:tcPr>
            <w:tcW w:w="3379" w:type="dxa"/>
            <w:vMerge w:val="restart"/>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vAlign w:val="center"/>
          </w:tcPr>
          <w:p w14:paraId="3098FDCE"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Laws</w:t>
            </w:r>
          </w:p>
        </w:tc>
        <w:tc>
          <w:tcPr>
            <w:tcW w:w="4986"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784D9F93"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no. 36 of 2009 on Health</w:t>
            </w:r>
          </w:p>
        </w:tc>
      </w:tr>
      <w:tr w:rsidR="00622BC0" w14:paraId="7AD72D62" w14:textId="77777777">
        <w:tblPrEx>
          <w:tblBorders>
            <w:top w:val="none" w:sz="0" w:space="0" w:color="auto"/>
          </w:tblBorders>
        </w:tblPrEx>
        <w:tc>
          <w:tcPr>
            <w:tcW w:w="3379" w:type="dxa"/>
            <w:vMerge/>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vAlign w:val="center"/>
          </w:tcPr>
          <w:p w14:paraId="0C84A1EC" w14:textId="77777777" w:rsidR="00622BC0" w:rsidRDefault="00622BC0">
            <w:pPr>
              <w:widowControl w:val="0"/>
              <w:autoSpaceDE w:val="0"/>
              <w:autoSpaceDN w:val="0"/>
              <w:adjustRightInd w:val="0"/>
              <w:rPr>
                <w:rFonts w:ascii="Cambria" w:hAnsi="Cambria" w:cs="Cambria"/>
                <w:lang w:val="en-GB"/>
              </w:rPr>
            </w:pPr>
          </w:p>
        </w:tc>
        <w:tc>
          <w:tcPr>
            <w:tcW w:w="4986"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5744860B"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Number 8 of 2016 on persons with disabilities</w:t>
            </w:r>
          </w:p>
        </w:tc>
      </w:tr>
      <w:tr w:rsidR="00622BC0" w14:paraId="13C86F91" w14:textId="77777777">
        <w:tblPrEx>
          <w:tblBorders>
            <w:top w:val="none" w:sz="0" w:space="0" w:color="auto"/>
          </w:tblBorders>
        </w:tblPrEx>
        <w:tc>
          <w:tcPr>
            <w:tcW w:w="3379" w:type="dxa"/>
            <w:tcBorders>
              <w:top w:val="single" w:sz="8" w:space="0" w:color="BFBFBF"/>
              <w:left w:val="single" w:sz="8" w:space="0" w:color="BFBFBF"/>
              <w:bottom w:val="single" w:sz="8" w:space="0" w:color="BFBFBF"/>
              <w:right w:val="single" w:sz="8" w:space="0" w:color="BFBFBF"/>
            </w:tcBorders>
            <w:shd w:val="clear" w:color="auto" w:fill="auto"/>
            <w:tcMar>
              <w:top w:w="0" w:type="dxa"/>
              <w:right w:w="0" w:type="dxa"/>
            </w:tcMar>
            <w:vAlign w:val="center"/>
          </w:tcPr>
          <w:p w14:paraId="2BF4FD31" w14:textId="77777777" w:rsidR="00622BC0" w:rsidRDefault="00622BC0">
            <w:pPr>
              <w:widowControl w:val="0"/>
              <w:autoSpaceDE w:val="0"/>
              <w:autoSpaceDN w:val="0"/>
              <w:adjustRightInd w:val="0"/>
              <w:spacing w:line="276" w:lineRule="auto"/>
              <w:ind w:right="-6"/>
              <w:rPr>
                <w:rFonts w:ascii="Cambria" w:hAnsi="Cambria" w:cs="Cambria"/>
                <w:lang w:val="en-GB"/>
              </w:rPr>
            </w:pPr>
          </w:p>
        </w:tc>
        <w:tc>
          <w:tcPr>
            <w:tcW w:w="4986"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70A20C8D"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Number 35 of 2014, Amendment to Law Number 23 of 2012 on Child Protection</w:t>
            </w:r>
          </w:p>
        </w:tc>
      </w:tr>
      <w:tr w:rsidR="00622BC0" w14:paraId="5252B4FF" w14:textId="77777777">
        <w:tblPrEx>
          <w:tblBorders>
            <w:top w:val="none" w:sz="0" w:space="0" w:color="auto"/>
          </w:tblBorders>
        </w:tblPrEx>
        <w:tc>
          <w:tcPr>
            <w:tcW w:w="3379" w:type="dxa"/>
            <w:vMerge w:val="restart"/>
            <w:tcBorders>
              <w:top w:val="single" w:sz="8" w:space="0" w:color="BFBFBF"/>
              <w:left w:val="single" w:sz="8" w:space="0" w:color="BFBFBF"/>
              <w:right w:val="single" w:sz="8" w:space="0" w:color="BFBFBF"/>
            </w:tcBorders>
            <w:shd w:val="clear" w:color="auto" w:fill="auto"/>
            <w:tcMar>
              <w:left w:w="0" w:type="dxa"/>
              <w:right w:w="0" w:type="dxa"/>
            </w:tcMar>
            <w:vAlign w:val="center"/>
          </w:tcPr>
          <w:p w14:paraId="0B6CC859"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Regulations</w:t>
            </w:r>
          </w:p>
        </w:tc>
        <w:tc>
          <w:tcPr>
            <w:tcW w:w="4986"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674EBA6C"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Regulation of the Minister of Health Number 66 of 2014 on Monitoring of Growth, Development and Disorders in Children's Growth</w:t>
            </w:r>
          </w:p>
        </w:tc>
      </w:tr>
      <w:tr w:rsidR="00622BC0" w14:paraId="24BE8121" w14:textId="77777777">
        <w:tblPrEx>
          <w:tblBorders>
            <w:top w:val="none" w:sz="0" w:space="0" w:color="auto"/>
          </w:tblBorders>
        </w:tblPrEx>
        <w:tc>
          <w:tcPr>
            <w:tcW w:w="3379" w:type="dxa"/>
            <w:vMerge/>
            <w:tcBorders>
              <w:left w:val="single" w:sz="8" w:space="0" w:color="BFBFBF"/>
              <w:right w:val="single" w:sz="8" w:space="0" w:color="BFBFBF"/>
            </w:tcBorders>
            <w:shd w:val="clear" w:color="auto" w:fill="auto"/>
            <w:tcMar>
              <w:left w:w="0" w:type="dxa"/>
              <w:right w:w="0" w:type="dxa"/>
            </w:tcMar>
            <w:vAlign w:val="center"/>
          </w:tcPr>
          <w:p w14:paraId="49F68CD4" w14:textId="77777777" w:rsidR="00622BC0" w:rsidRDefault="00622BC0">
            <w:pPr>
              <w:widowControl w:val="0"/>
              <w:autoSpaceDE w:val="0"/>
              <w:autoSpaceDN w:val="0"/>
              <w:adjustRightInd w:val="0"/>
              <w:rPr>
                <w:rFonts w:ascii="Cambria" w:hAnsi="Cambria" w:cs="Cambria"/>
                <w:lang w:val="en-GB"/>
              </w:rPr>
            </w:pPr>
          </w:p>
        </w:tc>
        <w:tc>
          <w:tcPr>
            <w:tcW w:w="4986"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128573F7"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Regulation of the Minister of Health Number No 75 of 2014 on Community Health Centres. This stipulates the required location of community health centres, which must meet transport and physical accessibility needs of persons with disabilities</w:t>
            </w:r>
          </w:p>
        </w:tc>
      </w:tr>
      <w:tr w:rsidR="00622BC0" w14:paraId="62CE528B" w14:textId="77777777">
        <w:tblPrEx>
          <w:tblBorders>
            <w:top w:val="none" w:sz="0" w:space="0" w:color="auto"/>
          </w:tblBorders>
        </w:tblPrEx>
        <w:tc>
          <w:tcPr>
            <w:tcW w:w="3379" w:type="dxa"/>
            <w:vMerge/>
            <w:tcBorders>
              <w:left w:val="single" w:sz="8" w:space="0" w:color="BFBFBF"/>
              <w:right w:val="single" w:sz="8" w:space="0" w:color="BFBFBF"/>
            </w:tcBorders>
            <w:shd w:val="clear" w:color="auto" w:fill="auto"/>
            <w:tcMar>
              <w:top w:w="0" w:type="dxa"/>
              <w:right w:w="0" w:type="dxa"/>
            </w:tcMar>
            <w:vAlign w:val="center"/>
          </w:tcPr>
          <w:p w14:paraId="3B6CA3E2" w14:textId="77777777" w:rsidR="00622BC0" w:rsidRDefault="00622BC0">
            <w:pPr>
              <w:widowControl w:val="0"/>
              <w:autoSpaceDE w:val="0"/>
              <w:autoSpaceDN w:val="0"/>
              <w:adjustRightInd w:val="0"/>
              <w:spacing w:line="276" w:lineRule="auto"/>
              <w:ind w:right="-6"/>
              <w:rPr>
                <w:rFonts w:ascii="Cambria" w:hAnsi="Cambria" w:cs="Cambria"/>
                <w:lang w:val="en-GB"/>
              </w:rPr>
            </w:pPr>
          </w:p>
        </w:tc>
        <w:tc>
          <w:tcPr>
            <w:tcW w:w="4986"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51D7E739"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Regulation of the Minister of Health Number No. 56 of 2014 on Classification and Licensing of Hospitals. This regulates accessibility outside and inside buildings, considers convenience for all people, including those with disabilities and the elderly.</w:t>
            </w:r>
          </w:p>
        </w:tc>
      </w:tr>
      <w:tr w:rsidR="00622BC0" w14:paraId="16AAB173" w14:textId="77777777">
        <w:tblPrEx>
          <w:tblBorders>
            <w:top w:val="none" w:sz="0" w:space="0" w:color="auto"/>
          </w:tblBorders>
        </w:tblPrEx>
        <w:tc>
          <w:tcPr>
            <w:tcW w:w="3379" w:type="dxa"/>
            <w:vMerge/>
            <w:tcBorders>
              <w:left w:val="single" w:sz="8" w:space="0" w:color="BFBFBF"/>
              <w:right w:val="single" w:sz="8" w:space="0" w:color="BFBFBF"/>
            </w:tcBorders>
            <w:shd w:val="clear" w:color="auto" w:fill="auto"/>
            <w:tcMar>
              <w:top w:w="0" w:type="dxa"/>
              <w:right w:w="0" w:type="dxa"/>
            </w:tcMar>
            <w:vAlign w:val="center"/>
          </w:tcPr>
          <w:p w14:paraId="20417A5C" w14:textId="77777777" w:rsidR="00622BC0" w:rsidRDefault="00622BC0">
            <w:pPr>
              <w:widowControl w:val="0"/>
              <w:autoSpaceDE w:val="0"/>
              <w:autoSpaceDN w:val="0"/>
              <w:adjustRightInd w:val="0"/>
              <w:spacing w:line="276" w:lineRule="auto"/>
              <w:ind w:right="-6"/>
              <w:rPr>
                <w:rFonts w:ascii="Cambria" w:hAnsi="Cambria" w:cs="Cambria"/>
                <w:lang w:val="en-GB"/>
              </w:rPr>
            </w:pPr>
          </w:p>
        </w:tc>
        <w:tc>
          <w:tcPr>
            <w:tcW w:w="4986"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0AFFE96D"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Regulation of the Minister of Health Number No. 46 of 2015 on Accreditation of Community Health Centres, First Level Clinics, Doctors and Dentists</w:t>
            </w:r>
          </w:p>
        </w:tc>
      </w:tr>
      <w:tr w:rsidR="00622BC0" w14:paraId="11949319" w14:textId="77777777">
        <w:tblPrEx>
          <w:tblBorders>
            <w:top w:val="none" w:sz="0" w:space="0" w:color="auto"/>
          </w:tblBorders>
        </w:tblPrEx>
        <w:tc>
          <w:tcPr>
            <w:tcW w:w="3379" w:type="dxa"/>
            <w:vMerge/>
            <w:tcBorders>
              <w:left w:val="single" w:sz="8" w:space="0" w:color="BFBFBF"/>
              <w:bottom w:val="single" w:sz="8" w:space="0" w:color="BFBFBF"/>
              <w:right w:val="single" w:sz="8" w:space="0" w:color="BFBFBF"/>
            </w:tcBorders>
            <w:shd w:val="clear" w:color="auto" w:fill="auto"/>
            <w:tcMar>
              <w:top w:w="0" w:type="dxa"/>
              <w:right w:w="0" w:type="dxa"/>
            </w:tcMar>
            <w:vAlign w:val="center"/>
          </w:tcPr>
          <w:p w14:paraId="2D663AC2" w14:textId="77777777" w:rsidR="00622BC0" w:rsidRDefault="00622BC0">
            <w:pPr>
              <w:widowControl w:val="0"/>
              <w:autoSpaceDE w:val="0"/>
              <w:autoSpaceDN w:val="0"/>
              <w:adjustRightInd w:val="0"/>
              <w:spacing w:line="276" w:lineRule="auto"/>
              <w:ind w:right="-6"/>
              <w:rPr>
                <w:rFonts w:ascii="Cambria" w:hAnsi="Cambria" w:cs="Cambria"/>
                <w:lang w:val="en-GB"/>
              </w:rPr>
            </w:pPr>
          </w:p>
        </w:tc>
        <w:tc>
          <w:tcPr>
            <w:tcW w:w="4986"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45E8DDDF"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Regulation of the Minister of Health's No. 12 of 2012 on Hospital Accreditation. This stipulates that persons with disabilities in hospitals are regulated under the National Hospital Accreditation Standard (SNARS) in line with standards for patient care services.</w:t>
            </w:r>
          </w:p>
        </w:tc>
      </w:tr>
      <w:tr w:rsidR="00622BC0" w14:paraId="46723F0D" w14:textId="77777777">
        <w:tblPrEx>
          <w:tblBorders>
            <w:top w:val="none" w:sz="0" w:space="0" w:color="auto"/>
            <w:bottom w:val="single" w:sz="4" w:space="0" w:color="auto"/>
          </w:tblBorders>
        </w:tblPrEx>
        <w:tc>
          <w:tcPr>
            <w:tcW w:w="3379"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0BDBECD1"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Road Map</w:t>
            </w:r>
          </w:p>
        </w:tc>
        <w:tc>
          <w:tcPr>
            <w:tcW w:w="4986"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0F18D363"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Disability Inclusive Health Services Road Map 2020 – 2024</w:t>
            </w:r>
          </w:p>
        </w:tc>
      </w:tr>
    </w:tbl>
    <w:p w14:paraId="27E9B782" w14:textId="77777777" w:rsidR="00622BC0" w:rsidRDefault="00622BC0">
      <w:pPr>
        <w:widowControl w:val="0"/>
        <w:autoSpaceDE w:val="0"/>
        <w:autoSpaceDN w:val="0"/>
        <w:adjustRightInd w:val="0"/>
        <w:spacing w:after="200"/>
        <w:ind w:right="-6"/>
        <w:jc w:val="both"/>
        <w:rPr>
          <w:rFonts w:ascii="Cambria" w:hAnsi="Cambria" w:cs="Cambria"/>
          <w:lang w:val="en-GB"/>
        </w:rPr>
      </w:pPr>
    </w:p>
    <w:p w14:paraId="4C31AB46"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road map appearing in the box above is guide for policies and programmes for all health levels at both the central and regional levels, which are required to collaborate in creating health systems and services that are accessible, comprehensive, affordable, qualified and uphold the dignity and empowerment of </w:t>
      </w:r>
      <w:r>
        <w:rPr>
          <w:rFonts w:ascii="Cambria" w:hAnsi="Cambria" w:cs="Cambria"/>
          <w:lang w:val="en-GB"/>
        </w:rPr>
        <w:lastRenderedPageBreak/>
        <w:t xml:space="preserve">persons with disabilities. It is expected by 2030, all persons with disabilities in Indonesia should achieve an optimal degree of health that supports their productivity, active participation in society and development. </w:t>
      </w:r>
    </w:p>
    <w:p w14:paraId="28848D59"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Law No. 8 of 2016, articulates in several chapters the persons with disabilities’ rights to health. It implies the efforts by national and regional governments to formulate enabling health-care regulations and programmes for persons with disabilities. The law outlines several rights for persons with disabilities, e.g. right to health-care services, rights to information and medical treatment, right to make medical decisions, sexual health and reproductive rights, etc. Overall, it is compliant with CRPD Article 25 and SDG 3. However, implementation is still behind and is expected to encounter challenges and obstacles that would impede persons with disabilities’ rights to health as set out in the law. </w:t>
      </w:r>
    </w:p>
    <w:p w14:paraId="002F5EE9"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Implementation and Programmes</w:t>
      </w:r>
    </w:p>
    <w:p w14:paraId="5CB1CC11"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programmes above do not cover all measures on health issues in Indonesia; instead, they illustrate the implementation of the laws and regulations listed in the previous section. The various policies and regulations show that with regard to legislation, Indonesia already has a relatively comprehensive health policy framework to provide health services for persons with disabilities. Nevertheless, many persons with disabilities barely access the health-care services at community levels. Access to these robust provisions is hampered by multiple barriers, e.g. inadequate budget and limiting infrastructure. Therefore, to assess the viability of these policies, it is necessary to re-examine the health-care programmes. The lists below provides some health programmes rolled out for people with disabilities:</w:t>
      </w:r>
    </w:p>
    <w:p w14:paraId="04E55F51" w14:textId="77777777" w:rsidR="00622BC0" w:rsidRDefault="00826C5A">
      <w:pPr>
        <w:widowControl w:val="0"/>
        <w:numPr>
          <w:ilvl w:val="0"/>
          <w:numId w:val="8"/>
        </w:numPr>
        <w:autoSpaceDE w:val="0"/>
        <w:autoSpaceDN w:val="0"/>
        <w:adjustRightInd w:val="0"/>
        <w:spacing w:after="200"/>
        <w:ind w:left="960" w:right="-6" w:hanging="425"/>
        <w:jc w:val="both"/>
        <w:rPr>
          <w:rFonts w:ascii="Cambria" w:hAnsi="Cambria" w:cs="Cambria"/>
          <w:lang w:val="en-GB"/>
        </w:rPr>
      </w:pPr>
      <w:r>
        <w:rPr>
          <w:rFonts w:ascii="Cambria" w:hAnsi="Cambria" w:cs="Cambria"/>
          <w:lang w:val="en-GB"/>
        </w:rPr>
        <w:t>Congenital hypothyroid screening, for early detection of congenital hypothyroid abnormalities;</w:t>
      </w:r>
    </w:p>
    <w:p w14:paraId="6E865E65" w14:textId="77777777" w:rsidR="00622BC0" w:rsidRDefault="00826C5A">
      <w:pPr>
        <w:widowControl w:val="0"/>
        <w:numPr>
          <w:ilvl w:val="0"/>
          <w:numId w:val="8"/>
        </w:numPr>
        <w:autoSpaceDE w:val="0"/>
        <w:autoSpaceDN w:val="0"/>
        <w:adjustRightInd w:val="0"/>
        <w:spacing w:after="200"/>
        <w:ind w:left="960" w:right="-6" w:hanging="425"/>
        <w:jc w:val="both"/>
        <w:rPr>
          <w:rFonts w:ascii="Cambria" w:hAnsi="Cambria" w:cs="Cambria"/>
          <w:lang w:val="en-GB"/>
        </w:rPr>
      </w:pPr>
      <w:r>
        <w:rPr>
          <w:rFonts w:ascii="Cambria" w:hAnsi="Cambria" w:cs="Cambria"/>
          <w:lang w:val="en-GB"/>
        </w:rPr>
        <w:t>Hospital surveillance of congenital disabilities;</w:t>
      </w:r>
    </w:p>
    <w:p w14:paraId="33E03CD5" w14:textId="77777777" w:rsidR="00622BC0" w:rsidRDefault="00826C5A">
      <w:pPr>
        <w:widowControl w:val="0"/>
        <w:numPr>
          <w:ilvl w:val="0"/>
          <w:numId w:val="8"/>
        </w:numPr>
        <w:autoSpaceDE w:val="0"/>
        <w:autoSpaceDN w:val="0"/>
        <w:adjustRightInd w:val="0"/>
        <w:spacing w:after="200"/>
        <w:ind w:left="960" w:right="-6" w:hanging="425"/>
        <w:jc w:val="both"/>
        <w:rPr>
          <w:rFonts w:ascii="Cambria" w:hAnsi="Cambria" w:cs="Cambria"/>
          <w:lang w:val="en-GB"/>
        </w:rPr>
      </w:pPr>
      <w:r>
        <w:rPr>
          <w:rFonts w:ascii="Cambria" w:hAnsi="Cambria" w:cs="Cambria"/>
          <w:lang w:val="en-GB"/>
        </w:rPr>
        <w:t>Utilisation of the Maternal and Child Health (MCH) book by families to monitor the growth and development of children up to the age of 6;</w:t>
      </w:r>
    </w:p>
    <w:p w14:paraId="3C8A7FD6" w14:textId="77777777" w:rsidR="00622BC0" w:rsidRDefault="00826C5A">
      <w:pPr>
        <w:widowControl w:val="0"/>
        <w:numPr>
          <w:ilvl w:val="0"/>
          <w:numId w:val="8"/>
        </w:numPr>
        <w:autoSpaceDE w:val="0"/>
        <w:autoSpaceDN w:val="0"/>
        <w:adjustRightInd w:val="0"/>
        <w:spacing w:after="200"/>
        <w:ind w:left="960" w:right="-6" w:hanging="425"/>
        <w:jc w:val="both"/>
        <w:rPr>
          <w:rFonts w:ascii="Cambria" w:hAnsi="Cambria" w:cs="Cambria"/>
          <w:lang w:val="en-GB"/>
        </w:rPr>
      </w:pPr>
      <w:r>
        <w:rPr>
          <w:rFonts w:ascii="Cambria" w:hAnsi="Cambria" w:cs="Cambria"/>
          <w:lang w:val="en-GB"/>
        </w:rPr>
        <w:t>Prevention and treatment of stunting for the First 1000 Days of Life (HPK).</w:t>
      </w:r>
    </w:p>
    <w:p w14:paraId="28570105" w14:textId="77777777" w:rsidR="00622BC0" w:rsidRDefault="00826C5A">
      <w:pPr>
        <w:widowControl w:val="0"/>
        <w:numPr>
          <w:ilvl w:val="0"/>
          <w:numId w:val="8"/>
        </w:numPr>
        <w:autoSpaceDE w:val="0"/>
        <w:autoSpaceDN w:val="0"/>
        <w:adjustRightInd w:val="0"/>
        <w:spacing w:after="200"/>
        <w:ind w:left="960" w:right="-6" w:hanging="425"/>
        <w:jc w:val="both"/>
        <w:rPr>
          <w:rFonts w:ascii="Cambria" w:hAnsi="Cambria" w:cs="Cambria"/>
          <w:lang w:val="en-GB"/>
        </w:rPr>
      </w:pPr>
      <w:r>
        <w:rPr>
          <w:rFonts w:ascii="Cambria" w:hAnsi="Cambria" w:cs="Cambria"/>
          <w:lang w:val="en-GB"/>
        </w:rPr>
        <w:t>Early Development Intervention Detection Stimulation (SDIDTK) for toddlers</w:t>
      </w:r>
    </w:p>
    <w:p w14:paraId="2CCEF336" w14:textId="77777777" w:rsidR="00622BC0" w:rsidRDefault="00826C5A">
      <w:pPr>
        <w:widowControl w:val="0"/>
        <w:numPr>
          <w:ilvl w:val="0"/>
          <w:numId w:val="8"/>
        </w:numPr>
        <w:autoSpaceDE w:val="0"/>
        <w:autoSpaceDN w:val="0"/>
        <w:adjustRightInd w:val="0"/>
        <w:spacing w:after="200"/>
        <w:ind w:left="960" w:right="-6" w:hanging="425"/>
        <w:jc w:val="both"/>
        <w:rPr>
          <w:rFonts w:ascii="Cambria" w:hAnsi="Cambria" w:cs="Cambria"/>
          <w:lang w:val="en-GB"/>
        </w:rPr>
      </w:pPr>
      <w:r>
        <w:rPr>
          <w:rFonts w:ascii="Cambria" w:hAnsi="Cambria" w:cs="Cambria"/>
          <w:lang w:val="en-GB"/>
        </w:rPr>
        <w:t>Hospital referral for growth and development disorders among children</w:t>
      </w:r>
    </w:p>
    <w:p w14:paraId="1A5522A8" w14:textId="77777777" w:rsidR="00622BC0" w:rsidRDefault="00826C5A">
      <w:pPr>
        <w:widowControl w:val="0"/>
        <w:numPr>
          <w:ilvl w:val="0"/>
          <w:numId w:val="8"/>
        </w:numPr>
        <w:autoSpaceDE w:val="0"/>
        <w:autoSpaceDN w:val="0"/>
        <w:adjustRightInd w:val="0"/>
        <w:spacing w:after="200"/>
        <w:ind w:left="960" w:right="-6" w:hanging="425"/>
        <w:jc w:val="both"/>
        <w:rPr>
          <w:rFonts w:ascii="Cambria" w:hAnsi="Cambria" w:cs="Cambria"/>
          <w:lang w:val="en-GB"/>
        </w:rPr>
      </w:pPr>
      <w:r>
        <w:rPr>
          <w:rFonts w:ascii="Cambria" w:hAnsi="Cambria" w:cs="Cambria"/>
          <w:lang w:val="en-GB"/>
        </w:rPr>
        <w:t>Health services for people with disabilities in "special school” through the School Health Unit</w:t>
      </w:r>
    </w:p>
    <w:p w14:paraId="4F1F37CF" w14:textId="77777777" w:rsidR="00622BC0" w:rsidRDefault="00826C5A">
      <w:pPr>
        <w:widowControl w:val="0"/>
        <w:numPr>
          <w:ilvl w:val="0"/>
          <w:numId w:val="8"/>
        </w:numPr>
        <w:autoSpaceDE w:val="0"/>
        <w:autoSpaceDN w:val="0"/>
        <w:adjustRightInd w:val="0"/>
        <w:spacing w:after="200"/>
        <w:ind w:left="960" w:right="-6" w:hanging="425"/>
        <w:jc w:val="both"/>
        <w:rPr>
          <w:rFonts w:ascii="Cambria" w:hAnsi="Cambria" w:cs="Cambria"/>
          <w:lang w:val="en-GB"/>
        </w:rPr>
      </w:pPr>
      <w:r>
        <w:rPr>
          <w:rFonts w:ascii="Cambria" w:hAnsi="Cambria" w:cs="Cambria"/>
          <w:lang w:val="en-GB"/>
        </w:rPr>
        <w:t>Reproductive health services for adults with disabilities</w:t>
      </w:r>
    </w:p>
    <w:p w14:paraId="7BACE38D" w14:textId="77777777" w:rsidR="00622BC0" w:rsidRDefault="00826C5A">
      <w:pPr>
        <w:widowControl w:val="0"/>
        <w:numPr>
          <w:ilvl w:val="0"/>
          <w:numId w:val="8"/>
        </w:numPr>
        <w:autoSpaceDE w:val="0"/>
        <w:autoSpaceDN w:val="0"/>
        <w:adjustRightInd w:val="0"/>
        <w:spacing w:after="200"/>
        <w:ind w:left="960" w:right="-6" w:hanging="425"/>
        <w:jc w:val="both"/>
        <w:rPr>
          <w:rFonts w:ascii="Cambria" w:hAnsi="Cambria" w:cs="Cambria"/>
          <w:lang w:val="en-GB"/>
        </w:rPr>
      </w:pPr>
      <w:r>
        <w:rPr>
          <w:rFonts w:ascii="Cambria" w:hAnsi="Cambria" w:cs="Cambria"/>
          <w:lang w:val="en-GB"/>
        </w:rPr>
        <w:t>Long-term care for the elderly</w:t>
      </w:r>
    </w:p>
    <w:p w14:paraId="32A292E2"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lastRenderedPageBreak/>
        <w:t xml:space="preserve">In addition to government health regulations, policies and programmes, the National Human Rights Action Plan 2018-2019 also provides specific action plans, especially on health services for people with intellectual disabilities (Annex II of </w:t>
      </w:r>
      <w:proofErr w:type="spellStart"/>
      <w:r>
        <w:rPr>
          <w:rFonts w:ascii="Cambria" w:hAnsi="Cambria" w:cs="Cambria"/>
          <w:lang w:val="en-GB"/>
        </w:rPr>
        <w:t>Perpres</w:t>
      </w:r>
      <w:proofErr w:type="spellEnd"/>
      <w:r>
        <w:rPr>
          <w:rFonts w:ascii="Cambria" w:hAnsi="Cambria" w:cs="Cambria"/>
          <w:lang w:val="en-GB"/>
        </w:rPr>
        <w:t xml:space="preserve"> No. 33 of 2018, Action No. 16). Criteria for the success of these actions include finding people with intellectual disabilities and in shackles, unshackling them and providing them with mental health and other health care services and facilities. </w:t>
      </w:r>
    </w:p>
    <w:p w14:paraId="21E9A8EB" w14:textId="31E1A313"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Meanwhile, Action No. 20 of the National Action Plan led to the development of a road map for inclusive health services for persons with disabilities. The Action was intended to popularise these inclusive health road maps and provide data tracking tools to assess the inclusion of persons with disabilites in health services.  The expected outcome was for that each province to have data on the inclusion of persons with disabilities in the health road map.</w:t>
      </w:r>
    </w:p>
    <w:p w14:paraId="7A943270"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These programmes have comprehensively covered various age levels and types of health care services. The programmes show the commitment of the Indonesian government to fulfil the right to health for persons with disabilities. However, integral and holistic implementation of these programmes depends particularly on capacity and actual efforts at the regional level, especially the district/city government (</w:t>
      </w:r>
      <w:proofErr w:type="spellStart"/>
      <w:r>
        <w:rPr>
          <w:rFonts w:ascii="Cambria" w:hAnsi="Cambria" w:cs="Cambria"/>
          <w:lang w:val="en-GB"/>
        </w:rPr>
        <w:t>Mulati</w:t>
      </w:r>
      <w:proofErr w:type="spellEnd"/>
      <w:r>
        <w:rPr>
          <w:rFonts w:ascii="Cambria" w:hAnsi="Cambria" w:cs="Cambria"/>
          <w:lang w:val="en-GB"/>
        </w:rPr>
        <w:t>, Interview 2019).</w:t>
      </w:r>
    </w:p>
    <w:p w14:paraId="564942C0" w14:textId="77777777" w:rsidR="00622BC0" w:rsidRDefault="00622BC0">
      <w:pPr>
        <w:widowControl w:val="0"/>
        <w:autoSpaceDE w:val="0"/>
        <w:autoSpaceDN w:val="0"/>
        <w:adjustRightInd w:val="0"/>
        <w:spacing w:after="200"/>
        <w:ind w:right="-6"/>
        <w:jc w:val="both"/>
        <w:rPr>
          <w:rFonts w:ascii="Cambria" w:hAnsi="Cambria" w:cs="Cambria"/>
          <w:b/>
          <w:bCs/>
          <w:lang w:val="en-GB"/>
        </w:rPr>
      </w:pPr>
    </w:p>
    <w:p w14:paraId="539294B8" w14:textId="01194F3B"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Participation of Civil Society and OPD</w:t>
      </w:r>
      <w:r w:rsidR="0067025E">
        <w:rPr>
          <w:rFonts w:ascii="Cambria" w:hAnsi="Cambria" w:cs="Cambria"/>
          <w:b/>
          <w:bCs/>
          <w:lang w:val="en-GB"/>
        </w:rPr>
        <w:t>s</w:t>
      </w:r>
      <w:r>
        <w:rPr>
          <w:rFonts w:ascii="Cambria" w:hAnsi="Cambria" w:cs="Cambria"/>
          <w:b/>
          <w:bCs/>
          <w:lang w:val="en-GB"/>
        </w:rPr>
        <w:t xml:space="preserve"> </w:t>
      </w:r>
    </w:p>
    <w:p w14:paraId="39602FEF" w14:textId="43013033"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full participation of persons with disabilities and OPD</w:t>
      </w:r>
      <w:r w:rsidR="0067025E">
        <w:rPr>
          <w:rFonts w:ascii="Cambria" w:hAnsi="Cambria" w:cs="Cambria"/>
          <w:lang w:val="en-GB"/>
        </w:rPr>
        <w:t>s</w:t>
      </w:r>
      <w:r>
        <w:rPr>
          <w:rFonts w:ascii="Cambria" w:hAnsi="Cambria" w:cs="Cambria"/>
          <w:lang w:val="en-GB"/>
        </w:rPr>
        <w:t xml:space="preserve"> in creating health policies and regulations is essential to mainstreaming the health issues of persons with disabilities. Their most important contribution is shifting perspectives from the medical paradigm (medical model) of treating disability issues to a human rights paradigm (human rights-based approach). The latter means that disabilities will not merely be seen from the medical perspective; in the context of persons with disabilities, the individual has the right to accept or reject through "informed consent."</w:t>
      </w:r>
    </w:p>
    <w:p w14:paraId="3A1BBC8A" w14:textId="1FA2DCFD"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According to interviews with the Indonesian Mental Health Association, the OPD</w:t>
      </w:r>
      <w:r w:rsidR="0067025E">
        <w:rPr>
          <w:rFonts w:ascii="Cambria" w:hAnsi="Cambria" w:cs="Cambria"/>
          <w:lang w:val="en-GB"/>
        </w:rPr>
        <w:t>s</w:t>
      </w:r>
      <w:r>
        <w:rPr>
          <w:rFonts w:ascii="Cambria" w:hAnsi="Cambria" w:cs="Cambria"/>
          <w:lang w:val="en-GB"/>
        </w:rPr>
        <w:t xml:space="preserve"> that focus on intellectual disability advocacy, the primary goal of advocacy is for persons with intellectual disabilities to access medications in the health facilities, and that the medications have the lowest possible side effects. Current medications have adverse side effects; for example, they causes stiffness, tremor, glary eyes, etc. These adverse effects worsen the health of persons with intellectual disability (Damayanti, Interview, 2019). </w:t>
      </w:r>
    </w:p>
    <w:p w14:paraId="551CD65E"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To date, medical treatment to persons with intellectual disabilities is conducted forcefully and without informed consent from the persons with disabilities themselves (Damayanti, Interview, 2019). Absence of informed consent is not only in terms of treatment, but also about the "placement" of people with intellectual disabilities. This means that persons with disabilities will be admitted to an </w:t>
      </w:r>
      <w:r>
        <w:rPr>
          <w:rFonts w:ascii="Cambria" w:hAnsi="Cambria" w:cs="Cambria"/>
          <w:lang w:val="en-GB"/>
        </w:rPr>
        <w:lastRenderedPageBreak/>
        <w:t xml:space="preserve">asylum facility whether they are willing or not. In Indonesia, persons with psycho-social or intellectual disabilities are routinely institutionalised by the family in government and private rehabilitation centres. Substantially, these persons have the legal capacity to determine daily choices and make other decisions on their lives. However, in practice, their families, guardians, caregivers and the rehabilitation officers make decisions on their behalf on a whole range of matters, including medical treatments, medication and institutionalisation. This takes away the persons’ legal capacity to decide their own circumstances. </w:t>
      </w:r>
    </w:p>
    <w:p w14:paraId="4E58C4FD"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Still on health, the Indonesian Hope Organisation, OHANA, entered into a Memorandum of Understanding with the Special Health Insurance Services Agency for purposes of advocacy and education on the use of wheelchair aids. Among other things, OHANA helps optimise wheelchair aids in the Special Region of Yogyakarta (</w:t>
      </w:r>
      <w:proofErr w:type="spellStart"/>
      <w:r>
        <w:rPr>
          <w:rFonts w:ascii="Cambria" w:hAnsi="Cambria" w:cs="Cambria"/>
          <w:lang w:val="en-GB"/>
        </w:rPr>
        <w:t>Utami</w:t>
      </w:r>
      <w:proofErr w:type="spellEnd"/>
      <w:r>
        <w:rPr>
          <w:rFonts w:ascii="Cambria" w:hAnsi="Cambria" w:cs="Cambria"/>
          <w:lang w:val="en-GB"/>
        </w:rPr>
        <w:t>, Interview, 2019). OHANA now provides some wheelchair services required by the Agency and offers education on their suitability and specific characteristics for persons in need of wheelchair aids (</w:t>
      </w:r>
      <w:proofErr w:type="spellStart"/>
      <w:r>
        <w:rPr>
          <w:rFonts w:ascii="Cambria" w:hAnsi="Cambria" w:cs="Cambria"/>
          <w:lang w:val="en-GB"/>
        </w:rPr>
        <w:t>Utami</w:t>
      </w:r>
      <w:proofErr w:type="spellEnd"/>
      <w:r>
        <w:rPr>
          <w:rFonts w:ascii="Cambria" w:hAnsi="Cambria" w:cs="Cambria"/>
          <w:lang w:val="en-GB"/>
        </w:rPr>
        <w:t xml:space="preserve">, Interview, 2019). </w:t>
      </w:r>
    </w:p>
    <w:p w14:paraId="3E8A0CE1" w14:textId="36C6F042"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This kind of cooperation between OPD</w:t>
      </w:r>
      <w:r w:rsidR="0067025E">
        <w:rPr>
          <w:rFonts w:ascii="Cambria" w:hAnsi="Cambria" w:cs="Cambria"/>
          <w:lang w:val="en-GB"/>
        </w:rPr>
        <w:t>s</w:t>
      </w:r>
      <w:r>
        <w:rPr>
          <w:rFonts w:ascii="Cambria" w:hAnsi="Cambria" w:cs="Cambria"/>
          <w:lang w:val="en-GB"/>
        </w:rPr>
        <w:t xml:space="preserve"> and local governments in the Special Region of Yogyakarta would be a useable model nationally. In fact, based on its success, the Indonesian government is considering to implement similar programmes at the national level with the view that the model can be adopted as an integral part of inclusive health service road map (Presentation of Republic of Indonesia Ministry of Health, 7 Dec 2017). The OHANA example provides hope and validation that full participation of persons with disabilities, individually and collectively under organisations, contributes greatly in the pursuit to fulfil the rights of persons with disabilities and will transform the development process. Therefore, it is essential for both Indonesian national and local governments to continuously involve persons with disabilities and OPD</w:t>
      </w:r>
      <w:r w:rsidR="0067025E">
        <w:rPr>
          <w:rFonts w:ascii="Cambria" w:hAnsi="Cambria" w:cs="Cambria"/>
          <w:lang w:val="en-GB"/>
        </w:rPr>
        <w:t>s</w:t>
      </w:r>
      <w:r>
        <w:rPr>
          <w:rFonts w:ascii="Cambria" w:hAnsi="Cambria" w:cs="Cambria"/>
          <w:lang w:val="en-GB"/>
        </w:rPr>
        <w:t xml:space="preserve"> in the planning, implementation, monitoring, and evaluation of public policies and development programmes. </w:t>
      </w:r>
    </w:p>
    <w:p w14:paraId="511CEDF4" w14:textId="77777777" w:rsidR="00622BC0" w:rsidRDefault="00622BC0">
      <w:pPr>
        <w:widowControl w:val="0"/>
        <w:autoSpaceDE w:val="0"/>
        <w:autoSpaceDN w:val="0"/>
        <w:adjustRightInd w:val="0"/>
        <w:spacing w:after="200"/>
        <w:ind w:right="-6"/>
        <w:jc w:val="both"/>
        <w:rPr>
          <w:rFonts w:ascii="Cambria" w:hAnsi="Cambria" w:cs="Cambria"/>
          <w:lang w:val="en-GB"/>
        </w:rPr>
      </w:pPr>
    </w:p>
    <w:p w14:paraId="5DE177CA" w14:textId="77777777" w:rsidR="00622BC0" w:rsidRDefault="00826C5A">
      <w:pPr>
        <w:widowControl w:val="0"/>
        <w:numPr>
          <w:ilvl w:val="0"/>
          <w:numId w:val="5"/>
        </w:numPr>
        <w:autoSpaceDE w:val="0"/>
        <w:autoSpaceDN w:val="0"/>
        <w:adjustRightInd w:val="0"/>
        <w:spacing w:after="200"/>
        <w:ind w:left="0" w:right="-6" w:firstLine="0"/>
        <w:jc w:val="both"/>
        <w:rPr>
          <w:rFonts w:ascii="Cambria" w:hAnsi="Cambria" w:cs="Cambria"/>
          <w:b/>
          <w:bCs/>
          <w:lang w:val="en-GB"/>
        </w:rPr>
      </w:pPr>
      <w:r>
        <w:rPr>
          <w:rFonts w:ascii="Cambria" w:hAnsi="Cambria" w:cs="Cambria"/>
          <w:b/>
          <w:bCs/>
          <w:lang w:val="en-GB"/>
        </w:rPr>
        <w:t>SDG Goal 4 - Quality of Education</w:t>
      </w:r>
    </w:p>
    <w:p w14:paraId="2DBD6B88"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Indonesian government still encounters challenges to optimise access to education for children with disabilities and their full inclusion in the education system, according to the 2019 presentation of Indonesia’s VNR. Access to inclusive, quality education for children with disabilities would produce educated adults who are competitive in the job market and who can contribute productively in the national economic growth. </w:t>
      </w:r>
    </w:p>
    <w:p w14:paraId="56D31081" w14:textId="1D8E884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Generally, Indonesia’s portraits of persons with disabilities, particularly in SDG 4 of quality of education and SDG 8 of decent work and economic growth, are not compliant with the CRPD. A reformulation of inclusive education system is required in Indonesia, both at the conceptual and operational levels (see OPD</w:t>
      </w:r>
      <w:r w:rsidR="0067025E">
        <w:rPr>
          <w:rFonts w:ascii="Cambria" w:hAnsi="Cambria" w:cs="Cambria"/>
          <w:lang w:val="en-GB"/>
        </w:rPr>
        <w:t>s’</w:t>
      </w:r>
      <w:r>
        <w:rPr>
          <w:rFonts w:ascii="Cambria" w:hAnsi="Cambria" w:cs="Cambria"/>
          <w:lang w:val="en-GB"/>
        </w:rPr>
        <w:t xml:space="preserve"> VNR of Indonesia, 2019).</w:t>
      </w:r>
    </w:p>
    <w:p w14:paraId="7A2D055E"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lastRenderedPageBreak/>
        <w:t xml:space="preserve">It should be noted that Indonesia’s devolved governance with its "broad autonomy" (1945 Constitution, 2002) significantly shifts functions from central to regional governments. Local governments have broad authority over resource management in their various territories. Therefore, strengthening inclusive education and the requisite budget implications fall on regional governments. </w:t>
      </w:r>
    </w:p>
    <w:p w14:paraId="2C33E58E"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Overall, Law No. 8 of 2016 prominently ensures the right to education for children with disabilities, mandating that inclusive and special education mechanisms be integrated into the national education system. The provisions in the education chapter also add that inclusive and special education shall be implemented at all levels, with adequate facilitation, trained professionals and reasonable accommodation, without discrimination and in the best interest of children with disabilities. </w:t>
      </w:r>
    </w:p>
    <w:p w14:paraId="5DFA3C8B"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Policy and Regulations</w:t>
      </w:r>
    </w:p>
    <w:p w14:paraId="63F19708"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1945 Constitution of the Republic of Indonesia has a basic framework regarding the education of its citizens. Article 31 of the Constitution mandates, the state to provide a comprehensive normative framework for a national education system, starting with education as a right. "Every citizen has the right to receive education Article 31 clause (1)." The Constitution obligates the government to finance primary education and to provide for national and regional budgets (1945 Constitution, 2002). </w:t>
      </w:r>
    </w:p>
    <w:p w14:paraId="463BF562"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following laws and regulations are about the right to education, including for persons with disabilities in Indonesia:</w:t>
      </w:r>
    </w:p>
    <w:p w14:paraId="05418486"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Table 3: Policy and Regulations on Education in Indonesia</w:t>
      </w:r>
    </w:p>
    <w:tbl>
      <w:tblPr>
        <w:tblW w:w="8336"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3348"/>
        <w:gridCol w:w="4988"/>
      </w:tblGrid>
      <w:tr w:rsidR="00622BC0" w14:paraId="073377CB" w14:textId="77777777">
        <w:tc>
          <w:tcPr>
            <w:tcW w:w="3348" w:type="dxa"/>
            <w:vMerge w:val="restart"/>
            <w:tcBorders>
              <w:top w:val="single" w:sz="8" w:space="0" w:color="BFBFBF"/>
              <w:left w:val="single" w:sz="8" w:space="0" w:color="BFBFBF"/>
              <w:right w:val="single" w:sz="8" w:space="0" w:color="BFBFBF"/>
            </w:tcBorders>
            <w:shd w:val="clear" w:color="auto" w:fill="auto"/>
            <w:tcMar>
              <w:left w:w="0" w:type="dxa"/>
              <w:right w:w="0" w:type="dxa"/>
            </w:tcMar>
            <w:vAlign w:val="center"/>
          </w:tcPr>
          <w:p w14:paraId="3D85CCF1"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Laws</w:t>
            </w:r>
          </w:p>
        </w:tc>
        <w:tc>
          <w:tcPr>
            <w:tcW w:w="498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5113FF3C"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No. 20 of 2003 on the National Education System</w:t>
            </w:r>
          </w:p>
        </w:tc>
      </w:tr>
      <w:tr w:rsidR="00622BC0" w14:paraId="6D031114" w14:textId="77777777">
        <w:tblPrEx>
          <w:tblBorders>
            <w:top w:val="none" w:sz="0" w:space="0" w:color="auto"/>
          </w:tblBorders>
        </w:tblPrEx>
        <w:tc>
          <w:tcPr>
            <w:tcW w:w="3348" w:type="dxa"/>
            <w:vMerge/>
            <w:tcBorders>
              <w:left w:val="single" w:sz="8" w:space="0" w:color="BFBFBF"/>
              <w:right w:val="single" w:sz="8" w:space="0" w:color="BFBFBF"/>
            </w:tcBorders>
            <w:shd w:val="clear" w:color="auto" w:fill="auto"/>
            <w:tcMar>
              <w:left w:w="0" w:type="dxa"/>
              <w:right w:w="0" w:type="dxa"/>
            </w:tcMar>
            <w:vAlign w:val="center"/>
          </w:tcPr>
          <w:p w14:paraId="5C8755CD" w14:textId="77777777" w:rsidR="00622BC0" w:rsidRDefault="00622BC0">
            <w:pPr>
              <w:widowControl w:val="0"/>
              <w:autoSpaceDE w:val="0"/>
              <w:autoSpaceDN w:val="0"/>
              <w:adjustRightInd w:val="0"/>
              <w:rPr>
                <w:rFonts w:ascii="Cambria" w:hAnsi="Cambria" w:cs="Cambria"/>
                <w:lang w:val="en-GB"/>
              </w:rPr>
            </w:pPr>
          </w:p>
        </w:tc>
        <w:tc>
          <w:tcPr>
            <w:tcW w:w="498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4EF37602"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no. 8 of 2016 on Person with Disabilities</w:t>
            </w:r>
          </w:p>
        </w:tc>
      </w:tr>
      <w:tr w:rsidR="00622BC0" w14:paraId="091BCC2B" w14:textId="77777777">
        <w:tblPrEx>
          <w:tblBorders>
            <w:top w:val="none" w:sz="0" w:space="0" w:color="auto"/>
          </w:tblBorders>
        </w:tblPrEx>
        <w:tc>
          <w:tcPr>
            <w:tcW w:w="3348" w:type="dxa"/>
            <w:vMerge/>
            <w:tcBorders>
              <w:left w:val="single" w:sz="8" w:space="0" w:color="BFBFBF"/>
              <w:bottom w:val="single" w:sz="8" w:space="0" w:color="BFBFBF"/>
              <w:right w:val="single" w:sz="8" w:space="0" w:color="BFBFBF"/>
            </w:tcBorders>
            <w:shd w:val="clear" w:color="auto" w:fill="auto"/>
            <w:tcMar>
              <w:top w:w="0" w:type="dxa"/>
              <w:right w:w="0" w:type="dxa"/>
            </w:tcMar>
            <w:vAlign w:val="center"/>
          </w:tcPr>
          <w:p w14:paraId="29B30AC0" w14:textId="77777777" w:rsidR="00622BC0" w:rsidRDefault="00622BC0">
            <w:pPr>
              <w:widowControl w:val="0"/>
              <w:autoSpaceDE w:val="0"/>
              <w:autoSpaceDN w:val="0"/>
              <w:adjustRightInd w:val="0"/>
              <w:spacing w:line="276" w:lineRule="auto"/>
              <w:ind w:right="-6"/>
              <w:rPr>
                <w:rFonts w:ascii="Cambria" w:hAnsi="Cambria" w:cs="Cambria"/>
                <w:lang w:val="en-GB"/>
              </w:rPr>
            </w:pPr>
          </w:p>
        </w:tc>
        <w:tc>
          <w:tcPr>
            <w:tcW w:w="498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54B04389"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No. 12 of 2012 on Higher Education</w:t>
            </w:r>
          </w:p>
        </w:tc>
      </w:tr>
      <w:tr w:rsidR="00622BC0" w14:paraId="01537B93" w14:textId="77777777">
        <w:tblPrEx>
          <w:tblBorders>
            <w:top w:val="none" w:sz="0" w:space="0" w:color="auto"/>
          </w:tblBorders>
        </w:tblPrEx>
        <w:tc>
          <w:tcPr>
            <w:tcW w:w="3348" w:type="dxa"/>
            <w:vMerge w:val="restart"/>
            <w:tcBorders>
              <w:top w:val="single" w:sz="8" w:space="0" w:color="BFBFBF"/>
              <w:left w:val="single" w:sz="8" w:space="0" w:color="BFBFBF"/>
              <w:right w:val="single" w:sz="8" w:space="0" w:color="BFBFBF"/>
            </w:tcBorders>
            <w:shd w:val="clear" w:color="auto" w:fill="auto"/>
            <w:tcMar>
              <w:left w:w="0" w:type="dxa"/>
              <w:right w:w="0" w:type="dxa"/>
            </w:tcMar>
            <w:vAlign w:val="center"/>
          </w:tcPr>
          <w:p w14:paraId="0A744898"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Regulations</w:t>
            </w:r>
          </w:p>
        </w:tc>
        <w:tc>
          <w:tcPr>
            <w:tcW w:w="498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2A11A0D3"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Regulation of the Minister of Research on Technology and Higher Education, No. 46 of 2017</w:t>
            </w:r>
          </w:p>
        </w:tc>
      </w:tr>
      <w:tr w:rsidR="00622BC0" w14:paraId="4ABAC368" w14:textId="77777777">
        <w:tblPrEx>
          <w:tblBorders>
            <w:top w:val="none" w:sz="0" w:space="0" w:color="auto"/>
          </w:tblBorders>
        </w:tblPrEx>
        <w:tc>
          <w:tcPr>
            <w:tcW w:w="3348" w:type="dxa"/>
            <w:vMerge/>
            <w:tcBorders>
              <w:left w:val="single" w:sz="8" w:space="0" w:color="BFBFBF"/>
              <w:right w:val="single" w:sz="8" w:space="0" w:color="BFBFBF"/>
            </w:tcBorders>
            <w:shd w:val="clear" w:color="auto" w:fill="auto"/>
            <w:tcMar>
              <w:left w:w="0" w:type="dxa"/>
              <w:right w:w="0" w:type="dxa"/>
            </w:tcMar>
            <w:vAlign w:val="center"/>
          </w:tcPr>
          <w:p w14:paraId="7AB85D5D" w14:textId="77777777" w:rsidR="00622BC0" w:rsidRDefault="00622BC0">
            <w:pPr>
              <w:widowControl w:val="0"/>
              <w:autoSpaceDE w:val="0"/>
              <w:autoSpaceDN w:val="0"/>
              <w:adjustRightInd w:val="0"/>
              <w:rPr>
                <w:rFonts w:ascii="Cambria" w:hAnsi="Cambria" w:cs="Cambria"/>
                <w:lang w:val="en-GB"/>
              </w:rPr>
            </w:pPr>
          </w:p>
        </w:tc>
        <w:tc>
          <w:tcPr>
            <w:tcW w:w="498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0DE2A403"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Regulation of the Minister of Education No. 70 of 2009</w:t>
            </w:r>
          </w:p>
        </w:tc>
      </w:tr>
      <w:tr w:rsidR="00622BC0" w14:paraId="4444206F" w14:textId="77777777">
        <w:tblPrEx>
          <w:tblBorders>
            <w:top w:val="none" w:sz="0" w:space="0" w:color="auto"/>
          </w:tblBorders>
        </w:tblPrEx>
        <w:tc>
          <w:tcPr>
            <w:tcW w:w="3348" w:type="dxa"/>
            <w:vMerge/>
            <w:tcBorders>
              <w:left w:val="single" w:sz="8" w:space="0" w:color="BFBFBF"/>
              <w:bottom w:val="single" w:sz="8" w:space="0" w:color="BFBFBF"/>
              <w:right w:val="single" w:sz="8" w:space="0" w:color="BFBFBF"/>
            </w:tcBorders>
            <w:shd w:val="clear" w:color="auto" w:fill="auto"/>
            <w:tcMar>
              <w:top w:w="0" w:type="dxa"/>
              <w:right w:w="0" w:type="dxa"/>
            </w:tcMar>
            <w:vAlign w:val="center"/>
          </w:tcPr>
          <w:p w14:paraId="79E74F15" w14:textId="77777777" w:rsidR="00622BC0" w:rsidRDefault="00622BC0">
            <w:pPr>
              <w:widowControl w:val="0"/>
              <w:autoSpaceDE w:val="0"/>
              <w:autoSpaceDN w:val="0"/>
              <w:adjustRightInd w:val="0"/>
              <w:spacing w:line="276" w:lineRule="auto"/>
              <w:ind w:right="-6"/>
              <w:rPr>
                <w:rFonts w:ascii="Cambria" w:hAnsi="Cambria" w:cs="Cambria"/>
                <w:lang w:val="en-GB"/>
              </w:rPr>
            </w:pPr>
          </w:p>
        </w:tc>
        <w:tc>
          <w:tcPr>
            <w:tcW w:w="498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39D1E4D2"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Regulation of the General Director of Primary and Secondary Education No. 10/D/KR/2017 about Curriculum 13 Special Education Units</w:t>
            </w:r>
          </w:p>
        </w:tc>
      </w:tr>
      <w:tr w:rsidR="00622BC0" w14:paraId="67D6F2D5" w14:textId="77777777">
        <w:tblPrEx>
          <w:tblBorders>
            <w:top w:val="none" w:sz="0" w:space="0" w:color="auto"/>
            <w:bottom w:val="single" w:sz="4" w:space="0" w:color="auto"/>
          </w:tblBorders>
        </w:tblPrEx>
        <w:tc>
          <w:tcPr>
            <w:tcW w:w="334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vAlign w:val="center"/>
          </w:tcPr>
          <w:p w14:paraId="049D1B7E"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National action plan</w:t>
            </w:r>
          </w:p>
        </w:tc>
        <w:tc>
          <w:tcPr>
            <w:tcW w:w="498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1A346A19"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National Human Rights Action Plan 2019-2024</w:t>
            </w:r>
          </w:p>
        </w:tc>
      </w:tr>
    </w:tbl>
    <w:p w14:paraId="3C2EC699" w14:textId="77777777" w:rsidR="00622BC0" w:rsidRDefault="00622BC0">
      <w:pPr>
        <w:widowControl w:val="0"/>
        <w:autoSpaceDE w:val="0"/>
        <w:autoSpaceDN w:val="0"/>
        <w:adjustRightInd w:val="0"/>
        <w:spacing w:after="200"/>
        <w:ind w:right="-6"/>
        <w:jc w:val="both"/>
        <w:rPr>
          <w:rFonts w:ascii="Cambria" w:hAnsi="Cambria" w:cs="Cambria"/>
          <w:lang w:val="en-GB"/>
        </w:rPr>
      </w:pPr>
    </w:p>
    <w:p w14:paraId="6985A0AA"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lastRenderedPageBreak/>
        <w:t>Legally, implementation of an inclusive education system in Indonesia is regulated by Regulation of the Minister of National Education No. 70 of 2009 on Inclusive Education for Disordered Student with Potential Intelligence and Special Talent. However, the 2017 Directorate of Education and Religion of National Planning and Development report revealed “inclusion” is still limited simply to “encouraging” children with special needs to attend the nearest school (</w:t>
      </w:r>
      <w:proofErr w:type="spellStart"/>
      <w:r>
        <w:rPr>
          <w:rFonts w:ascii="Cambria" w:hAnsi="Cambria" w:cs="Cambria"/>
          <w:lang w:val="en-GB"/>
        </w:rPr>
        <w:t>Prapto</w:t>
      </w:r>
      <w:proofErr w:type="spellEnd"/>
      <w:r>
        <w:rPr>
          <w:rFonts w:ascii="Cambria" w:hAnsi="Cambria" w:cs="Cambria"/>
          <w:lang w:val="en-GB"/>
        </w:rPr>
        <w:t xml:space="preserve">, 2017). </w:t>
      </w:r>
    </w:p>
    <w:p w14:paraId="467185BB"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Therefore, the 2019 VNR enumerated essential recommendations for a more proactive implementation of the inclusion requirement; namely,,</w:t>
      </w:r>
    </w:p>
    <w:p w14:paraId="0C2426F6" w14:textId="77777777" w:rsidR="00622BC0" w:rsidRDefault="00826C5A">
      <w:pPr>
        <w:widowControl w:val="0"/>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 xml:space="preserve">1. </w:t>
      </w:r>
      <w:r>
        <w:rPr>
          <w:rFonts w:ascii="Cambria" w:hAnsi="Cambria" w:cs="Cambria"/>
        </w:rPr>
        <w:tab/>
      </w:r>
      <w:r>
        <w:rPr>
          <w:rFonts w:ascii="Cambria" w:hAnsi="Cambria" w:cs="Cambria"/>
          <w:lang w:val="en-GB"/>
        </w:rPr>
        <w:t>Enhance local government capacity and strengthen affirmative policies that support inclusive education;</w:t>
      </w:r>
    </w:p>
    <w:p w14:paraId="61F75E8B" w14:textId="000EDE98" w:rsidR="00622BC0" w:rsidRDefault="00826C5A">
      <w:pPr>
        <w:widowControl w:val="0"/>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2.</w:t>
      </w:r>
      <w:r>
        <w:rPr>
          <w:rFonts w:ascii="Cambria" w:hAnsi="Cambria" w:cs="Cambria"/>
        </w:rPr>
        <w:tab/>
      </w:r>
      <w:r>
        <w:rPr>
          <w:rFonts w:ascii="Cambria" w:hAnsi="Cambria" w:cs="Cambria"/>
          <w:lang w:val="en-GB"/>
        </w:rPr>
        <w:t>Strengthen social advocacy movements and increase the role and participation of OPD</w:t>
      </w:r>
      <w:r w:rsidR="0067025E">
        <w:rPr>
          <w:rFonts w:ascii="Cambria" w:hAnsi="Cambria" w:cs="Cambria"/>
          <w:lang w:val="en-GB"/>
        </w:rPr>
        <w:t>s</w:t>
      </w:r>
      <w:r>
        <w:rPr>
          <w:rFonts w:ascii="Cambria" w:hAnsi="Cambria" w:cs="Cambria"/>
          <w:lang w:val="en-GB"/>
        </w:rPr>
        <w:t>;</w:t>
      </w:r>
    </w:p>
    <w:p w14:paraId="69F2D6A8" w14:textId="77777777" w:rsidR="00622BC0" w:rsidRDefault="00826C5A">
      <w:pPr>
        <w:widowControl w:val="0"/>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 xml:space="preserve">3. </w:t>
      </w:r>
      <w:r>
        <w:rPr>
          <w:rFonts w:ascii="Cambria" w:hAnsi="Cambria" w:cs="Cambria"/>
        </w:rPr>
        <w:tab/>
      </w:r>
      <w:r>
        <w:rPr>
          <w:rFonts w:ascii="Cambria" w:hAnsi="Cambria" w:cs="Cambria"/>
          <w:lang w:val="en-GB"/>
        </w:rPr>
        <w:t>Sensitise the public on the rights of persons with disabilities (VNR Indonesia, 2019).</w:t>
      </w:r>
    </w:p>
    <w:p w14:paraId="2421D4E8"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lang w:val="en-GB"/>
        </w:rPr>
        <w:t>In terms of skills upgrade, the Ministry of Education and Culture is currently designing work competencies for persons with disabilities (</w:t>
      </w:r>
      <w:proofErr w:type="spellStart"/>
      <w:r>
        <w:rPr>
          <w:rFonts w:ascii="Cambria" w:hAnsi="Cambria" w:cs="Cambria"/>
          <w:lang w:val="en-GB"/>
        </w:rPr>
        <w:t>Ngadirin</w:t>
      </w:r>
      <w:proofErr w:type="spellEnd"/>
      <w:r>
        <w:rPr>
          <w:rFonts w:ascii="Cambria" w:hAnsi="Cambria" w:cs="Cambria"/>
          <w:lang w:val="en-GB"/>
        </w:rPr>
        <w:t>, Interview, 2019). This is intended to expand employment opportunities for persons with disabilities as directed by Law No. 8 of 2016. Skills currently being developed encompass the culinary art, fashion, cosmetology/beauty, motorcycle workshops, printing, batik, souvenirs, computers, housekeeping, and landscaping (</w:t>
      </w:r>
      <w:proofErr w:type="spellStart"/>
      <w:r>
        <w:rPr>
          <w:rFonts w:ascii="Cambria" w:hAnsi="Cambria" w:cs="Cambria"/>
          <w:lang w:val="en-GB"/>
        </w:rPr>
        <w:t>Ngadirin</w:t>
      </w:r>
      <w:proofErr w:type="spellEnd"/>
      <w:r>
        <w:rPr>
          <w:rFonts w:ascii="Cambria" w:hAnsi="Cambria" w:cs="Cambria"/>
          <w:lang w:val="en-GB"/>
        </w:rPr>
        <w:t>, Interview, 2019).</w:t>
      </w:r>
    </w:p>
    <w:p w14:paraId="663C5758"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Implementation and Programmes</w:t>
      </w:r>
    </w:p>
    <w:p w14:paraId="02481315"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Efforts to provide quality education for persons with disabilities have been conducted continuously by the central and local governments. There is a wide-spread increase in the number of inclusive and special schools in Indonesia as seen in Figure 1. In 2015, the number of Special Schools for Persons with Disabilities (SLB) was 2,036, increasing to 2,236 schools in 2019. The number of inclusive schools was expanded from 2,610 to 29,315 in 2015 and 2019, respectively (</w:t>
      </w:r>
      <w:proofErr w:type="spellStart"/>
      <w:r>
        <w:rPr>
          <w:rFonts w:ascii="Cambria" w:hAnsi="Cambria" w:cs="Cambria"/>
          <w:lang w:val="en-GB"/>
        </w:rPr>
        <w:t>Ngadirin</w:t>
      </w:r>
      <w:proofErr w:type="spellEnd"/>
      <w:r>
        <w:rPr>
          <w:rFonts w:ascii="Cambria" w:hAnsi="Cambria" w:cs="Cambria"/>
          <w:lang w:val="en-GB"/>
        </w:rPr>
        <w:t>, Interview, 2019).</w:t>
      </w:r>
    </w:p>
    <w:p w14:paraId="2210B23F"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Figure 1 Inclusive and Special Schools in Indonesia from 2015-2019</w:t>
      </w:r>
    </w:p>
    <w:p w14:paraId="1D11E24E" w14:textId="77777777" w:rsidR="00622BC0" w:rsidRDefault="00826C5A">
      <w:pPr>
        <w:widowControl w:val="0"/>
        <w:autoSpaceDE w:val="0"/>
        <w:autoSpaceDN w:val="0"/>
        <w:adjustRightInd w:val="0"/>
        <w:spacing w:after="200"/>
        <w:ind w:right="-6"/>
        <w:jc w:val="center"/>
        <w:rPr>
          <w:rFonts w:ascii="Cambria" w:hAnsi="Cambria" w:cs="Cambria"/>
          <w:lang w:val="en-GB"/>
        </w:rPr>
      </w:pPr>
      <w:r>
        <w:rPr>
          <w:noProof/>
          <w:lang w:val="en-GB"/>
        </w:rPr>
        <w:lastRenderedPageBreak/>
        <w:drawing>
          <wp:inline distT="0" distB="0" distL="114300" distR="114300" wp14:anchorId="30C5C73A" wp14:editId="2E78C49A">
            <wp:extent cx="4411980" cy="2247900"/>
            <wp:effectExtent l="4445" t="4445" r="18415" b="18415"/>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22396FD" w14:textId="77777777" w:rsidR="00622BC0" w:rsidRDefault="00622BC0">
      <w:pPr>
        <w:widowControl w:val="0"/>
        <w:autoSpaceDE w:val="0"/>
        <w:autoSpaceDN w:val="0"/>
        <w:adjustRightInd w:val="0"/>
        <w:spacing w:after="200"/>
        <w:ind w:right="-6"/>
        <w:jc w:val="center"/>
        <w:rPr>
          <w:rFonts w:ascii="Cambria" w:hAnsi="Cambria" w:cs="Cambria"/>
          <w:lang w:val="en-GB"/>
        </w:rPr>
      </w:pPr>
    </w:p>
    <w:p w14:paraId="3A643AC8"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Figure 1 above shows that in only four years, the number of “inclusive” schools significantly shot up, compared to that of “special” schools. This sharp increase is attributed to increased enrolment of students with disabilities in mainstream schools. SLB are schools with dedicated professionals and an education system designed exclusively for student with disabilities. On the other hand, inclusive schools are mainstream schools that adopt the CRPD principles of non-discrimination, equality and full inclusion in their education system for students with disabilities. According to Regulation of the Minister of Education No. 70 of 2009 Article No. 4 (1), district/city governments appoint at least one inclusive school at the sub-district level. However, Article No. 4 (2), adds that non appointed schools </w:t>
      </w:r>
      <w:r>
        <w:rPr>
          <w:rFonts w:ascii="Cambria" w:hAnsi="Cambria" w:cs="Cambria"/>
          <w:i/>
          <w:iCs/>
          <w:lang w:val="en-GB"/>
        </w:rPr>
        <w:t>may</w:t>
      </w:r>
      <w:r>
        <w:rPr>
          <w:rFonts w:ascii="Cambria" w:hAnsi="Cambria" w:cs="Cambria"/>
          <w:lang w:val="en-GB"/>
        </w:rPr>
        <w:t xml:space="preserve"> admit students with disabilities. In other words, the regulation does not provide an administrative mechanism to a non-appointed school that admits students with disabilities. As a result, the parameter of inclusive education is restricted to the admission of a student with disabilities in specific, appointed school.</w:t>
      </w:r>
    </w:p>
    <w:p w14:paraId="322FE073"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It is noteworthy, too, that sustained evaluation is till necessary to oversee the implementation of inclusive education in the appointed public/mainstream schools to ensure that they are in fact accessible and provide quality education to all students, including those with disabilities. </w:t>
      </w:r>
    </w:p>
    <w:p w14:paraId="71C274CA" w14:textId="77777777" w:rsidR="00622BC0" w:rsidRPr="002163D6" w:rsidRDefault="00826C5A">
      <w:pPr>
        <w:widowControl w:val="0"/>
        <w:autoSpaceDE w:val="0"/>
        <w:autoSpaceDN w:val="0"/>
        <w:adjustRightInd w:val="0"/>
        <w:spacing w:after="200"/>
        <w:ind w:right="-6"/>
        <w:jc w:val="both"/>
        <w:rPr>
          <w:rFonts w:ascii="Cambria" w:hAnsi="Cambria" w:cs="Cambria"/>
          <w:i/>
          <w:iCs/>
          <w:lang w:val="en-GB"/>
        </w:rPr>
      </w:pPr>
      <w:r>
        <w:rPr>
          <w:rFonts w:ascii="Cambria" w:hAnsi="Cambria" w:cs="Cambria"/>
          <w:lang w:val="en-GB"/>
        </w:rPr>
        <w:t xml:space="preserve">Various programmes to increase access to education for persons with disabilities continue to be conducted, both on “inclusive” and “special” schools (with the result that access to education for children with disabilities increased by 34% from 2015 to 2019). The following </w:t>
      </w:r>
      <w:r w:rsidRPr="002163D6">
        <w:rPr>
          <w:rFonts w:ascii="Cambria" w:hAnsi="Cambria" w:cs="Cambria"/>
          <w:lang w:val="en-GB"/>
        </w:rPr>
        <w:t>are some programmes currently underway (Interview Verbatim Documents, 2019):</w:t>
      </w:r>
    </w:p>
    <w:p w14:paraId="5233FF35" w14:textId="77777777" w:rsidR="00622BC0" w:rsidRPr="002163D6" w:rsidRDefault="00826C5A">
      <w:pPr>
        <w:pStyle w:val="ListParagraph"/>
        <w:widowControl w:val="0"/>
        <w:numPr>
          <w:ilvl w:val="0"/>
          <w:numId w:val="9"/>
        </w:numPr>
        <w:autoSpaceDE w:val="0"/>
        <w:autoSpaceDN w:val="0"/>
        <w:adjustRightInd w:val="0"/>
        <w:spacing w:after="200"/>
        <w:ind w:right="-6"/>
        <w:jc w:val="both"/>
        <w:rPr>
          <w:rFonts w:ascii="Cambria" w:hAnsi="Cambria" w:cs="Cambria"/>
          <w:sz w:val="24"/>
          <w:szCs w:val="24"/>
          <w:lang w:val="en-GB"/>
        </w:rPr>
      </w:pPr>
      <w:r w:rsidRPr="002163D6">
        <w:rPr>
          <w:rFonts w:ascii="Cambria" w:hAnsi="Cambria" w:cs="Cambria"/>
          <w:sz w:val="24"/>
          <w:szCs w:val="24"/>
          <w:lang w:val="en-GB"/>
        </w:rPr>
        <w:t>As part of the effort to popularize inclusive education, the central government through the Ministry of Education and Culture in 2018-2019 provided some grants to 400 schools to facilitate inclusion.</w:t>
      </w:r>
    </w:p>
    <w:p w14:paraId="019BCD0B" w14:textId="77777777" w:rsidR="00622BC0" w:rsidRDefault="00826C5A">
      <w:pPr>
        <w:pStyle w:val="ListParagraph"/>
        <w:widowControl w:val="0"/>
        <w:numPr>
          <w:ilvl w:val="0"/>
          <w:numId w:val="9"/>
        </w:numPr>
        <w:autoSpaceDE w:val="0"/>
        <w:autoSpaceDN w:val="0"/>
        <w:adjustRightInd w:val="0"/>
        <w:spacing w:after="200"/>
        <w:ind w:right="-6"/>
        <w:jc w:val="both"/>
        <w:rPr>
          <w:rFonts w:ascii="Cambria" w:hAnsi="Cambria" w:cs="Cambria"/>
          <w:sz w:val="24"/>
          <w:szCs w:val="24"/>
          <w:lang w:val="en-GB"/>
        </w:rPr>
      </w:pPr>
      <w:r w:rsidRPr="002163D6">
        <w:rPr>
          <w:rFonts w:ascii="Cambria" w:hAnsi="Cambria" w:cs="Cambria"/>
          <w:sz w:val="24"/>
          <w:szCs w:val="24"/>
          <w:lang w:val="en-GB"/>
        </w:rPr>
        <w:t>The Ministry of Education and Culture and Ministry of Religious Affairs with support from the Australian Government have been</w:t>
      </w:r>
      <w:r>
        <w:rPr>
          <w:rFonts w:ascii="Cambria" w:hAnsi="Cambria" w:cs="Cambria"/>
          <w:sz w:val="24"/>
          <w:szCs w:val="24"/>
          <w:lang w:val="en-GB"/>
        </w:rPr>
        <w:t xml:space="preserve"> developing an </w:t>
      </w:r>
      <w:r>
        <w:rPr>
          <w:rFonts w:ascii="Cambria" w:hAnsi="Cambria" w:cs="Cambria"/>
          <w:sz w:val="24"/>
          <w:szCs w:val="24"/>
          <w:lang w:val="en-GB"/>
        </w:rPr>
        <w:lastRenderedPageBreak/>
        <w:t xml:space="preserve">instrument that profiles student learning outcomes, as a tool for teachers to identify and assess their students. This project will also populate students with disabilities’ data into </w:t>
      </w:r>
      <w:proofErr w:type="spellStart"/>
      <w:r>
        <w:rPr>
          <w:rFonts w:ascii="Cambria" w:hAnsi="Cambria" w:cs="Cambria"/>
          <w:sz w:val="24"/>
          <w:szCs w:val="24"/>
          <w:lang w:val="en-GB"/>
        </w:rPr>
        <w:t>Dapodik</w:t>
      </w:r>
      <w:proofErr w:type="spellEnd"/>
      <w:r>
        <w:rPr>
          <w:rFonts w:ascii="Cambria" w:hAnsi="Cambria" w:cs="Cambria"/>
          <w:sz w:val="24"/>
          <w:szCs w:val="24"/>
          <w:lang w:val="en-GB"/>
        </w:rPr>
        <w:t>, the Basic Education database, in order to better serve their needs. The data collection was to begin in October 2019 by the Directorate of Teachers of Secondary and Special Education Development, Directorate of Special Education Development, INOVASI Programme, and Technical Assistant for Education System Strengthening (TASS) under the Australia–Indonesia Partnership Programme.</w:t>
      </w:r>
    </w:p>
    <w:p w14:paraId="5115E068" w14:textId="77777777" w:rsidR="00622BC0" w:rsidRPr="002163D6" w:rsidRDefault="00826C5A">
      <w:pPr>
        <w:pStyle w:val="ListParagraph"/>
        <w:widowControl w:val="0"/>
        <w:numPr>
          <w:ilvl w:val="0"/>
          <w:numId w:val="9"/>
        </w:numPr>
        <w:autoSpaceDE w:val="0"/>
        <w:autoSpaceDN w:val="0"/>
        <w:adjustRightInd w:val="0"/>
        <w:spacing w:after="200"/>
        <w:ind w:right="-6"/>
        <w:jc w:val="both"/>
        <w:rPr>
          <w:rFonts w:ascii="Cambria" w:hAnsi="Cambria" w:cs="Cambria"/>
          <w:sz w:val="24"/>
          <w:szCs w:val="24"/>
          <w:lang w:val="en-GB"/>
        </w:rPr>
      </w:pPr>
      <w:r>
        <w:rPr>
          <w:rFonts w:ascii="Cambria" w:hAnsi="Cambria" w:cs="Cambria"/>
          <w:sz w:val="24"/>
          <w:szCs w:val="24"/>
          <w:lang w:val="en-GB"/>
        </w:rPr>
        <w:t xml:space="preserve">The Ministry of Education </w:t>
      </w:r>
      <w:r w:rsidRPr="002163D6">
        <w:rPr>
          <w:rFonts w:ascii="Cambria" w:hAnsi="Cambria" w:cs="Cambria"/>
          <w:sz w:val="24"/>
          <w:szCs w:val="24"/>
          <w:lang w:val="en-GB"/>
        </w:rPr>
        <w:t>and Culture also provides some activities for the students with disabilities (e.g. the literacy festival, national “Olympic” sports and innovation and entrepreneurship festival) to provide opportunities for them to showcase their skills and talents. These activities are conducted at district, provincial and national levels.</w:t>
      </w:r>
    </w:p>
    <w:p w14:paraId="4F4EE593" w14:textId="77777777" w:rsidR="00622BC0" w:rsidRDefault="00826C5A">
      <w:pPr>
        <w:pStyle w:val="ListParagraph"/>
        <w:widowControl w:val="0"/>
        <w:numPr>
          <w:ilvl w:val="0"/>
          <w:numId w:val="9"/>
        </w:numPr>
        <w:autoSpaceDE w:val="0"/>
        <w:autoSpaceDN w:val="0"/>
        <w:adjustRightInd w:val="0"/>
        <w:spacing w:after="200"/>
        <w:ind w:right="-6"/>
        <w:jc w:val="both"/>
        <w:rPr>
          <w:rFonts w:ascii="Cambria" w:hAnsi="Cambria" w:cs="Cambria"/>
          <w:sz w:val="24"/>
          <w:szCs w:val="24"/>
          <w:lang w:val="en-GB"/>
        </w:rPr>
      </w:pPr>
      <w:r w:rsidRPr="002163D6">
        <w:rPr>
          <w:rFonts w:ascii="Cambria" w:hAnsi="Cambria" w:cs="Cambria"/>
          <w:sz w:val="24"/>
          <w:szCs w:val="24"/>
          <w:lang w:val="en-GB"/>
        </w:rPr>
        <w:t>The Ministry of Technology and Higher</w:t>
      </w:r>
      <w:r>
        <w:rPr>
          <w:rFonts w:ascii="Cambria" w:hAnsi="Cambria" w:cs="Cambria"/>
          <w:sz w:val="24"/>
          <w:szCs w:val="24"/>
          <w:lang w:val="en-GB"/>
        </w:rPr>
        <w:t xml:space="preserve"> Education Research has published a Guide to Disability Student Services in Higher Education at Higher Education Institutions. This guide was published as a commitment by the government to strengthen access and acceptability of persons with disabilities into higher education institutions. The handbook aims to aid tertiary institutions to provide special environments and services for students with disabilities, particularly to enhance their access to administrative, academic and student affairs (the Disability Student Services Guide in Higher Education).</w:t>
      </w:r>
    </w:p>
    <w:p w14:paraId="20CA1E02"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According to data obtained by the Directorate of Schooling in the Ministry of Higher Education and Research, only 401 students with disabilities in Indonesia are enrolled in the country’s 152 universities (Guide to Disability Student Services in Higher Education, 2018). This number is far smaller than the number of students with disabilities attending primary and secondary education, revealing a significant gap in transitioning upwards, which should be investigated and remedied.</w:t>
      </w:r>
    </w:p>
    <w:p w14:paraId="04EDF1E5" w14:textId="557E15AE"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Participation of Civil Society and OPD</w:t>
      </w:r>
      <w:r w:rsidR="0067025E">
        <w:rPr>
          <w:rFonts w:ascii="Cambria" w:hAnsi="Cambria" w:cs="Cambria"/>
          <w:b/>
          <w:bCs/>
          <w:lang w:val="en-GB"/>
        </w:rPr>
        <w:t>s</w:t>
      </w:r>
    </w:p>
    <w:p w14:paraId="37659663" w14:textId="205EE258"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Few but notable instances are reported where Indonesian OPD</w:t>
      </w:r>
      <w:r w:rsidR="0067025E">
        <w:rPr>
          <w:rFonts w:ascii="Cambria" w:hAnsi="Cambria" w:cs="Cambria"/>
          <w:lang w:val="en-GB"/>
        </w:rPr>
        <w:t>s</w:t>
      </w:r>
      <w:r>
        <w:rPr>
          <w:rFonts w:ascii="Cambria" w:hAnsi="Cambria" w:cs="Cambria"/>
          <w:lang w:val="en-GB"/>
        </w:rPr>
        <w:t xml:space="preserve"> have made significant contributions in implementing inclusive learning, from primary to higher education. In this regard, one pivotal enabler was a Memorandum of Understanding between the Ministry of Education and Culture and the Indonesian Blind People Association (PERTUNI), No. 6/V/MK/2012 dated May 2, 2012. A notable outcome is that this OPD</w:t>
      </w:r>
      <w:r w:rsidR="0067025E">
        <w:rPr>
          <w:rFonts w:ascii="Cambria" w:hAnsi="Cambria" w:cs="Cambria"/>
          <w:lang w:val="en-GB"/>
        </w:rPr>
        <w:t>s</w:t>
      </w:r>
      <w:r>
        <w:rPr>
          <w:rFonts w:ascii="Cambria" w:hAnsi="Cambria" w:cs="Cambria"/>
          <w:lang w:val="en-GB"/>
        </w:rPr>
        <w:t xml:space="preserve"> would extensively oversee government policy formulation on the implementation of Law No. 8 of 2016, specifically regarding appropriate accommodations for persons with disabilities in the education sector.</w:t>
      </w:r>
    </w:p>
    <w:p w14:paraId="4F4736A5" w14:textId="731E09BB"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One of the essential things to establish on proper accommodation for persons with disabilities is a Disability Service Unit (ULD). The ULD has an essential and strategic role in educating, monitoring and evaluating the implementation of inclusive education from primary to higher education. Among the OPD</w:t>
      </w:r>
      <w:r w:rsidR="0067025E">
        <w:rPr>
          <w:rFonts w:ascii="Cambria" w:hAnsi="Cambria" w:cs="Cambria"/>
          <w:lang w:val="en-GB"/>
        </w:rPr>
        <w:t>s</w:t>
      </w:r>
      <w:r>
        <w:rPr>
          <w:rFonts w:ascii="Cambria" w:hAnsi="Cambria" w:cs="Cambria"/>
          <w:lang w:val="en-GB"/>
        </w:rPr>
        <w:t xml:space="preserve"> that </w:t>
      </w:r>
      <w:r>
        <w:rPr>
          <w:rFonts w:ascii="Cambria" w:hAnsi="Cambria" w:cs="Cambria"/>
          <w:lang w:val="en-GB"/>
        </w:rPr>
        <w:lastRenderedPageBreak/>
        <w:t xml:space="preserve">provided a firm statement on the existence of ULD in the education system is the Association of Mental Health (PJS). </w:t>
      </w:r>
    </w:p>
    <w:p w14:paraId="7A083A3E"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PJS affirms that of the various disability types, persons with intellectual disabilities most urgently need the support of disability service institutions in the education system, especially in higher education. In other words, many intellectual disabilities occur in late adolescence – and more among men than women (Damayanti, Interview, 2019). Thus, intellectual disability often occurs towards the end of basic education; therefore, it is critical that proper accommodation for high school students with intellectual disabilities is implemented.</w:t>
      </w:r>
    </w:p>
    <w:p w14:paraId="3353C141" w14:textId="62683AE0" w:rsidR="00622BC0" w:rsidRDefault="00826C5A">
      <w:pPr>
        <w:widowControl w:val="0"/>
        <w:autoSpaceDE w:val="0"/>
        <w:autoSpaceDN w:val="0"/>
        <w:adjustRightInd w:val="0"/>
        <w:spacing w:after="200"/>
        <w:ind w:right="-6"/>
        <w:jc w:val="both"/>
        <w:rPr>
          <w:rFonts w:ascii="Calibri" w:hAnsi="Calibri" w:cs="Calibri"/>
          <w:lang w:val="en-GB"/>
        </w:rPr>
      </w:pPr>
      <w:r>
        <w:rPr>
          <w:rFonts w:ascii="Cambria" w:hAnsi="Cambria" w:cs="Cambria"/>
          <w:lang w:val="en-GB"/>
        </w:rPr>
        <w:t>The participation of employees with disabilities is an important policy consideration in the Ministry of Education and Culture (</w:t>
      </w:r>
      <w:proofErr w:type="spellStart"/>
      <w:r>
        <w:rPr>
          <w:rFonts w:ascii="Cambria" w:hAnsi="Cambria" w:cs="Cambria"/>
          <w:lang w:val="en-GB"/>
        </w:rPr>
        <w:t>Ngadirin</w:t>
      </w:r>
      <w:proofErr w:type="spellEnd"/>
      <w:r>
        <w:rPr>
          <w:rFonts w:ascii="Cambria" w:hAnsi="Cambria" w:cs="Cambria"/>
          <w:lang w:val="en-GB"/>
        </w:rPr>
        <w:t>, Interview, 2019). Thus, it is understood that OPD</w:t>
      </w:r>
      <w:r w:rsidR="0067025E">
        <w:rPr>
          <w:rFonts w:ascii="Cambria" w:hAnsi="Cambria" w:cs="Cambria"/>
          <w:lang w:val="en-GB"/>
        </w:rPr>
        <w:t>s</w:t>
      </w:r>
      <w:r>
        <w:rPr>
          <w:rFonts w:ascii="Cambria" w:hAnsi="Cambria" w:cs="Cambria"/>
          <w:lang w:val="en-GB"/>
        </w:rPr>
        <w:t xml:space="preserve"> and persons with disabilities play a significant role in the politics of public policy and law.</w:t>
      </w:r>
    </w:p>
    <w:p w14:paraId="2F299C7A" w14:textId="77777777" w:rsidR="00622BC0" w:rsidRPr="002163D6"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Considering that Law No. 8 of 2016 is an amendment to Law No. 20 of 2003 on the National Education System that was enacted before the adoption of the CRPD and SDGs, it is necessary for Indonesia to reassess and make the necessary adjustments to its national education system. Yes, the main provisions on right to education in Law No. 8 of 2016 are complete, as stipulated by CRPD. However, implementation at community level has proved exceedingly difficult due to barriers such as lack of political will, defective plans, inadequate budgets, social stigma and discrimination, and man</w:t>
      </w:r>
      <w:r w:rsidRPr="002163D6">
        <w:rPr>
          <w:rFonts w:ascii="Cambria" w:hAnsi="Cambria" w:cs="Cambria"/>
          <w:lang w:val="en-GB"/>
        </w:rPr>
        <w:t>y other factors. More importantly, the essence of the CRPD and Law No. 8 of 2016 should be harmonised and aligned with inclusive laws and related regulations, so that the implementing legal framework is properly aligned fully propel the realisation of CRPD Article 24 on right to education.</w:t>
      </w:r>
    </w:p>
    <w:p w14:paraId="633020FB" w14:textId="77777777" w:rsidR="00622BC0" w:rsidRPr="002163D6" w:rsidRDefault="00826C5A">
      <w:pPr>
        <w:widowControl w:val="0"/>
        <w:autoSpaceDE w:val="0"/>
        <w:autoSpaceDN w:val="0"/>
        <w:adjustRightInd w:val="0"/>
        <w:spacing w:after="200"/>
        <w:ind w:right="-6"/>
        <w:jc w:val="both"/>
        <w:rPr>
          <w:rFonts w:ascii="Cambria" w:hAnsi="Cambria" w:cs="Cambria"/>
          <w:lang w:val="en-GB"/>
        </w:rPr>
      </w:pPr>
      <w:r w:rsidRPr="002163D6">
        <w:rPr>
          <w:rFonts w:ascii="Cambria" w:hAnsi="Cambria" w:cs="Cambria"/>
          <w:lang w:val="en-GB"/>
        </w:rPr>
        <w:t xml:space="preserve"> </w:t>
      </w:r>
    </w:p>
    <w:p w14:paraId="486E1752" w14:textId="77777777" w:rsidR="00622BC0" w:rsidRPr="002163D6" w:rsidRDefault="00826C5A">
      <w:pPr>
        <w:widowControl w:val="0"/>
        <w:numPr>
          <w:ilvl w:val="0"/>
          <w:numId w:val="5"/>
        </w:numPr>
        <w:autoSpaceDE w:val="0"/>
        <w:autoSpaceDN w:val="0"/>
        <w:adjustRightInd w:val="0"/>
        <w:spacing w:after="200"/>
        <w:ind w:left="0" w:right="-6" w:firstLine="0"/>
        <w:rPr>
          <w:rFonts w:ascii="Cambria" w:hAnsi="Cambria" w:cs="Cambria"/>
          <w:b/>
          <w:bCs/>
          <w:lang w:val="en-GB"/>
        </w:rPr>
      </w:pPr>
      <w:r w:rsidRPr="002163D6">
        <w:rPr>
          <w:rFonts w:ascii="Cambria" w:hAnsi="Cambria" w:cs="Cambria"/>
          <w:b/>
          <w:bCs/>
          <w:lang w:val="en-GB"/>
        </w:rPr>
        <w:t>SDG Goal 5 - Gender Equality</w:t>
      </w:r>
    </w:p>
    <w:p w14:paraId="42819256" w14:textId="77777777" w:rsidR="00622BC0" w:rsidRPr="002163D6" w:rsidRDefault="00826C5A">
      <w:pPr>
        <w:widowControl w:val="0"/>
        <w:autoSpaceDE w:val="0"/>
        <w:autoSpaceDN w:val="0"/>
        <w:adjustRightInd w:val="0"/>
        <w:spacing w:after="200"/>
        <w:ind w:right="-6"/>
        <w:jc w:val="both"/>
        <w:rPr>
          <w:rFonts w:ascii="Cambria" w:hAnsi="Cambria" w:cs="Cambria"/>
          <w:lang w:val="en-GB"/>
        </w:rPr>
      </w:pPr>
      <w:r w:rsidRPr="002163D6">
        <w:rPr>
          <w:rFonts w:ascii="Cambria" w:hAnsi="Cambria" w:cs="Cambria"/>
          <w:b/>
          <w:bCs/>
          <w:lang w:val="en-GB"/>
        </w:rPr>
        <w:t>Policy and Regulations</w:t>
      </w:r>
    </w:p>
    <w:p w14:paraId="7FD7B625" w14:textId="77777777" w:rsidR="00622BC0" w:rsidRPr="002163D6" w:rsidRDefault="00826C5A">
      <w:pPr>
        <w:widowControl w:val="0"/>
        <w:autoSpaceDE w:val="0"/>
        <w:autoSpaceDN w:val="0"/>
        <w:adjustRightInd w:val="0"/>
        <w:spacing w:after="200"/>
        <w:ind w:right="-6"/>
        <w:jc w:val="both"/>
        <w:rPr>
          <w:rFonts w:ascii="Cambria" w:hAnsi="Cambria" w:cs="Cambria"/>
          <w:lang w:val="en-GB"/>
        </w:rPr>
      </w:pPr>
      <w:r w:rsidRPr="002163D6">
        <w:rPr>
          <w:rFonts w:ascii="Cambria" w:hAnsi="Cambria" w:cs="Cambria"/>
          <w:lang w:val="en-GB"/>
        </w:rPr>
        <w:t>Indonesia's national policy on gender mainstreaming is regulated by the Presidential Instruction No. 9 of 2000. However, the policy needs substantive revision, particularly to address the issues of persons with disabilities and other vulnerable groups (</w:t>
      </w:r>
      <w:proofErr w:type="spellStart"/>
      <w:r w:rsidRPr="002163D6">
        <w:rPr>
          <w:rFonts w:ascii="Cambria" w:hAnsi="Cambria" w:cs="Cambria"/>
          <w:lang w:val="en-GB"/>
        </w:rPr>
        <w:t>Raharjo</w:t>
      </w:r>
      <w:proofErr w:type="spellEnd"/>
      <w:r w:rsidRPr="002163D6">
        <w:rPr>
          <w:rFonts w:ascii="Cambria" w:hAnsi="Cambria" w:cs="Cambria"/>
          <w:lang w:val="en-GB"/>
        </w:rPr>
        <w:t>, The Workshop of Gender Violence Draft Bill, 2019). For many years, a gender equality bill remains in the drafting stage. The following regulations are the legal tools in place on gender equality for people with disabilities, majority of which are not CRPD compliant:</w:t>
      </w:r>
    </w:p>
    <w:p w14:paraId="11739F88" w14:textId="77777777" w:rsidR="00622BC0" w:rsidRPr="002163D6" w:rsidRDefault="00826C5A">
      <w:pPr>
        <w:widowControl w:val="0"/>
        <w:autoSpaceDE w:val="0"/>
        <w:autoSpaceDN w:val="0"/>
        <w:adjustRightInd w:val="0"/>
        <w:spacing w:after="200"/>
        <w:ind w:right="-6"/>
        <w:jc w:val="center"/>
        <w:rPr>
          <w:rFonts w:ascii="Cambria" w:hAnsi="Cambria" w:cs="Cambria"/>
          <w:lang w:val="en-GB"/>
        </w:rPr>
      </w:pPr>
      <w:r w:rsidRPr="002163D6">
        <w:rPr>
          <w:rFonts w:ascii="Cambria" w:hAnsi="Cambria" w:cs="Cambria"/>
          <w:lang w:val="en-GB"/>
        </w:rPr>
        <w:t>Table 4 Policy and Regulations on Gender Equality in Indonesia</w:t>
      </w:r>
    </w:p>
    <w:tbl>
      <w:tblPr>
        <w:tblW w:w="8522"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3401"/>
        <w:gridCol w:w="5121"/>
      </w:tblGrid>
      <w:tr w:rsidR="00622BC0" w:rsidRPr="002163D6" w14:paraId="5BB92873" w14:textId="77777777">
        <w:tc>
          <w:tcPr>
            <w:tcW w:w="3401" w:type="dxa"/>
            <w:vMerge w:val="restart"/>
            <w:tcBorders>
              <w:top w:val="single" w:sz="8" w:space="0" w:color="BFBFBF"/>
              <w:left w:val="single" w:sz="8" w:space="0" w:color="BFBFBF"/>
              <w:right w:val="single" w:sz="8" w:space="0" w:color="BFBFBF"/>
            </w:tcBorders>
            <w:shd w:val="clear" w:color="auto" w:fill="auto"/>
            <w:tcMar>
              <w:left w:w="0" w:type="dxa"/>
              <w:right w:w="0" w:type="dxa"/>
            </w:tcMar>
            <w:vAlign w:val="center"/>
          </w:tcPr>
          <w:p w14:paraId="1BBBE213" w14:textId="77777777" w:rsidR="00622BC0" w:rsidRPr="002163D6" w:rsidRDefault="00826C5A">
            <w:pPr>
              <w:widowControl w:val="0"/>
              <w:autoSpaceDE w:val="0"/>
              <w:autoSpaceDN w:val="0"/>
              <w:adjustRightInd w:val="0"/>
              <w:spacing w:after="200"/>
              <w:ind w:right="-6"/>
              <w:jc w:val="center"/>
              <w:rPr>
                <w:rFonts w:ascii="Cambria" w:hAnsi="Cambria" w:cs="Cambria"/>
                <w:lang w:val="en-GB"/>
              </w:rPr>
            </w:pPr>
            <w:r w:rsidRPr="002163D6">
              <w:rPr>
                <w:rFonts w:ascii="Cambria" w:hAnsi="Cambria" w:cs="Cambria"/>
                <w:lang w:val="en-GB"/>
              </w:rPr>
              <w:t>Laws</w:t>
            </w:r>
          </w:p>
        </w:tc>
        <w:tc>
          <w:tcPr>
            <w:tcW w:w="5121"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11DCB930" w14:textId="77777777" w:rsidR="00622BC0" w:rsidRPr="002163D6" w:rsidRDefault="00826C5A">
            <w:pPr>
              <w:widowControl w:val="0"/>
              <w:autoSpaceDE w:val="0"/>
              <w:autoSpaceDN w:val="0"/>
              <w:adjustRightInd w:val="0"/>
              <w:spacing w:after="200"/>
              <w:ind w:right="-6"/>
              <w:jc w:val="both"/>
              <w:rPr>
                <w:rFonts w:ascii="Cambria" w:hAnsi="Cambria" w:cs="Cambria"/>
                <w:lang w:val="en-GB"/>
              </w:rPr>
            </w:pPr>
            <w:r w:rsidRPr="002163D6">
              <w:rPr>
                <w:rFonts w:ascii="Cambria" w:hAnsi="Cambria" w:cs="Cambria"/>
                <w:lang w:val="en-GB"/>
              </w:rPr>
              <w:t>Law No. 1 of 1974 on Marriage</w:t>
            </w:r>
          </w:p>
        </w:tc>
      </w:tr>
      <w:tr w:rsidR="00622BC0" w:rsidRPr="002163D6" w14:paraId="10BC5483" w14:textId="77777777">
        <w:tblPrEx>
          <w:tblBorders>
            <w:top w:val="none" w:sz="0" w:space="0" w:color="auto"/>
          </w:tblBorders>
        </w:tblPrEx>
        <w:tc>
          <w:tcPr>
            <w:tcW w:w="3401" w:type="dxa"/>
            <w:vMerge/>
            <w:tcBorders>
              <w:left w:val="single" w:sz="8" w:space="0" w:color="BFBFBF"/>
              <w:right w:val="single" w:sz="8" w:space="0" w:color="BFBFBF"/>
            </w:tcBorders>
            <w:shd w:val="clear" w:color="auto" w:fill="auto"/>
            <w:tcMar>
              <w:left w:w="0" w:type="dxa"/>
              <w:right w:w="0" w:type="dxa"/>
            </w:tcMar>
            <w:vAlign w:val="center"/>
          </w:tcPr>
          <w:p w14:paraId="69519E97" w14:textId="77777777" w:rsidR="00622BC0" w:rsidRPr="002163D6" w:rsidRDefault="00622BC0">
            <w:pPr>
              <w:widowControl w:val="0"/>
              <w:autoSpaceDE w:val="0"/>
              <w:autoSpaceDN w:val="0"/>
              <w:adjustRightInd w:val="0"/>
              <w:rPr>
                <w:rFonts w:ascii="Cambria" w:hAnsi="Cambria" w:cs="Cambria"/>
                <w:lang w:val="en-GB"/>
              </w:rPr>
            </w:pPr>
          </w:p>
        </w:tc>
        <w:tc>
          <w:tcPr>
            <w:tcW w:w="5121"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7B3DE663" w14:textId="77777777" w:rsidR="00622BC0" w:rsidRPr="002163D6" w:rsidRDefault="00826C5A">
            <w:pPr>
              <w:widowControl w:val="0"/>
              <w:autoSpaceDE w:val="0"/>
              <w:autoSpaceDN w:val="0"/>
              <w:adjustRightInd w:val="0"/>
              <w:spacing w:after="200"/>
              <w:ind w:right="-6"/>
              <w:jc w:val="both"/>
              <w:rPr>
                <w:rFonts w:ascii="Cambria" w:hAnsi="Cambria" w:cs="Cambria"/>
                <w:lang w:val="en-GB"/>
              </w:rPr>
            </w:pPr>
            <w:r w:rsidRPr="002163D6">
              <w:rPr>
                <w:rFonts w:ascii="Cambria" w:hAnsi="Cambria" w:cs="Cambria"/>
                <w:lang w:val="en-GB"/>
              </w:rPr>
              <w:t>Law No. 8 of 2016 on Persons with Disabilities</w:t>
            </w:r>
          </w:p>
        </w:tc>
      </w:tr>
      <w:tr w:rsidR="00622BC0" w:rsidRPr="002163D6" w14:paraId="16CD21D9" w14:textId="77777777">
        <w:tblPrEx>
          <w:tblBorders>
            <w:top w:val="none" w:sz="0" w:space="0" w:color="auto"/>
          </w:tblBorders>
        </w:tblPrEx>
        <w:tc>
          <w:tcPr>
            <w:tcW w:w="3401" w:type="dxa"/>
            <w:vMerge/>
            <w:tcBorders>
              <w:left w:val="single" w:sz="8" w:space="0" w:color="BFBFBF"/>
              <w:right w:val="single" w:sz="8" w:space="0" w:color="BFBFBF"/>
            </w:tcBorders>
            <w:shd w:val="clear" w:color="auto" w:fill="auto"/>
            <w:tcMar>
              <w:top w:w="0" w:type="dxa"/>
              <w:right w:w="0" w:type="dxa"/>
            </w:tcMar>
            <w:vAlign w:val="center"/>
          </w:tcPr>
          <w:p w14:paraId="2402D279" w14:textId="77777777" w:rsidR="00622BC0" w:rsidRPr="002163D6" w:rsidRDefault="00622BC0">
            <w:pPr>
              <w:widowControl w:val="0"/>
              <w:autoSpaceDE w:val="0"/>
              <w:autoSpaceDN w:val="0"/>
              <w:adjustRightInd w:val="0"/>
              <w:spacing w:line="276" w:lineRule="auto"/>
              <w:ind w:right="-6"/>
              <w:rPr>
                <w:rFonts w:ascii="Cambria" w:hAnsi="Cambria" w:cs="Cambria"/>
                <w:lang w:val="en-GB"/>
              </w:rPr>
            </w:pPr>
          </w:p>
        </w:tc>
        <w:tc>
          <w:tcPr>
            <w:tcW w:w="5121"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1B513E3B" w14:textId="77777777" w:rsidR="00622BC0" w:rsidRPr="002163D6" w:rsidRDefault="00826C5A">
            <w:pPr>
              <w:widowControl w:val="0"/>
              <w:autoSpaceDE w:val="0"/>
              <w:autoSpaceDN w:val="0"/>
              <w:adjustRightInd w:val="0"/>
              <w:spacing w:after="200"/>
              <w:ind w:right="-6"/>
              <w:jc w:val="both"/>
              <w:rPr>
                <w:rFonts w:ascii="Cambria" w:hAnsi="Cambria" w:cs="Cambria"/>
                <w:lang w:val="en-GB"/>
              </w:rPr>
            </w:pPr>
            <w:r w:rsidRPr="002163D6">
              <w:rPr>
                <w:rFonts w:ascii="Cambria" w:hAnsi="Cambria" w:cs="Cambria"/>
                <w:lang w:val="en-GB"/>
              </w:rPr>
              <w:t>Law No. 23 of 2004 on the Elimination of Domestic Violence</w:t>
            </w:r>
          </w:p>
        </w:tc>
      </w:tr>
      <w:tr w:rsidR="00622BC0" w:rsidRPr="002163D6" w14:paraId="42CE65FA" w14:textId="77777777">
        <w:tblPrEx>
          <w:tblBorders>
            <w:top w:val="none" w:sz="0" w:space="0" w:color="auto"/>
          </w:tblBorders>
        </w:tblPrEx>
        <w:tc>
          <w:tcPr>
            <w:tcW w:w="3401" w:type="dxa"/>
            <w:vMerge/>
            <w:tcBorders>
              <w:left w:val="single" w:sz="8" w:space="0" w:color="BFBFBF"/>
              <w:bottom w:val="single" w:sz="8" w:space="0" w:color="BFBFBF"/>
              <w:right w:val="single" w:sz="8" w:space="0" w:color="BFBFBF"/>
            </w:tcBorders>
            <w:shd w:val="clear" w:color="auto" w:fill="auto"/>
            <w:tcMar>
              <w:top w:w="0" w:type="dxa"/>
              <w:right w:w="0" w:type="dxa"/>
            </w:tcMar>
            <w:vAlign w:val="center"/>
          </w:tcPr>
          <w:p w14:paraId="56982F16" w14:textId="77777777" w:rsidR="00622BC0" w:rsidRPr="002163D6" w:rsidRDefault="00622BC0">
            <w:pPr>
              <w:widowControl w:val="0"/>
              <w:autoSpaceDE w:val="0"/>
              <w:autoSpaceDN w:val="0"/>
              <w:adjustRightInd w:val="0"/>
              <w:spacing w:line="276" w:lineRule="auto"/>
              <w:ind w:right="-6"/>
              <w:rPr>
                <w:rFonts w:ascii="Cambria" w:hAnsi="Cambria" w:cs="Cambria"/>
                <w:lang w:val="en-GB"/>
              </w:rPr>
            </w:pPr>
          </w:p>
        </w:tc>
        <w:tc>
          <w:tcPr>
            <w:tcW w:w="5121"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2753541B" w14:textId="77777777" w:rsidR="00622BC0" w:rsidRPr="002163D6" w:rsidRDefault="00826C5A">
            <w:pPr>
              <w:widowControl w:val="0"/>
              <w:autoSpaceDE w:val="0"/>
              <w:autoSpaceDN w:val="0"/>
              <w:adjustRightInd w:val="0"/>
              <w:spacing w:after="200"/>
              <w:ind w:right="-6"/>
              <w:jc w:val="both"/>
              <w:rPr>
                <w:rFonts w:ascii="Cambria" w:hAnsi="Cambria" w:cs="Cambria"/>
                <w:lang w:val="en-GB"/>
              </w:rPr>
            </w:pPr>
            <w:r w:rsidRPr="002163D6">
              <w:rPr>
                <w:rFonts w:ascii="Cambria" w:hAnsi="Cambria" w:cs="Cambria"/>
                <w:lang w:val="en-GB"/>
              </w:rPr>
              <w:t>Law No. 39 of 1999 on Human Rights</w:t>
            </w:r>
          </w:p>
        </w:tc>
      </w:tr>
      <w:tr w:rsidR="00622BC0" w:rsidRPr="002163D6" w14:paraId="20F5A1E9" w14:textId="77777777">
        <w:tblPrEx>
          <w:tblBorders>
            <w:top w:val="none" w:sz="0" w:space="0" w:color="auto"/>
          </w:tblBorders>
        </w:tblPrEx>
        <w:tc>
          <w:tcPr>
            <w:tcW w:w="3401" w:type="dxa"/>
            <w:vMerge w:val="restart"/>
            <w:tcBorders>
              <w:top w:val="single" w:sz="8" w:space="0" w:color="BFBFBF"/>
              <w:left w:val="single" w:sz="8" w:space="0" w:color="BFBFBF"/>
              <w:right w:val="single" w:sz="8" w:space="0" w:color="BFBFBF"/>
            </w:tcBorders>
            <w:shd w:val="clear" w:color="auto" w:fill="auto"/>
            <w:tcMar>
              <w:left w:w="0" w:type="dxa"/>
              <w:right w:w="0" w:type="dxa"/>
            </w:tcMar>
            <w:vAlign w:val="center"/>
          </w:tcPr>
          <w:p w14:paraId="032AFD51" w14:textId="77777777" w:rsidR="00622BC0" w:rsidRPr="002163D6" w:rsidRDefault="00826C5A">
            <w:pPr>
              <w:widowControl w:val="0"/>
              <w:autoSpaceDE w:val="0"/>
              <w:autoSpaceDN w:val="0"/>
              <w:adjustRightInd w:val="0"/>
              <w:spacing w:after="200"/>
              <w:ind w:right="-6"/>
              <w:jc w:val="center"/>
              <w:rPr>
                <w:rFonts w:ascii="Cambria" w:hAnsi="Cambria" w:cs="Cambria"/>
                <w:lang w:val="en-GB"/>
              </w:rPr>
            </w:pPr>
            <w:r w:rsidRPr="002163D6">
              <w:rPr>
                <w:rFonts w:ascii="Cambria" w:hAnsi="Cambria" w:cs="Cambria"/>
                <w:lang w:val="en-GB"/>
              </w:rPr>
              <w:t>Regulations</w:t>
            </w:r>
          </w:p>
        </w:tc>
        <w:tc>
          <w:tcPr>
            <w:tcW w:w="5121"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2344C992" w14:textId="77777777" w:rsidR="00622BC0" w:rsidRPr="002163D6" w:rsidRDefault="00826C5A">
            <w:pPr>
              <w:widowControl w:val="0"/>
              <w:autoSpaceDE w:val="0"/>
              <w:autoSpaceDN w:val="0"/>
              <w:adjustRightInd w:val="0"/>
              <w:spacing w:after="200"/>
              <w:ind w:right="-6"/>
              <w:jc w:val="both"/>
              <w:rPr>
                <w:rFonts w:ascii="Cambria" w:hAnsi="Cambria" w:cs="Cambria"/>
                <w:lang w:val="en-GB"/>
              </w:rPr>
            </w:pPr>
            <w:r w:rsidRPr="002163D6">
              <w:rPr>
                <w:rFonts w:ascii="Cambria" w:hAnsi="Cambria" w:cs="Cambria"/>
                <w:lang w:val="en-GB"/>
              </w:rPr>
              <w:t>Regulation of Minister for Women Empowerment and Child Protection No. 23 of 2010 on Guidance Services for the Establishment of the Information and Consultation Centre for "Disabled Women</w:t>
            </w:r>
          </w:p>
        </w:tc>
      </w:tr>
      <w:tr w:rsidR="00622BC0" w:rsidRPr="002163D6" w14:paraId="42886E52" w14:textId="77777777">
        <w:tblPrEx>
          <w:tblBorders>
            <w:top w:val="none" w:sz="0" w:space="0" w:color="auto"/>
          </w:tblBorders>
        </w:tblPrEx>
        <w:tc>
          <w:tcPr>
            <w:tcW w:w="3401" w:type="dxa"/>
            <w:vMerge/>
            <w:tcBorders>
              <w:left w:val="single" w:sz="8" w:space="0" w:color="BFBFBF"/>
              <w:right w:val="single" w:sz="8" w:space="0" w:color="BFBFBF"/>
            </w:tcBorders>
            <w:shd w:val="clear" w:color="auto" w:fill="auto"/>
            <w:tcMar>
              <w:left w:w="0" w:type="dxa"/>
              <w:right w:w="0" w:type="dxa"/>
            </w:tcMar>
            <w:vAlign w:val="center"/>
          </w:tcPr>
          <w:p w14:paraId="0A513726" w14:textId="77777777" w:rsidR="00622BC0" w:rsidRPr="002163D6" w:rsidRDefault="00622BC0">
            <w:pPr>
              <w:widowControl w:val="0"/>
              <w:autoSpaceDE w:val="0"/>
              <w:autoSpaceDN w:val="0"/>
              <w:adjustRightInd w:val="0"/>
              <w:rPr>
                <w:rFonts w:ascii="Cambria" w:hAnsi="Cambria" w:cs="Cambria"/>
                <w:lang w:val="en-GB"/>
              </w:rPr>
            </w:pPr>
          </w:p>
        </w:tc>
        <w:tc>
          <w:tcPr>
            <w:tcW w:w="5121"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68BD5590" w14:textId="77777777" w:rsidR="00622BC0" w:rsidRPr="002163D6" w:rsidRDefault="00826C5A">
            <w:pPr>
              <w:widowControl w:val="0"/>
              <w:autoSpaceDE w:val="0"/>
              <w:autoSpaceDN w:val="0"/>
              <w:adjustRightInd w:val="0"/>
              <w:spacing w:after="200"/>
              <w:ind w:right="-6"/>
              <w:jc w:val="both"/>
              <w:rPr>
                <w:rFonts w:ascii="Cambria" w:hAnsi="Cambria" w:cs="Cambria"/>
                <w:lang w:val="en-GB"/>
              </w:rPr>
            </w:pPr>
            <w:r w:rsidRPr="002163D6">
              <w:rPr>
                <w:rFonts w:ascii="Cambria" w:hAnsi="Cambria" w:cs="Cambria"/>
                <w:lang w:val="en-GB"/>
              </w:rPr>
              <w:t>Regulation of Minister for Women Empowerment and Child Protection No. 7 of 2012 on Standard Operating Procedures for Information and Consultation Centre for Disabled Women</w:t>
            </w:r>
          </w:p>
        </w:tc>
      </w:tr>
      <w:tr w:rsidR="00622BC0" w14:paraId="0DD493B7" w14:textId="77777777">
        <w:tblPrEx>
          <w:tblBorders>
            <w:top w:val="none" w:sz="0" w:space="0" w:color="auto"/>
            <w:bottom w:val="single" w:sz="4" w:space="0" w:color="auto"/>
          </w:tblBorders>
        </w:tblPrEx>
        <w:tc>
          <w:tcPr>
            <w:tcW w:w="3401" w:type="dxa"/>
            <w:vMerge/>
            <w:tcBorders>
              <w:left w:val="single" w:sz="8" w:space="0" w:color="BFBFBF"/>
              <w:bottom w:val="single" w:sz="8" w:space="0" w:color="BFBFBF"/>
              <w:right w:val="single" w:sz="8" w:space="0" w:color="BFBFBF"/>
            </w:tcBorders>
            <w:shd w:val="clear" w:color="auto" w:fill="auto"/>
            <w:tcMar>
              <w:top w:w="0" w:type="dxa"/>
              <w:right w:w="0" w:type="dxa"/>
            </w:tcMar>
            <w:vAlign w:val="center"/>
          </w:tcPr>
          <w:p w14:paraId="06FD270B" w14:textId="77777777" w:rsidR="00622BC0" w:rsidRPr="002163D6" w:rsidRDefault="00622BC0">
            <w:pPr>
              <w:widowControl w:val="0"/>
              <w:autoSpaceDE w:val="0"/>
              <w:autoSpaceDN w:val="0"/>
              <w:adjustRightInd w:val="0"/>
              <w:spacing w:line="276" w:lineRule="auto"/>
              <w:ind w:right="-6"/>
              <w:rPr>
                <w:rFonts w:ascii="Cambria" w:hAnsi="Cambria" w:cs="Cambria"/>
                <w:lang w:val="en-GB"/>
              </w:rPr>
            </w:pPr>
          </w:p>
        </w:tc>
        <w:tc>
          <w:tcPr>
            <w:tcW w:w="5121"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38CF9003" w14:textId="77777777" w:rsidR="00622BC0" w:rsidRDefault="00826C5A">
            <w:pPr>
              <w:widowControl w:val="0"/>
              <w:autoSpaceDE w:val="0"/>
              <w:autoSpaceDN w:val="0"/>
              <w:adjustRightInd w:val="0"/>
              <w:spacing w:after="200"/>
              <w:ind w:right="-6"/>
              <w:jc w:val="both"/>
              <w:rPr>
                <w:rFonts w:ascii="Cambria" w:hAnsi="Cambria" w:cs="Cambria"/>
                <w:lang w:val="en-GB"/>
              </w:rPr>
            </w:pPr>
            <w:r w:rsidRPr="002163D6">
              <w:rPr>
                <w:rFonts w:ascii="Cambria" w:hAnsi="Cambria" w:cs="Cambria"/>
                <w:lang w:val="en-GB"/>
              </w:rPr>
              <w:t>Regulation of Minister of Women's Empowerment and Child Protection No. 4 of 2017 on Special Protection for Children with Disabilities</w:t>
            </w:r>
          </w:p>
        </w:tc>
      </w:tr>
    </w:tbl>
    <w:p w14:paraId="2F33980B" w14:textId="77777777" w:rsidR="00622BC0" w:rsidRDefault="00622BC0">
      <w:pPr>
        <w:widowControl w:val="0"/>
        <w:autoSpaceDE w:val="0"/>
        <w:autoSpaceDN w:val="0"/>
        <w:adjustRightInd w:val="0"/>
        <w:spacing w:after="200"/>
        <w:ind w:right="-6"/>
        <w:jc w:val="both"/>
        <w:rPr>
          <w:rFonts w:ascii="Cambria" w:hAnsi="Cambria" w:cs="Cambria"/>
          <w:lang w:val="en-GB"/>
        </w:rPr>
      </w:pPr>
    </w:p>
    <w:p w14:paraId="695C9930" w14:textId="77777777" w:rsidR="00622BC0" w:rsidRPr="002163D6"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laws and regulations above are generally cover women's rights; yet, there some provisions in Law No. 1 of 1974 on marriage imply discrimination against </w:t>
      </w:r>
      <w:r w:rsidRPr="002163D6">
        <w:rPr>
          <w:rFonts w:ascii="Cambria" w:hAnsi="Cambria" w:cs="Cambria"/>
          <w:lang w:val="en-GB"/>
        </w:rPr>
        <w:t xml:space="preserve">women with disabilities. Article 4 (2) of the states that married women with disabilities may be divorced by their husbands regardless of disability and fatal or incurable diseases. It’s Law No. 8 of 2016 that would be compliant with CRPD, providing, for instance, robust protections or women with disabilities. </w:t>
      </w:r>
    </w:p>
    <w:p w14:paraId="1D11DFDA" w14:textId="77777777" w:rsidR="00622BC0" w:rsidRPr="002163D6" w:rsidRDefault="00826C5A">
      <w:pPr>
        <w:widowControl w:val="0"/>
        <w:autoSpaceDE w:val="0"/>
        <w:autoSpaceDN w:val="0"/>
        <w:adjustRightInd w:val="0"/>
        <w:spacing w:after="200"/>
        <w:ind w:right="-6"/>
        <w:rPr>
          <w:rFonts w:ascii="Cambria" w:hAnsi="Cambria" w:cs="Cambria"/>
          <w:lang w:val="en-GB"/>
        </w:rPr>
      </w:pPr>
      <w:r w:rsidRPr="002163D6">
        <w:rPr>
          <w:rFonts w:ascii="Cambria" w:hAnsi="Cambria" w:cs="Cambria"/>
          <w:b/>
          <w:bCs/>
          <w:lang w:val="en-GB"/>
        </w:rPr>
        <w:t>Implementation and Programmes</w:t>
      </w:r>
    </w:p>
    <w:p w14:paraId="51C5687D" w14:textId="77777777" w:rsidR="00622BC0" w:rsidRPr="002163D6" w:rsidRDefault="00826C5A">
      <w:pPr>
        <w:widowControl w:val="0"/>
        <w:autoSpaceDE w:val="0"/>
        <w:autoSpaceDN w:val="0"/>
        <w:adjustRightInd w:val="0"/>
        <w:spacing w:after="200"/>
        <w:ind w:right="-6"/>
        <w:jc w:val="both"/>
        <w:rPr>
          <w:rFonts w:ascii="Cambria" w:hAnsi="Cambria" w:cs="Cambria"/>
          <w:lang w:val="en-GB"/>
        </w:rPr>
      </w:pPr>
      <w:r w:rsidRPr="002163D6">
        <w:rPr>
          <w:rFonts w:ascii="Cambria" w:hAnsi="Cambria" w:cs="Cambria"/>
          <w:lang w:val="en-GB"/>
        </w:rPr>
        <w:t xml:space="preserve">Measures to actualise gender equality by the Ministry of Women's Empowerment and Child Protection have shown positive results. From 2011 to 2015 the gender development index steadily increased from 89.25 to 91.03. This shows an increase in women's public participation. </w:t>
      </w:r>
    </w:p>
    <w:p w14:paraId="1D466964" w14:textId="7A9143C4" w:rsidR="00622BC0" w:rsidRDefault="00826C5A">
      <w:pPr>
        <w:widowControl w:val="0"/>
        <w:autoSpaceDE w:val="0"/>
        <w:autoSpaceDN w:val="0"/>
        <w:adjustRightInd w:val="0"/>
        <w:spacing w:after="200"/>
        <w:ind w:right="-6"/>
        <w:jc w:val="both"/>
        <w:rPr>
          <w:rFonts w:ascii="Cambria" w:hAnsi="Cambria" w:cs="Cambria"/>
          <w:lang w:val="en-GB"/>
        </w:rPr>
      </w:pPr>
      <w:r w:rsidRPr="002163D6">
        <w:rPr>
          <w:rFonts w:ascii="Cambria" w:hAnsi="Cambria" w:cs="Cambria"/>
          <w:lang w:val="en-GB"/>
        </w:rPr>
        <w:t>Gender equality would be within reach if barriers</w:t>
      </w:r>
      <w:r>
        <w:rPr>
          <w:rFonts w:ascii="Cambria" w:hAnsi="Cambria" w:cs="Cambria"/>
          <w:lang w:val="en-GB"/>
        </w:rPr>
        <w:t xml:space="preserve"> to persons with disabilities, especially socio-cultural barriers and stigma against women with disabilities, were removed. For example, a woman with intellectual disability in a legal case may be stigmatised as asexual or hyper-sexual. Such stereotyping has contributed to gender-based violations against women with disabilities. </w:t>
      </w:r>
    </w:p>
    <w:p w14:paraId="1631A01A"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Prevalent cases of discrimination against women with disabilities, such as sexual harassment and sexual violence, including rape, illustrate that women with disabilities are particularly more helpless in a society that does not take sexual violence seriously. Yes, the Ministry of Women's Empowerment and Child Protection has taken various efforts to implement various policies particularly to protect the rights of women with disabilities (</w:t>
      </w:r>
      <w:proofErr w:type="spellStart"/>
      <w:r>
        <w:rPr>
          <w:rFonts w:ascii="Cambria" w:hAnsi="Cambria" w:cs="Cambria"/>
          <w:lang w:val="en-GB"/>
        </w:rPr>
        <w:t>Aliah</w:t>
      </w:r>
      <w:proofErr w:type="spellEnd"/>
      <w:r>
        <w:rPr>
          <w:rFonts w:ascii="Cambria" w:hAnsi="Cambria" w:cs="Cambria"/>
          <w:lang w:val="en-GB"/>
        </w:rPr>
        <w:t xml:space="preserve">, Interview, 2019), for example, </w:t>
      </w:r>
      <w:r>
        <w:rPr>
          <w:rFonts w:ascii="Cambria" w:hAnsi="Cambria" w:cs="Cambria"/>
          <w:lang w:val="en-GB"/>
        </w:rPr>
        <w:lastRenderedPageBreak/>
        <w:t>by advocating for their increased public participation in the hope that this will improve gender equality. In this regard, the following strategies are in place:</w:t>
      </w:r>
    </w:p>
    <w:p w14:paraId="08D7BC85"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1)</w:t>
      </w:r>
      <w:r>
        <w:rPr>
          <w:rFonts w:ascii="Cambria" w:hAnsi="Cambria" w:cs="Cambria"/>
          <w:lang w:val="en-GB"/>
        </w:rPr>
        <w:tab/>
        <w:t>Gender and Disability Discrimination Prevention Strategy</w:t>
      </w:r>
    </w:p>
    <w:p w14:paraId="57680133"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When women with disabilities become victims of discriminatory and immoral acts, such as sexual violence, they also tend to encounter barriers to access justice. Therefore, prevention strategies are urgent, to avert the very possibility of becoming victims . However, if the worst happens, it is crucial to provide assistance to persons with disabilities to exercise their full their rights as victims.</w:t>
      </w:r>
    </w:p>
    <w:p w14:paraId="4C02D4EC" w14:textId="77777777" w:rsidR="00622BC0" w:rsidRDefault="00826C5A">
      <w:pPr>
        <w:widowControl w:val="0"/>
        <w:numPr>
          <w:ilvl w:val="0"/>
          <w:numId w:val="10"/>
        </w:numPr>
        <w:autoSpaceDE w:val="0"/>
        <w:autoSpaceDN w:val="0"/>
        <w:adjustRightInd w:val="0"/>
        <w:spacing w:after="200"/>
        <w:ind w:right="-6"/>
        <w:jc w:val="both"/>
        <w:rPr>
          <w:rFonts w:ascii="Cambria" w:hAnsi="Cambria" w:cs="Cambria"/>
          <w:lang w:val="en-GB"/>
        </w:rPr>
      </w:pPr>
      <w:r>
        <w:rPr>
          <w:rFonts w:ascii="Cambria" w:hAnsi="Cambria" w:cs="Cambria"/>
          <w:lang w:val="en-GB"/>
        </w:rPr>
        <w:t>Gender and Disability Discrimination Management Strategy</w:t>
      </w:r>
    </w:p>
    <w:p w14:paraId="7AA39912"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This strategy is drawn from Law No. 8/2016 on persons with disabilities, which provides for increased protection against discrimination against women with disabilities. </w:t>
      </w:r>
      <w:r>
        <w:rPr>
          <w:rFonts w:ascii="Cambria" w:hAnsi="Cambria"/>
        </w:rPr>
        <w:t xml:space="preserve">The main target is to increase gender equality through mitigation of discriminatory acts, attending to specific needs of women with disabilities, and empowerment. </w:t>
      </w:r>
      <w:r>
        <w:rPr>
          <w:rFonts w:ascii="Cambria" w:hAnsi="Cambria" w:cs="Cambria"/>
          <w:lang w:val="en-GB"/>
        </w:rPr>
        <w:t xml:space="preserve">This concept of “multiple protection” will be included in the National Action Plan (NAP). </w:t>
      </w:r>
    </w:p>
    <w:p w14:paraId="1B69B7E0"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3)</w:t>
      </w:r>
      <w:r>
        <w:rPr>
          <w:rFonts w:ascii="Cambria" w:hAnsi="Cambria" w:cs="Cambria"/>
          <w:lang w:val="en-GB"/>
        </w:rPr>
        <w:tab/>
        <w:t>Empowerment Strategy</w:t>
      </w:r>
    </w:p>
    <w:p w14:paraId="41BFDA87"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This improve the capacity women with disabilities so that they can pursue any achievement in various fields, according to their respective talents and potential. To support these empowerment efforts, the Ministry of Women Empowerment and Child Protection issued Regulation No 7/2012 establishing the Information and Consultation Centre for Women with Disabilities (PIK-PPD), through the Ministry Regulation No 7/2012 concerning the, complete with standard operating procedure of the centre. The PIK-PPD centres are expected to be rolled out in all regions, so that women with disabilities have within reach facilities where to seek information, consultation, and record complaints related to their needs.</w:t>
      </w:r>
    </w:p>
    <w:p w14:paraId="782F31D3"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addition, the same Ministry cooperates with the Indonesian Bar Association in an effort to mainstream disability issues among law enforcement officers. Thus, the officers are educated on issues of persons with disabilities that may face legal cases (</w:t>
      </w:r>
      <w:proofErr w:type="spellStart"/>
      <w:r>
        <w:rPr>
          <w:rFonts w:ascii="Cambria" w:hAnsi="Cambria" w:cs="Cambria"/>
          <w:lang w:val="en-GB"/>
        </w:rPr>
        <w:t>Aliah</w:t>
      </w:r>
      <w:proofErr w:type="spellEnd"/>
      <w:r>
        <w:rPr>
          <w:rFonts w:ascii="Cambria" w:hAnsi="Cambria" w:cs="Cambria"/>
          <w:lang w:val="en-GB"/>
        </w:rPr>
        <w:t>, Interview, 2019).</w:t>
      </w:r>
    </w:p>
    <w:p w14:paraId="4597621D"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It can be concluded, therefore, that the Indonesian government has made numerous efforts to create gender equality and social inclusion for women with disabilities. These efforts began before the 1997 law on “Disabled People,” later adjusted to the law on persons with disabilities and the country’s ratification of the CRPD in 2011 and 2016, respectively.</w:t>
      </w:r>
    </w:p>
    <w:p w14:paraId="5B9BD31E" w14:textId="77777777" w:rsidR="00622BC0" w:rsidRDefault="00622BC0">
      <w:pPr>
        <w:widowControl w:val="0"/>
        <w:autoSpaceDE w:val="0"/>
        <w:autoSpaceDN w:val="0"/>
        <w:adjustRightInd w:val="0"/>
        <w:spacing w:after="200"/>
        <w:ind w:right="-6"/>
        <w:jc w:val="both"/>
        <w:rPr>
          <w:rFonts w:ascii="Cambria" w:hAnsi="Cambria" w:cs="Cambria"/>
          <w:lang w:val="en-GB"/>
        </w:rPr>
      </w:pPr>
    </w:p>
    <w:p w14:paraId="03FF04E9" w14:textId="53A78B99"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Participation of Civil Society and OPD</w:t>
      </w:r>
      <w:r w:rsidR="0067025E">
        <w:rPr>
          <w:rFonts w:ascii="Cambria" w:hAnsi="Cambria" w:cs="Cambria"/>
          <w:b/>
          <w:bCs/>
          <w:lang w:val="en-GB"/>
        </w:rPr>
        <w:t>s</w:t>
      </w:r>
      <w:r>
        <w:rPr>
          <w:rFonts w:ascii="Cambria" w:hAnsi="Cambria" w:cs="Cambria"/>
          <w:b/>
          <w:bCs/>
          <w:lang w:val="en-GB"/>
        </w:rPr>
        <w:t xml:space="preserve"> </w:t>
      </w:r>
    </w:p>
    <w:p w14:paraId="696C1E68" w14:textId="5DA35FD2"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Participation of persons with disabilities and OPD</w:t>
      </w:r>
      <w:r w:rsidR="0067025E">
        <w:rPr>
          <w:rFonts w:ascii="Cambria" w:hAnsi="Cambria" w:cs="Cambria"/>
          <w:lang w:val="en-GB"/>
        </w:rPr>
        <w:t>s</w:t>
      </w:r>
      <w:r>
        <w:rPr>
          <w:rFonts w:ascii="Cambria" w:hAnsi="Cambria" w:cs="Cambria"/>
          <w:lang w:val="en-GB"/>
        </w:rPr>
        <w:t xml:space="preserve"> in realizing gender equality is realised by their consultation and coordination with the Ministry of Women </w:t>
      </w:r>
      <w:r>
        <w:rPr>
          <w:rFonts w:ascii="Cambria" w:hAnsi="Cambria" w:cs="Cambria"/>
          <w:lang w:val="en-GB"/>
        </w:rPr>
        <w:lastRenderedPageBreak/>
        <w:t>Empowerment and Child Protection, which oversees matters on women with disabilities. As a result, the following are among measures undertaken (</w:t>
      </w:r>
      <w:proofErr w:type="spellStart"/>
      <w:r>
        <w:rPr>
          <w:rFonts w:ascii="Cambria" w:hAnsi="Cambria" w:cs="Cambria"/>
          <w:lang w:val="en-GB"/>
        </w:rPr>
        <w:t>Aliah</w:t>
      </w:r>
      <w:proofErr w:type="spellEnd"/>
      <w:r>
        <w:rPr>
          <w:rFonts w:ascii="Cambria" w:hAnsi="Cambria" w:cs="Cambria"/>
          <w:lang w:val="en-GB"/>
        </w:rPr>
        <w:t>, Interview, 2019):</w:t>
      </w:r>
    </w:p>
    <w:p w14:paraId="73D76BB9" w14:textId="77777777" w:rsidR="00622BC0" w:rsidRDefault="00826C5A">
      <w:pPr>
        <w:widowControl w:val="0"/>
        <w:numPr>
          <w:ilvl w:val="0"/>
          <w:numId w:val="11"/>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 xml:space="preserve">In the drafting of the National Action Plan, the Ministry involved the Association of Women with Disabilities (HWDI), so that their input would be incorporated in the Plan; </w:t>
      </w:r>
    </w:p>
    <w:p w14:paraId="2A4C8049" w14:textId="77777777" w:rsidR="00622BC0" w:rsidRDefault="00826C5A">
      <w:pPr>
        <w:widowControl w:val="0"/>
        <w:numPr>
          <w:ilvl w:val="0"/>
          <w:numId w:val="11"/>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The Ministry also involved HWDI in the initiative to establish the PIK-PPD centres;</w:t>
      </w:r>
    </w:p>
    <w:p w14:paraId="53E22F89" w14:textId="5F9FE310" w:rsidR="00622BC0" w:rsidRDefault="00826C5A">
      <w:pPr>
        <w:widowControl w:val="0"/>
        <w:numPr>
          <w:ilvl w:val="0"/>
          <w:numId w:val="11"/>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OPD</w:t>
      </w:r>
      <w:r w:rsidR="0067025E">
        <w:rPr>
          <w:rFonts w:ascii="Cambria" w:hAnsi="Cambria" w:cs="Cambria"/>
          <w:lang w:val="en-GB"/>
        </w:rPr>
        <w:t>s</w:t>
      </w:r>
      <w:r>
        <w:rPr>
          <w:rFonts w:ascii="Cambria" w:hAnsi="Cambria" w:cs="Cambria"/>
          <w:lang w:val="en-GB"/>
        </w:rPr>
        <w:t xml:space="preserve"> were involved in drafting the bill leading to the Law on the Elimination of Sexual Violence, starting from its start under the relevant Ministries and institutions to the working committee of the House of Representatives. </w:t>
      </w:r>
    </w:p>
    <w:p w14:paraId="27466B65" w14:textId="13D6CC9C" w:rsidR="00622BC0" w:rsidRDefault="00826C5A">
      <w:pPr>
        <w:widowControl w:val="0"/>
        <w:numPr>
          <w:ilvl w:val="0"/>
          <w:numId w:val="11"/>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During the drafting of the bill leading to Law No 8 of 2016 on persons with disabilities, the Ministry’s contributions on the persons with disabilities’ gender mainstreaming were in consultation with OPD</w:t>
      </w:r>
      <w:r w:rsidR="0067025E">
        <w:rPr>
          <w:rFonts w:ascii="Cambria" w:hAnsi="Cambria" w:cs="Cambria"/>
          <w:lang w:val="en-GB"/>
        </w:rPr>
        <w:t>s</w:t>
      </w:r>
      <w:r>
        <w:rPr>
          <w:rFonts w:ascii="Cambria" w:hAnsi="Cambria" w:cs="Cambria"/>
          <w:lang w:val="en-GB"/>
        </w:rPr>
        <w:t>.</w:t>
      </w:r>
    </w:p>
    <w:p w14:paraId="5392C640" w14:textId="2E7372F6"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It can be concluded, therefore, that government and OPD</w:t>
      </w:r>
      <w:r w:rsidR="0067025E">
        <w:rPr>
          <w:rFonts w:ascii="Cambria" w:hAnsi="Cambria" w:cs="Cambria"/>
          <w:lang w:val="en-GB"/>
        </w:rPr>
        <w:t>s</w:t>
      </w:r>
      <w:r>
        <w:rPr>
          <w:rFonts w:ascii="Cambria" w:hAnsi="Cambria" w:cs="Cambria"/>
          <w:lang w:val="en-GB"/>
        </w:rPr>
        <w:t xml:space="preserve"> can jointly coordinate to achieve gender equality and social inclusion of persons with disabilities. It should be noted, however, that multiple disability organisations have been involved in these processes, not only OPD</w:t>
      </w:r>
      <w:r w:rsidR="0067025E">
        <w:rPr>
          <w:rFonts w:ascii="Cambria" w:hAnsi="Cambria" w:cs="Cambria"/>
          <w:lang w:val="en-GB"/>
        </w:rPr>
        <w:t>s</w:t>
      </w:r>
      <w:r>
        <w:rPr>
          <w:rFonts w:ascii="Cambria" w:hAnsi="Cambria" w:cs="Cambria"/>
          <w:lang w:val="en-GB"/>
        </w:rPr>
        <w:t xml:space="preserve"> that focus on women with disabilities (</w:t>
      </w:r>
      <w:proofErr w:type="spellStart"/>
      <w:r>
        <w:rPr>
          <w:rFonts w:ascii="Cambria" w:hAnsi="Cambria" w:cs="Cambria"/>
          <w:lang w:val="en-GB"/>
        </w:rPr>
        <w:t>Aliah</w:t>
      </w:r>
      <w:proofErr w:type="spellEnd"/>
      <w:r>
        <w:rPr>
          <w:rFonts w:ascii="Cambria" w:hAnsi="Cambria" w:cs="Cambria"/>
          <w:lang w:val="en-GB"/>
        </w:rPr>
        <w:t>, Interview, 2019).</w:t>
      </w:r>
    </w:p>
    <w:p w14:paraId="40CC66CF" w14:textId="77777777" w:rsidR="00622BC0" w:rsidRDefault="00622BC0">
      <w:pPr>
        <w:widowControl w:val="0"/>
        <w:autoSpaceDE w:val="0"/>
        <w:autoSpaceDN w:val="0"/>
        <w:adjustRightInd w:val="0"/>
        <w:spacing w:after="200"/>
        <w:ind w:right="-6"/>
        <w:jc w:val="both"/>
        <w:rPr>
          <w:rFonts w:ascii="Cambria" w:hAnsi="Cambria" w:cs="Cambria"/>
          <w:lang w:val="en-GB"/>
        </w:rPr>
      </w:pPr>
    </w:p>
    <w:p w14:paraId="7C90D9B4"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rPr>
        <w:t>6.   S</w:t>
      </w:r>
      <w:r>
        <w:rPr>
          <w:rFonts w:ascii="Cambria" w:hAnsi="Cambria" w:cs="Cambria"/>
          <w:b/>
          <w:bCs/>
          <w:lang w:val="en-GB"/>
        </w:rPr>
        <w:t>DG Goal 8 - Decent Work and Economic Growth</w:t>
      </w:r>
    </w:p>
    <w:p w14:paraId="5BFCCBAB"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Indonesia has 21 million persons with disabilities, and approximately 51% of them are employed in the country’s workforce, according to a 2017 survey by the National Workforce Survey. However, the data is poorly segregated, so the numbers may be significantly inaccurate. Certainly, the work environment for persons with disabilities has not reached the "diversity and inclusion sustainable" level. Reaching this level requires five stages; namely, fundamental level, awareness level, understanding and application level, integrated level and, finally at the top, sustainable level (</w:t>
      </w:r>
      <w:proofErr w:type="spellStart"/>
      <w:r>
        <w:rPr>
          <w:rFonts w:ascii="Cambria" w:hAnsi="Cambria" w:cs="Cambria"/>
          <w:lang w:val="en-GB"/>
        </w:rPr>
        <w:t>Dewi</w:t>
      </w:r>
      <w:proofErr w:type="spellEnd"/>
      <w:r>
        <w:rPr>
          <w:rFonts w:ascii="Cambria" w:hAnsi="Cambria" w:cs="Cambria"/>
          <w:lang w:val="en-GB"/>
        </w:rPr>
        <w:t xml:space="preserve">, 2019). </w:t>
      </w:r>
    </w:p>
    <w:p w14:paraId="0C1E53F0"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fundamental level is, essentially, setting up a convenient and decent working environment. This requires awareness level, to change perspectives and paradigms, particularly among employers. The next level, understanding and appreciation, requires essential knowledge and information on human and labour rights, which includes reasonable accommodation for persons with disabilities. Then comes the integrated level, which requires a multi-sector approach to laws, regulations, and their implementation in the work context. Thereafter, the highest level, sustainability principles require an inclusive and dignified workplace for persons with disabilities.</w:t>
      </w:r>
    </w:p>
    <w:p w14:paraId="0286D87C"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lang w:val="en-GB"/>
        </w:rPr>
        <w:t xml:space="preserve">To realise decent workplaces for persons with disability and, consequently, </w:t>
      </w:r>
      <w:r>
        <w:rPr>
          <w:rFonts w:ascii="Cambria" w:hAnsi="Cambria" w:cs="Cambria"/>
          <w:lang w:val="en-GB"/>
        </w:rPr>
        <w:lastRenderedPageBreak/>
        <w:t xml:space="preserve">increased economic growth, proactive interventions by both government the private sector are necessary to accommodate people with disabilities. </w:t>
      </w:r>
    </w:p>
    <w:p w14:paraId="0A2BCCAA" w14:textId="77777777" w:rsidR="00622BC0" w:rsidRDefault="00622BC0">
      <w:pPr>
        <w:widowControl w:val="0"/>
        <w:autoSpaceDE w:val="0"/>
        <w:autoSpaceDN w:val="0"/>
        <w:adjustRightInd w:val="0"/>
        <w:spacing w:after="200"/>
        <w:ind w:right="-6"/>
        <w:jc w:val="both"/>
        <w:rPr>
          <w:rFonts w:ascii="Cambria" w:hAnsi="Cambria" w:cs="Cambria"/>
          <w:b/>
          <w:bCs/>
          <w:lang w:val="en-GB"/>
        </w:rPr>
      </w:pPr>
    </w:p>
    <w:p w14:paraId="4D575167"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Policy and Regulations</w:t>
      </w:r>
    </w:p>
    <w:p w14:paraId="29DABD5E"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national human rights action plan 2018-2019 formulated activities, along with indicator criteria and measurable deliverables, on persons with disabilities’ employment. Similar activities are formulated for persons with disabilities’ access to finance and capital. </w:t>
      </w:r>
    </w:p>
    <w:p w14:paraId="479F8B5A"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Decent work and personal economic growth remain stubborn challenges in Indonesia, especially for persons with disabilities. According to the International Labour Organisation (ILO), decent work has four integral pillars; namely, employment creation, social protection, rights at work and social dialogue (ILO, 2020). In Indonesian, the four pillars are regulated by labour laws. The table below lists some laws and regulations with regard to the right to work for persons with disabilities:</w:t>
      </w:r>
    </w:p>
    <w:p w14:paraId="4EB1CB1E"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Table 5: Policy and Regulations on Employment in Indonesia</w:t>
      </w:r>
    </w:p>
    <w:tbl>
      <w:tblPr>
        <w:tblW w:w="8522"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3454"/>
        <w:gridCol w:w="5068"/>
      </w:tblGrid>
      <w:tr w:rsidR="00622BC0" w14:paraId="6FF4E317" w14:textId="77777777">
        <w:tc>
          <w:tcPr>
            <w:tcW w:w="3454" w:type="dxa"/>
            <w:vMerge w:val="restart"/>
            <w:tcBorders>
              <w:top w:val="single" w:sz="8" w:space="0" w:color="BFBFBF"/>
              <w:left w:val="single" w:sz="8" w:space="0" w:color="BFBFBF"/>
              <w:right w:val="single" w:sz="8" w:space="0" w:color="BFBFBF"/>
            </w:tcBorders>
            <w:shd w:val="clear" w:color="auto" w:fill="auto"/>
            <w:tcMar>
              <w:left w:w="0" w:type="dxa"/>
              <w:right w:w="0" w:type="dxa"/>
            </w:tcMar>
            <w:vAlign w:val="center"/>
          </w:tcPr>
          <w:p w14:paraId="15CA2C6C"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Laws</w:t>
            </w:r>
          </w:p>
        </w:tc>
        <w:tc>
          <w:tcPr>
            <w:tcW w:w="506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0816DBA4"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No. 13 of 2003 on Labour</w:t>
            </w:r>
          </w:p>
        </w:tc>
      </w:tr>
      <w:tr w:rsidR="00622BC0" w14:paraId="2098DD28" w14:textId="77777777">
        <w:tblPrEx>
          <w:tblBorders>
            <w:top w:val="none" w:sz="0" w:space="0" w:color="auto"/>
          </w:tblBorders>
        </w:tblPrEx>
        <w:tc>
          <w:tcPr>
            <w:tcW w:w="3454" w:type="dxa"/>
            <w:vMerge/>
            <w:tcBorders>
              <w:left w:val="single" w:sz="8" w:space="0" w:color="BFBFBF"/>
              <w:right w:val="single" w:sz="8" w:space="0" w:color="BFBFBF"/>
            </w:tcBorders>
            <w:shd w:val="clear" w:color="auto" w:fill="auto"/>
            <w:tcMar>
              <w:left w:w="0" w:type="dxa"/>
              <w:right w:w="0" w:type="dxa"/>
            </w:tcMar>
            <w:vAlign w:val="center"/>
          </w:tcPr>
          <w:p w14:paraId="20B8D242" w14:textId="77777777" w:rsidR="00622BC0" w:rsidRDefault="00622BC0">
            <w:pPr>
              <w:widowControl w:val="0"/>
              <w:autoSpaceDE w:val="0"/>
              <w:autoSpaceDN w:val="0"/>
              <w:adjustRightInd w:val="0"/>
              <w:rPr>
                <w:rFonts w:ascii="Cambria" w:hAnsi="Cambria" w:cs="Cambria"/>
                <w:lang w:val="en-GB"/>
              </w:rPr>
            </w:pPr>
          </w:p>
        </w:tc>
        <w:tc>
          <w:tcPr>
            <w:tcW w:w="506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6D66ECD7"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No. 8 of 2016 on Persons with Disabilities</w:t>
            </w:r>
          </w:p>
        </w:tc>
      </w:tr>
      <w:tr w:rsidR="00622BC0" w14:paraId="6A94BE44" w14:textId="77777777">
        <w:tblPrEx>
          <w:tblBorders>
            <w:top w:val="none" w:sz="0" w:space="0" w:color="auto"/>
          </w:tblBorders>
        </w:tblPrEx>
        <w:tc>
          <w:tcPr>
            <w:tcW w:w="3454" w:type="dxa"/>
            <w:vMerge/>
            <w:tcBorders>
              <w:left w:val="single" w:sz="8" w:space="0" w:color="BFBFBF"/>
              <w:bottom w:val="single" w:sz="8" w:space="0" w:color="BFBFBF"/>
              <w:right w:val="single" w:sz="8" w:space="0" w:color="BFBFBF"/>
            </w:tcBorders>
            <w:shd w:val="clear" w:color="auto" w:fill="auto"/>
            <w:tcMar>
              <w:top w:w="0" w:type="dxa"/>
              <w:right w:w="0" w:type="dxa"/>
            </w:tcMar>
            <w:vAlign w:val="center"/>
          </w:tcPr>
          <w:p w14:paraId="2369147C" w14:textId="77777777" w:rsidR="00622BC0" w:rsidRDefault="00622BC0">
            <w:pPr>
              <w:widowControl w:val="0"/>
              <w:autoSpaceDE w:val="0"/>
              <w:autoSpaceDN w:val="0"/>
              <w:adjustRightInd w:val="0"/>
              <w:spacing w:line="276" w:lineRule="auto"/>
              <w:ind w:right="-6"/>
              <w:rPr>
                <w:rFonts w:ascii="Cambria" w:hAnsi="Cambria" w:cs="Cambria"/>
                <w:lang w:val="en-GB"/>
              </w:rPr>
            </w:pPr>
          </w:p>
        </w:tc>
        <w:tc>
          <w:tcPr>
            <w:tcW w:w="506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1143A16E"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Number 18 of 2014 on Mental Health</w:t>
            </w:r>
          </w:p>
        </w:tc>
      </w:tr>
      <w:tr w:rsidR="00622BC0" w14:paraId="030EAA0D" w14:textId="77777777">
        <w:tblPrEx>
          <w:tblBorders>
            <w:top w:val="none" w:sz="0" w:space="0" w:color="auto"/>
          </w:tblBorders>
        </w:tblPrEx>
        <w:tc>
          <w:tcPr>
            <w:tcW w:w="3454" w:type="dxa"/>
            <w:vMerge w:val="restart"/>
            <w:tcBorders>
              <w:top w:val="single" w:sz="8" w:space="0" w:color="BFBFBF"/>
              <w:left w:val="single" w:sz="8" w:space="0" w:color="BFBFBF"/>
              <w:right w:val="single" w:sz="8" w:space="0" w:color="BFBFBF"/>
            </w:tcBorders>
            <w:shd w:val="clear" w:color="auto" w:fill="auto"/>
            <w:tcMar>
              <w:left w:w="0" w:type="dxa"/>
              <w:right w:w="0" w:type="dxa"/>
            </w:tcMar>
            <w:vAlign w:val="center"/>
          </w:tcPr>
          <w:p w14:paraId="67543794"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Regulations</w:t>
            </w:r>
          </w:p>
        </w:tc>
        <w:tc>
          <w:tcPr>
            <w:tcW w:w="506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24E512CB"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Presidential Regulation No. 2 of 2015 on the 2015-2019 National Medium-Term Development Plan (RPJMN)</w:t>
            </w:r>
          </w:p>
        </w:tc>
      </w:tr>
      <w:tr w:rsidR="00622BC0" w14:paraId="23ED9AF3" w14:textId="77777777">
        <w:tblPrEx>
          <w:tblBorders>
            <w:top w:val="none" w:sz="0" w:space="0" w:color="auto"/>
          </w:tblBorders>
        </w:tblPrEx>
        <w:tc>
          <w:tcPr>
            <w:tcW w:w="3454" w:type="dxa"/>
            <w:vMerge/>
            <w:tcBorders>
              <w:left w:val="single" w:sz="8" w:space="0" w:color="BFBFBF"/>
              <w:right w:val="single" w:sz="8" w:space="0" w:color="BFBFBF"/>
            </w:tcBorders>
            <w:shd w:val="clear" w:color="auto" w:fill="auto"/>
            <w:tcMar>
              <w:left w:w="0" w:type="dxa"/>
              <w:right w:w="0" w:type="dxa"/>
            </w:tcMar>
            <w:vAlign w:val="center"/>
          </w:tcPr>
          <w:p w14:paraId="649E5FF4" w14:textId="77777777" w:rsidR="00622BC0" w:rsidRDefault="00622BC0">
            <w:pPr>
              <w:widowControl w:val="0"/>
              <w:autoSpaceDE w:val="0"/>
              <w:autoSpaceDN w:val="0"/>
              <w:adjustRightInd w:val="0"/>
              <w:rPr>
                <w:rFonts w:ascii="Cambria" w:hAnsi="Cambria" w:cs="Cambria"/>
                <w:lang w:val="en-GB"/>
              </w:rPr>
            </w:pPr>
          </w:p>
        </w:tc>
        <w:tc>
          <w:tcPr>
            <w:tcW w:w="506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2AD40C6E"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Presidential Regulation No. 82 of 2016 on Inclusive Finance</w:t>
            </w:r>
          </w:p>
        </w:tc>
      </w:tr>
      <w:tr w:rsidR="00622BC0" w14:paraId="76C54EC2" w14:textId="77777777">
        <w:tblPrEx>
          <w:tblBorders>
            <w:top w:val="none" w:sz="0" w:space="0" w:color="auto"/>
            <w:bottom w:val="single" w:sz="4" w:space="0" w:color="auto"/>
          </w:tblBorders>
        </w:tblPrEx>
        <w:tc>
          <w:tcPr>
            <w:tcW w:w="3454" w:type="dxa"/>
            <w:vMerge/>
            <w:tcBorders>
              <w:left w:val="single" w:sz="8" w:space="0" w:color="BFBFBF"/>
              <w:bottom w:val="single" w:sz="8" w:space="0" w:color="BFBFBF"/>
              <w:right w:val="single" w:sz="8" w:space="0" w:color="BFBFBF"/>
            </w:tcBorders>
            <w:shd w:val="clear" w:color="auto" w:fill="auto"/>
            <w:tcMar>
              <w:top w:w="0" w:type="dxa"/>
              <w:right w:w="0" w:type="dxa"/>
            </w:tcMar>
            <w:vAlign w:val="center"/>
          </w:tcPr>
          <w:p w14:paraId="6D5E1E96" w14:textId="77777777" w:rsidR="00622BC0" w:rsidRDefault="00622BC0">
            <w:pPr>
              <w:widowControl w:val="0"/>
              <w:autoSpaceDE w:val="0"/>
              <w:autoSpaceDN w:val="0"/>
              <w:adjustRightInd w:val="0"/>
              <w:spacing w:line="276" w:lineRule="auto"/>
              <w:ind w:right="-6"/>
              <w:rPr>
                <w:rFonts w:ascii="Cambria" w:hAnsi="Cambria" w:cs="Cambria"/>
                <w:lang w:val="en-GB"/>
              </w:rPr>
            </w:pPr>
          </w:p>
        </w:tc>
        <w:tc>
          <w:tcPr>
            <w:tcW w:w="506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4EC8572E"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Presidential Regulation No. 75 of 2015 on the National Human Rights Action Plan (amended by Presidential Regulation No. 35 of 2011 on the National Human Rights Action Plan for 2015-2019)</w:t>
            </w:r>
          </w:p>
        </w:tc>
      </w:tr>
    </w:tbl>
    <w:p w14:paraId="0A6B5A85" w14:textId="77777777" w:rsidR="00622BC0" w:rsidRDefault="00622BC0">
      <w:pPr>
        <w:widowControl w:val="0"/>
        <w:autoSpaceDE w:val="0"/>
        <w:autoSpaceDN w:val="0"/>
        <w:adjustRightInd w:val="0"/>
        <w:spacing w:after="200"/>
        <w:ind w:right="-6"/>
        <w:jc w:val="both"/>
        <w:rPr>
          <w:rFonts w:ascii="Cambria" w:hAnsi="Cambria" w:cs="Cambria"/>
          <w:b/>
          <w:bCs/>
          <w:lang w:val="en-GB"/>
        </w:rPr>
      </w:pPr>
    </w:p>
    <w:p w14:paraId="537C6579" w14:textId="77777777" w:rsidR="00622BC0" w:rsidRPr="002163D6" w:rsidRDefault="00826C5A">
      <w:pPr>
        <w:widowControl w:val="0"/>
        <w:autoSpaceDE w:val="0"/>
        <w:autoSpaceDN w:val="0"/>
        <w:adjustRightInd w:val="0"/>
        <w:spacing w:after="200"/>
        <w:ind w:right="-6"/>
        <w:jc w:val="both"/>
        <w:rPr>
          <w:rFonts w:ascii="Cambria" w:hAnsi="Cambria" w:cs="Cambria"/>
          <w:lang w:val="en-GB"/>
        </w:rPr>
      </w:pPr>
      <w:r w:rsidRPr="002163D6">
        <w:rPr>
          <w:rFonts w:ascii="Cambria" w:hAnsi="Cambria" w:cs="Cambria"/>
          <w:b/>
          <w:bCs/>
          <w:lang w:val="en-GB"/>
        </w:rPr>
        <w:t>Implementation and Programmes</w:t>
      </w:r>
    </w:p>
    <w:p w14:paraId="664DC5E5" w14:textId="77777777" w:rsidR="00622BC0" w:rsidRDefault="00826C5A">
      <w:pPr>
        <w:widowControl w:val="0"/>
        <w:autoSpaceDE w:val="0"/>
        <w:autoSpaceDN w:val="0"/>
        <w:adjustRightInd w:val="0"/>
        <w:spacing w:after="200"/>
        <w:ind w:right="-6"/>
        <w:jc w:val="both"/>
        <w:rPr>
          <w:rFonts w:ascii="Cambria" w:hAnsi="Cambria" w:cs="Cambria"/>
          <w:lang w:val="en-GB"/>
        </w:rPr>
      </w:pPr>
      <w:r w:rsidRPr="002163D6">
        <w:rPr>
          <w:rFonts w:ascii="Cambria" w:hAnsi="Cambria" w:cs="Cambria"/>
          <w:lang w:val="en-GB"/>
        </w:rPr>
        <w:t>Reports show that it is exceedingly difficult to optimally</w:t>
      </w:r>
      <w:r>
        <w:rPr>
          <w:rFonts w:ascii="Cambria" w:hAnsi="Cambria" w:cs="Cambria"/>
          <w:lang w:val="en-GB"/>
        </w:rPr>
        <w:t xml:space="preserve"> accommodate all the different disability types in the labour market. According to the Ministry of Social Affairs, labour’s “problem with disability” is not only at the recruitment stage, but also continues to actual work environments: inaccessible communication devices that contribute to discrimination and stigma; building features that do not take </w:t>
      </w:r>
      <w:r>
        <w:rPr>
          <w:rFonts w:ascii="Cambria" w:hAnsi="Cambria" w:cs="Cambria"/>
          <w:lang w:val="en-GB"/>
        </w:rPr>
        <w:lastRenderedPageBreak/>
        <w:t xml:space="preserve">persons with disabilities into account; work equipment that lack reasonable accommodations, etc (Margo, Interview, 2019). </w:t>
      </w:r>
    </w:p>
    <w:p w14:paraId="37BC666B"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Therefore, during the 2019 civil servants recruitment drive, the Ministry through the Directorate of Social Rehabilitation of Persons with Disabilities set out to identify accessibility needs (reasonable accommodations), so that persons with disabilities would be appropriately supported at work (</w:t>
      </w:r>
      <w:proofErr w:type="spellStart"/>
      <w:r>
        <w:rPr>
          <w:rFonts w:ascii="Cambria" w:hAnsi="Cambria" w:cs="Cambria"/>
          <w:lang w:val="en-GB"/>
        </w:rPr>
        <w:t>Ema</w:t>
      </w:r>
      <w:proofErr w:type="spellEnd"/>
      <w:r>
        <w:rPr>
          <w:rFonts w:ascii="Cambria" w:hAnsi="Cambria" w:cs="Cambria"/>
          <w:lang w:val="en-GB"/>
        </w:rPr>
        <w:t>, Interview, 2019).</w:t>
      </w:r>
    </w:p>
    <w:p w14:paraId="51B1EF83"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In addition, the Ministry entered into Memorandums of Understanding with various companies in a joint effort to absorb persons with disabilities in the workplace. The programme is merit based; therefore, training and internships are also structured to increase the capacity of persons with disabilities to become a competitive workforce. </w:t>
      </w:r>
    </w:p>
    <w:p w14:paraId="323E49DC"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In Yogyakarta, several recruitment barriers for persons with disabilities were identified, e.g. lack of accessibility. It emerged that creating a disabilities-friendly environment and the appropriate accessibilities required considerable budget adjustments. In addition, potential management challenges were cited, e.g. accurate data on persons with disabilities, discrepancies in matching skills set with available work positions, etc. </w:t>
      </w:r>
    </w:p>
    <w:p w14:paraId="2BF21BEA"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essence, the social construction of suitable employment for persons with disabilities defies the principle of non-discrimination. If these persons had fully inclusive education in the first place, they would have comparable skills set and requisite knowledge to compete in the open labour market. This challenge is what makes the absorption of persons with disabilities in private companies in Yogyakarta barely minimum. According to the Institute for Workability, out of 3,886 companies in Yogyakarta, only 58 or 1.5% employ persons with disabilities.</w:t>
      </w:r>
    </w:p>
    <w:p w14:paraId="02259762"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From a national perspective, this is alarming data. Yet, the findings agree that the rights for persons with disabilities in the workforce and public sphere are not being properly addressed because of a misconception: that immense budgets are required in order to meet all the needs of persons with disabilities and, thereby, fully include them in all spheres of life.</w:t>
      </w:r>
    </w:p>
    <w:p w14:paraId="772D46FE"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Participation of Civil Society and OPDs</w:t>
      </w:r>
    </w:p>
    <w:p w14:paraId="1F09678D" w14:textId="1C931D28"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2019 shadow VNR report by OPD</w:t>
      </w:r>
      <w:r w:rsidR="0067025E">
        <w:rPr>
          <w:rFonts w:ascii="Cambria" w:hAnsi="Cambria" w:cs="Cambria"/>
          <w:lang w:val="en-GB"/>
        </w:rPr>
        <w:t>s</w:t>
      </w:r>
      <w:r>
        <w:rPr>
          <w:rFonts w:ascii="Cambria" w:hAnsi="Cambria" w:cs="Cambria"/>
          <w:lang w:val="en-GB"/>
        </w:rPr>
        <w:t xml:space="preserve"> in Indonesia notes that it is necessary for persons with disabilities to adapt to industrial changes heralded by information technology. This encourages Indonesian persons with disabilities to not only equip themselves with conventional work skills but also proficiency in digital skills and e-commerce (See VNR, OPD</w:t>
      </w:r>
      <w:r w:rsidR="0067025E">
        <w:rPr>
          <w:rFonts w:ascii="Cambria" w:hAnsi="Cambria" w:cs="Cambria"/>
          <w:lang w:val="en-GB"/>
        </w:rPr>
        <w:t>s</w:t>
      </w:r>
      <w:r>
        <w:rPr>
          <w:rFonts w:ascii="Cambria" w:hAnsi="Cambria" w:cs="Cambria"/>
          <w:lang w:val="en-GB"/>
        </w:rPr>
        <w:t xml:space="preserve"> Indonesia, 2019). Thus, more income opportunities would become available for persons with disabilities. </w:t>
      </w:r>
    </w:p>
    <w:p w14:paraId="46D65E92"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Of course, several barriers must first be removed. The VNR lists important barriers as: (1) access to education; that many children with disabilities are unable to attend school -- out of some 1.6 million children with disabilities in Indonesia, only 18% are able to access education, according to the Ministry of Education; (2) </w:t>
      </w:r>
      <w:r>
        <w:rPr>
          <w:rFonts w:ascii="Cambria" w:hAnsi="Cambria" w:cs="Cambria"/>
          <w:lang w:val="en-GB"/>
        </w:rPr>
        <w:lastRenderedPageBreak/>
        <w:t>empowerment persons with disabilities in line with their interests and skills and (3) inaccessibility to public facilities (Indonesian VNR, 2019).</w:t>
      </w:r>
    </w:p>
    <w:p w14:paraId="28F6D26B"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Although systems are provided for to ensure absorption of persons with disabilities particularly in public service, administrative barriers such as the required mental health certificate mentioned elsewhere in this report will lock out person with intellectual disabilities (Damayanti, Interview, 2019) Moreover, work environment can quickly become inconvenient for persons with intellectual disabilities who may periodically require medical therapy for specific conditions. To visit a therapist, they would need to obtain authorisation from the workplace. This revelation is enough to trigger termination, because, for example, they may be wrongly stereotyped as drug users. (Damayanti, Interview, 2019).</w:t>
      </w:r>
    </w:p>
    <w:p w14:paraId="1FF3225F"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Clearly, therefore, persons with psychological and other forms of disabilities need affirmative action, both by governments and employers. In this regard, OHANA in Yogyakarta has made progress. They not only employ persons with disabilities, but training, e.g. for persons who use wheelchairs are is provided with the requisite expertise (</w:t>
      </w:r>
      <w:proofErr w:type="spellStart"/>
      <w:r>
        <w:rPr>
          <w:rFonts w:ascii="Cambria" w:hAnsi="Cambria" w:cs="Cambria"/>
          <w:lang w:val="en-GB"/>
        </w:rPr>
        <w:t>Utami</w:t>
      </w:r>
      <w:proofErr w:type="spellEnd"/>
      <w:r>
        <w:rPr>
          <w:rFonts w:ascii="Cambria" w:hAnsi="Cambria" w:cs="Cambria"/>
          <w:lang w:val="en-GB"/>
        </w:rPr>
        <w:t xml:space="preserve">, Interview, 2019). All levels of government are in dire need of various expertise and, generally, assistive technology services. </w:t>
      </w:r>
    </w:p>
    <w:p w14:paraId="4D7A65A3"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Above all, perspectives need to change, not only at state level and regional government level but also in the private sector. A paradigm shift is required, to view persons with disabilities not as the object, but subject of development. This way, the impact on the country's economic growth would be transformative (ILO, 2015).</w:t>
      </w:r>
    </w:p>
    <w:p w14:paraId="6B99F0DC" w14:textId="77777777" w:rsidR="00622BC0" w:rsidRDefault="00622BC0">
      <w:pPr>
        <w:widowControl w:val="0"/>
        <w:autoSpaceDE w:val="0"/>
        <w:autoSpaceDN w:val="0"/>
        <w:adjustRightInd w:val="0"/>
        <w:spacing w:after="200"/>
        <w:ind w:right="-6"/>
        <w:jc w:val="both"/>
        <w:rPr>
          <w:rFonts w:ascii="Cambria" w:hAnsi="Cambria" w:cs="Cambria"/>
          <w:lang w:val="en-GB"/>
        </w:rPr>
      </w:pPr>
    </w:p>
    <w:p w14:paraId="0BBA0F2D"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7.</w:t>
      </w:r>
      <w:r>
        <w:rPr>
          <w:rFonts w:ascii="Cambria" w:hAnsi="Cambria" w:cs="Cambria"/>
          <w:b/>
          <w:bCs/>
          <w:lang w:val="en-GB"/>
        </w:rPr>
        <w:tab/>
        <w:t>SDG Goal 11: Sustainable Cities and Communities</w:t>
      </w:r>
    </w:p>
    <w:p w14:paraId="7BE4F082"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Policy and Regulations</w:t>
      </w:r>
    </w:p>
    <w:p w14:paraId="18EBB027"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To achieve SDG 11, are Sustainable Smart City and Communities (SSC), it does not suffice just to build physically accessible infrastructure. Rather, focus should be put on optimizing available resources, economy, social, culture, education, public transportation and essential public services to increase quality of life. The next important element would be the principle of diversity. In Indonesia, the increasing urbanisation, if not balanced with the principle of diversity, will increase the risk of social and cultural friction.</w:t>
      </w:r>
    </w:p>
    <w:p w14:paraId="24D184A3"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table below lists laws and regulations in accessibility and inclusive environment for persons with disabilities in the public sphere: </w:t>
      </w:r>
    </w:p>
    <w:p w14:paraId="14DA2B19"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Table 6: Law and Regulations on Accessibility in Indonesia</w:t>
      </w:r>
    </w:p>
    <w:tbl>
      <w:tblPr>
        <w:tblW w:w="8308"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3472"/>
        <w:gridCol w:w="4836"/>
      </w:tblGrid>
      <w:tr w:rsidR="00622BC0" w14:paraId="529E97AF" w14:textId="77777777">
        <w:tc>
          <w:tcPr>
            <w:tcW w:w="3472" w:type="dxa"/>
            <w:vMerge w:val="restart"/>
            <w:tcBorders>
              <w:top w:val="single" w:sz="8" w:space="0" w:color="BFBFBF"/>
              <w:left w:val="single" w:sz="8" w:space="0" w:color="BFBFBF"/>
              <w:right w:val="single" w:sz="8" w:space="0" w:color="BFBFBF"/>
            </w:tcBorders>
            <w:shd w:val="clear" w:color="auto" w:fill="auto"/>
            <w:tcMar>
              <w:left w:w="0" w:type="dxa"/>
              <w:right w:w="0" w:type="dxa"/>
            </w:tcMar>
            <w:vAlign w:val="center"/>
          </w:tcPr>
          <w:p w14:paraId="10B4154F"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Laws</w:t>
            </w:r>
          </w:p>
        </w:tc>
        <w:tc>
          <w:tcPr>
            <w:tcW w:w="4836"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67A22627"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Law No 28 of 2002 on Building Infrastructure </w:t>
            </w:r>
          </w:p>
        </w:tc>
      </w:tr>
      <w:tr w:rsidR="00622BC0" w14:paraId="73204BB6" w14:textId="77777777">
        <w:tblPrEx>
          <w:tblBorders>
            <w:top w:val="none" w:sz="0" w:space="0" w:color="auto"/>
          </w:tblBorders>
        </w:tblPrEx>
        <w:tc>
          <w:tcPr>
            <w:tcW w:w="3472" w:type="dxa"/>
            <w:vMerge/>
            <w:tcBorders>
              <w:left w:val="single" w:sz="8" w:space="0" w:color="BFBFBF"/>
              <w:right w:val="single" w:sz="8" w:space="0" w:color="BFBFBF"/>
            </w:tcBorders>
            <w:shd w:val="clear" w:color="auto" w:fill="auto"/>
            <w:tcMar>
              <w:left w:w="0" w:type="dxa"/>
              <w:right w:w="0" w:type="dxa"/>
            </w:tcMar>
            <w:vAlign w:val="center"/>
          </w:tcPr>
          <w:p w14:paraId="292DF588" w14:textId="77777777" w:rsidR="00622BC0" w:rsidRDefault="00622BC0">
            <w:pPr>
              <w:widowControl w:val="0"/>
              <w:autoSpaceDE w:val="0"/>
              <w:autoSpaceDN w:val="0"/>
              <w:adjustRightInd w:val="0"/>
              <w:rPr>
                <w:rFonts w:ascii="Cambria" w:hAnsi="Cambria" w:cs="Cambria"/>
                <w:lang w:val="en-GB"/>
              </w:rPr>
            </w:pPr>
          </w:p>
        </w:tc>
        <w:tc>
          <w:tcPr>
            <w:tcW w:w="4836"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63313DE4"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No. 8 of 2016 on Persons with Disabilities</w:t>
            </w:r>
          </w:p>
        </w:tc>
      </w:tr>
      <w:tr w:rsidR="00622BC0" w14:paraId="0BF93920" w14:textId="77777777">
        <w:tblPrEx>
          <w:tblBorders>
            <w:top w:val="none" w:sz="0" w:space="0" w:color="auto"/>
          </w:tblBorders>
        </w:tblPrEx>
        <w:tc>
          <w:tcPr>
            <w:tcW w:w="3472" w:type="dxa"/>
            <w:vMerge/>
            <w:tcBorders>
              <w:left w:val="single" w:sz="8" w:space="0" w:color="BFBFBF"/>
              <w:bottom w:val="single" w:sz="8" w:space="0" w:color="BFBFBF"/>
              <w:right w:val="single" w:sz="8" w:space="0" w:color="BFBFBF"/>
            </w:tcBorders>
            <w:shd w:val="clear" w:color="auto" w:fill="auto"/>
            <w:tcMar>
              <w:top w:w="0" w:type="dxa"/>
              <w:right w:w="0" w:type="dxa"/>
            </w:tcMar>
            <w:vAlign w:val="center"/>
          </w:tcPr>
          <w:p w14:paraId="390576EF" w14:textId="77777777" w:rsidR="00622BC0" w:rsidRDefault="00622BC0">
            <w:pPr>
              <w:widowControl w:val="0"/>
              <w:autoSpaceDE w:val="0"/>
              <w:autoSpaceDN w:val="0"/>
              <w:adjustRightInd w:val="0"/>
              <w:spacing w:line="276" w:lineRule="auto"/>
              <w:ind w:right="-6"/>
              <w:rPr>
                <w:rFonts w:ascii="Cambria" w:hAnsi="Cambria" w:cs="Cambria"/>
                <w:lang w:val="en-GB"/>
              </w:rPr>
            </w:pPr>
          </w:p>
        </w:tc>
        <w:tc>
          <w:tcPr>
            <w:tcW w:w="4836"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21B0855E"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No. 1 of 2011 on Housing and Residential Areas</w:t>
            </w:r>
          </w:p>
        </w:tc>
      </w:tr>
      <w:tr w:rsidR="00622BC0" w14:paraId="5F0B4340" w14:textId="77777777">
        <w:tblPrEx>
          <w:tblBorders>
            <w:top w:val="none" w:sz="0" w:space="0" w:color="auto"/>
          </w:tblBorders>
        </w:tblPrEx>
        <w:tc>
          <w:tcPr>
            <w:tcW w:w="3472" w:type="dxa"/>
            <w:vMerge w:val="restart"/>
            <w:tcBorders>
              <w:top w:val="single" w:sz="8" w:space="0" w:color="BFBFBF"/>
              <w:left w:val="single" w:sz="8" w:space="0" w:color="BFBFBF"/>
              <w:right w:val="single" w:sz="8" w:space="0" w:color="BFBFBF"/>
            </w:tcBorders>
            <w:shd w:val="clear" w:color="auto" w:fill="auto"/>
            <w:tcMar>
              <w:left w:w="0" w:type="dxa"/>
              <w:right w:w="0" w:type="dxa"/>
            </w:tcMar>
            <w:vAlign w:val="center"/>
          </w:tcPr>
          <w:p w14:paraId="73112929"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Regulations</w:t>
            </w:r>
          </w:p>
        </w:tc>
        <w:tc>
          <w:tcPr>
            <w:tcW w:w="4836"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7464EDFF"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Regulation of Minister of Public Works and Housing No. 1 of 2018 on Assistance in the Development and Management of Flats</w:t>
            </w:r>
          </w:p>
        </w:tc>
      </w:tr>
      <w:tr w:rsidR="00622BC0" w14:paraId="2E2C8AA0" w14:textId="77777777">
        <w:tblPrEx>
          <w:tblBorders>
            <w:top w:val="none" w:sz="0" w:space="0" w:color="auto"/>
          </w:tblBorders>
        </w:tblPrEx>
        <w:tc>
          <w:tcPr>
            <w:tcW w:w="3472" w:type="dxa"/>
            <w:vMerge/>
            <w:tcBorders>
              <w:left w:val="single" w:sz="8" w:space="0" w:color="BFBFBF"/>
              <w:right w:val="single" w:sz="8" w:space="0" w:color="BFBFBF"/>
            </w:tcBorders>
            <w:shd w:val="clear" w:color="auto" w:fill="auto"/>
            <w:tcMar>
              <w:left w:w="0" w:type="dxa"/>
              <w:right w:w="0" w:type="dxa"/>
            </w:tcMar>
            <w:vAlign w:val="center"/>
          </w:tcPr>
          <w:p w14:paraId="4E1FD294" w14:textId="77777777" w:rsidR="00622BC0" w:rsidRDefault="00622BC0">
            <w:pPr>
              <w:widowControl w:val="0"/>
              <w:autoSpaceDE w:val="0"/>
              <w:autoSpaceDN w:val="0"/>
              <w:adjustRightInd w:val="0"/>
              <w:rPr>
                <w:rFonts w:ascii="Cambria" w:hAnsi="Cambria" w:cs="Cambria"/>
                <w:lang w:val="en-GB"/>
              </w:rPr>
            </w:pPr>
          </w:p>
        </w:tc>
        <w:tc>
          <w:tcPr>
            <w:tcW w:w="4836"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35DE59EC"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Regulation of Minister of Public Works and Housing No 14 of 2017 on Facilities in the Building Requirement</w:t>
            </w:r>
          </w:p>
        </w:tc>
      </w:tr>
      <w:tr w:rsidR="00622BC0" w14:paraId="7647AD45" w14:textId="77777777">
        <w:tblPrEx>
          <w:tblBorders>
            <w:top w:val="none" w:sz="0" w:space="0" w:color="auto"/>
            <w:bottom w:val="single" w:sz="4" w:space="0" w:color="auto"/>
          </w:tblBorders>
        </w:tblPrEx>
        <w:tc>
          <w:tcPr>
            <w:tcW w:w="3472" w:type="dxa"/>
            <w:vMerge/>
            <w:tcBorders>
              <w:left w:val="single" w:sz="8" w:space="0" w:color="BFBFBF"/>
              <w:bottom w:val="single" w:sz="8" w:space="0" w:color="BFBFBF"/>
              <w:right w:val="single" w:sz="8" w:space="0" w:color="BFBFBF"/>
            </w:tcBorders>
            <w:shd w:val="clear" w:color="auto" w:fill="auto"/>
            <w:tcMar>
              <w:top w:w="0" w:type="dxa"/>
              <w:right w:w="0" w:type="dxa"/>
            </w:tcMar>
            <w:vAlign w:val="center"/>
          </w:tcPr>
          <w:p w14:paraId="7DCEF86F" w14:textId="77777777" w:rsidR="00622BC0" w:rsidRDefault="00622BC0">
            <w:pPr>
              <w:widowControl w:val="0"/>
              <w:autoSpaceDE w:val="0"/>
              <w:autoSpaceDN w:val="0"/>
              <w:adjustRightInd w:val="0"/>
              <w:spacing w:line="276" w:lineRule="auto"/>
              <w:ind w:right="-6"/>
              <w:rPr>
                <w:rFonts w:ascii="Cambria" w:hAnsi="Cambria" w:cs="Cambria"/>
                <w:lang w:val="en-GB"/>
              </w:rPr>
            </w:pPr>
          </w:p>
        </w:tc>
        <w:tc>
          <w:tcPr>
            <w:tcW w:w="4836"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081DB223"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Regulation of Minister of Transportation No. 98 of 2017 on the Provision of Accessibility to Public Transportation Services for Users with Special Needs</w:t>
            </w:r>
          </w:p>
        </w:tc>
      </w:tr>
    </w:tbl>
    <w:p w14:paraId="36CF37FD" w14:textId="77777777" w:rsidR="00622BC0" w:rsidRDefault="00622BC0">
      <w:pPr>
        <w:widowControl w:val="0"/>
        <w:autoSpaceDE w:val="0"/>
        <w:autoSpaceDN w:val="0"/>
        <w:adjustRightInd w:val="0"/>
        <w:spacing w:after="200"/>
        <w:ind w:right="-6"/>
        <w:jc w:val="both"/>
        <w:rPr>
          <w:rFonts w:ascii="Cambria" w:hAnsi="Cambria" w:cs="Cambria"/>
          <w:lang w:val="en-GB"/>
        </w:rPr>
      </w:pPr>
    </w:p>
    <w:p w14:paraId="46A3AB91"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above regulations direction on physical planning, including for public buildings and residential housing. The objective is to standardise building principles in order to create universal design that caters for safety, convenience, efficiency, independence and equality for everyone, including the vulnerable, such as persons with disabilities, children, older persons, and pregnant women.</w:t>
      </w:r>
    </w:p>
    <w:p w14:paraId="0FF9BE88" w14:textId="77777777" w:rsidR="00622BC0" w:rsidRPr="002163D6"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In public infrastructure, besides access to means of transportation, transportation providers must also provide training for service users with special needs. Designing and building accessible infrastructure is not the end; it’s equally important prepare everyone, particularly persons with disabilities, to properly utilise </w:t>
      </w:r>
      <w:r w:rsidRPr="002163D6">
        <w:rPr>
          <w:rFonts w:ascii="Cambria" w:hAnsi="Cambria" w:cs="Cambria"/>
          <w:lang w:val="en-GB"/>
        </w:rPr>
        <w:t>these facilities.</w:t>
      </w:r>
    </w:p>
    <w:p w14:paraId="7B0F2D9C" w14:textId="77777777" w:rsidR="00622BC0" w:rsidRPr="002163D6" w:rsidRDefault="00622BC0">
      <w:pPr>
        <w:widowControl w:val="0"/>
        <w:autoSpaceDE w:val="0"/>
        <w:autoSpaceDN w:val="0"/>
        <w:adjustRightInd w:val="0"/>
        <w:spacing w:after="200"/>
        <w:ind w:right="-6"/>
        <w:jc w:val="both"/>
        <w:rPr>
          <w:rFonts w:ascii="Cambria" w:hAnsi="Cambria" w:cs="Cambria"/>
          <w:lang w:val="en-GB"/>
        </w:rPr>
      </w:pPr>
    </w:p>
    <w:p w14:paraId="1055C172" w14:textId="77777777" w:rsidR="00622BC0" w:rsidRPr="002163D6" w:rsidRDefault="00826C5A">
      <w:pPr>
        <w:widowControl w:val="0"/>
        <w:autoSpaceDE w:val="0"/>
        <w:autoSpaceDN w:val="0"/>
        <w:adjustRightInd w:val="0"/>
        <w:spacing w:after="200"/>
        <w:ind w:right="-6"/>
        <w:jc w:val="both"/>
        <w:rPr>
          <w:rFonts w:ascii="Cambria" w:hAnsi="Cambria" w:cs="Cambria"/>
          <w:lang w:val="en-GB"/>
        </w:rPr>
      </w:pPr>
      <w:r w:rsidRPr="002163D6">
        <w:rPr>
          <w:rFonts w:ascii="Cambria" w:hAnsi="Cambria" w:cs="Cambria"/>
          <w:b/>
          <w:bCs/>
          <w:lang w:val="en-GB"/>
        </w:rPr>
        <w:t>Implementation and Programmes</w:t>
      </w:r>
    </w:p>
    <w:p w14:paraId="44EAEAFC" w14:textId="77777777" w:rsidR="00622BC0" w:rsidRDefault="00826C5A">
      <w:pPr>
        <w:widowControl w:val="0"/>
        <w:autoSpaceDE w:val="0"/>
        <w:autoSpaceDN w:val="0"/>
        <w:adjustRightInd w:val="0"/>
        <w:spacing w:after="200"/>
        <w:ind w:right="-6"/>
        <w:jc w:val="both"/>
        <w:rPr>
          <w:rFonts w:ascii="Cambria" w:hAnsi="Cambria" w:cs="Cambria"/>
          <w:lang w:val="en-GB"/>
        </w:rPr>
      </w:pPr>
      <w:r w:rsidRPr="002163D6">
        <w:rPr>
          <w:rFonts w:ascii="Cambria" w:hAnsi="Cambria" w:cs="Cambria"/>
          <w:lang w:val="en-GB"/>
        </w:rPr>
        <w:t>The notion of inclusive cities, sustainable smart cities, Human Rights Cities and other similar terms basically speaks to a paradigm shift to create reasonable, accessible and benevolent urban</w:t>
      </w:r>
      <w:r>
        <w:rPr>
          <w:rFonts w:ascii="Cambria" w:hAnsi="Cambria" w:cs="Cambria"/>
          <w:lang w:val="en-GB"/>
        </w:rPr>
        <w:t xml:space="preserve"> planning with citizens’ participation. In Indonesia, discussion on these issues has influenced the ideas of the recent movements in government and civil society. </w:t>
      </w:r>
    </w:p>
    <w:p w14:paraId="21CC8175"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Human Rights Cities initiative reflects two decades of activism to improve respect for human rights by local authorities. In Indonesia, the programme was formulated by the National Human Rights Commission of Indonesia (see Human District/City of Human Rights Position Paper, KOMNAS HAM - Indonesian National Human Rights Institution, 2017), as described below.</w:t>
      </w:r>
    </w:p>
    <w:p w14:paraId="3D8F26D8" w14:textId="77777777" w:rsidR="00622BC0" w:rsidRDefault="00826C5A">
      <w:pPr>
        <w:widowControl w:val="0"/>
        <w:autoSpaceDE w:val="0"/>
        <w:autoSpaceDN w:val="0"/>
        <w:adjustRightInd w:val="0"/>
        <w:spacing w:before="285" w:after="200"/>
        <w:ind w:right="-6"/>
        <w:jc w:val="both"/>
        <w:rPr>
          <w:rFonts w:ascii="Cambria" w:hAnsi="Cambria" w:cs="Cambria"/>
          <w:lang w:val="en-GB"/>
        </w:rPr>
      </w:pPr>
      <w:r>
        <w:rPr>
          <w:rFonts w:ascii="Cambria" w:hAnsi="Cambria" w:cs="Cambria"/>
          <w:lang w:val="en-GB"/>
        </w:rPr>
        <w:t xml:space="preserve">The right to the city is defined as the equitable usufruct rights of the cities within the principles of sustainability, democracy, equity and social justice. This right is a collective right of city dwellers, especially vulnerable and marginalised groups </w:t>
      </w:r>
      <w:r>
        <w:rPr>
          <w:rFonts w:ascii="Cambria" w:hAnsi="Cambria" w:cs="Cambria"/>
          <w:lang w:val="en-GB"/>
        </w:rPr>
        <w:lastRenderedPageBreak/>
        <w:t>as seen in the Figure 2.</w:t>
      </w:r>
    </w:p>
    <w:p w14:paraId="0F3A7705" w14:textId="77777777" w:rsidR="00622BC0" w:rsidRDefault="00622BC0">
      <w:pPr>
        <w:widowControl w:val="0"/>
        <w:autoSpaceDE w:val="0"/>
        <w:autoSpaceDN w:val="0"/>
        <w:adjustRightInd w:val="0"/>
        <w:spacing w:after="200"/>
        <w:ind w:right="-6"/>
        <w:jc w:val="center"/>
        <w:rPr>
          <w:rFonts w:ascii="Cambria" w:hAnsi="Cambria" w:cs="Cambria"/>
          <w:lang w:val="en-GB"/>
        </w:rPr>
      </w:pPr>
    </w:p>
    <w:p w14:paraId="50F4C272"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Figure 2 Human Rights Cities Principle by KOMNAS HAM</w:t>
      </w:r>
    </w:p>
    <w:p w14:paraId="3620819C" w14:textId="77777777" w:rsidR="00622BC0" w:rsidRDefault="00622BC0">
      <w:pPr>
        <w:widowControl w:val="0"/>
        <w:autoSpaceDE w:val="0"/>
        <w:autoSpaceDN w:val="0"/>
        <w:adjustRightInd w:val="0"/>
        <w:spacing w:after="200"/>
        <w:ind w:right="-6"/>
        <w:jc w:val="both"/>
        <w:rPr>
          <w:rFonts w:ascii="Calibri" w:hAnsi="Calibri" w:cs="Calibri"/>
          <w:lang w:val="en-GB"/>
        </w:rPr>
      </w:pPr>
    </w:p>
    <w:p w14:paraId="18191544" w14:textId="77777777" w:rsidR="00622BC0" w:rsidRDefault="00826C5A">
      <w:pPr>
        <w:widowControl w:val="0"/>
        <w:autoSpaceDE w:val="0"/>
        <w:autoSpaceDN w:val="0"/>
        <w:adjustRightInd w:val="0"/>
        <w:ind w:right="-6"/>
        <w:rPr>
          <w:rFonts w:ascii="Calibri" w:hAnsi="Calibri" w:cs="Calibri"/>
          <w:lang w:val="en-GB"/>
        </w:rPr>
      </w:pPr>
      <w:r>
        <w:rPr>
          <w:noProof/>
          <w:lang w:val="en-GB"/>
        </w:rPr>
        <w:drawing>
          <wp:inline distT="0" distB="0" distL="0" distR="0" wp14:anchorId="6A1B1B30" wp14:editId="2CEEF913">
            <wp:extent cx="5270500" cy="2868930"/>
            <wp:effectExtent l="0" t="0" r="0" b="1270"/>
            <wp:docPr id="17067" name="Picture 17067"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17067" name="Picture 17067" descr="A close up of a logo&#10;&#10;Description automatically generated"/>
                    <pic:cNvPicPr/>
                  </pic:nvPicPr>
                  <pic:blipFill>
                    <a:blip r:embed="rId60"/>
                    <a:stretch>
                      <a:fillRect/>
                    </a:stretch>
                  </pic:blipFill>
                  <pic:spPr>
                    <a:xfrm>
                      <a:off x="0" y="0"/>
                      <a:ext cx="5270500" cy="2869163"/>
                    </a:xfrm>
                    <a:prstGeom prst="rect">
                      <a:avLst/>
                    </a:prstGeom>
                  </pic:spPr>
                </pic:pic>
              </a:graphicData>
            </a:graphic>
          </wp:inline>
        </w:drawing>
      </w:r>
    </w:p>
    <w:p w14:paraId="092C5AD8" w14:textId="237C7BE3" w:rsidR="00622BC0" w:rsidRDefault="00622BC0" w:rsidP="002163D6">
      <w:pPr>
        <w:widowControl w:val="0"/>
        <w:autoSpaceDE w:val="0"/>
        <w:autoSpaceDN w:val="0"/>
        <w:adjustRightInd w:val="0"/>
        <w:spacing w:after="200"/>
        <w:ind w:right="-6"/>
        <w:rPr>
          <w:rFonts w:ascii="Cambria" w:hAnsi="Cambria" w:cs="Cambria"/>
          <w:lang w:val="en-GB"/>
        </w:rPr>
      </w:pPr>
    </w:p>
    <w:p w14:paraId="79A96F7B" w14:textId="7426AE7A" w:rsidR="002163D6" w:rsidRDefault="002163D6" w:rsidP="002163D6">
      <w:pPr>
        <w:widowControl w:val="0"/>
        <w:autoSpaceDE w:val="0"/>
        <w:autoSpaceDN w:val="0"/>
        <w:adjustRightInd w:val="0"/>
        <w:spacing w:after="200"/>
        <w:ind w:right="-6"/>
        <w:rPr>
          <w:rFonts w:ascii="Cambria" w:hAnsi="Cambria" w:cs="Cambria"/>
          <w:lang w:val="en-GB"/>
        </w:rPr>
      </w:pPr>
    </w:p>
    <w:p w14:paraId="0B0074A3" w14:textId="2B873D80" w:rsidR="002163D6" w:rsidRDefault="002163D6" w:rsidP="002163D6">
      <w:pPr>
        <w:widowControl w:val="0"/>
        <w:autoSpaceDE w:val="0"/>
        <w:autoSpaceDN w:val="0"/>
        <w:adjustRightInd w:val="0"/>
        <w:spacing w:after="200"/>
        <w:ind w:right="-6"/>
        <w:rPr>
          <w:rFonts w:ascii="Cambria" w:hAnsi="Cambria" w:cs="Cambria"/>
          <w:lang w:val="en-GB"/>
        </w:rPr>
      </w:pPr>
    </w:p>
    <w:p w14:paraId="7E4F1862" w14:textId="3B677358" w:rsidR="002163D6" w:rsidRDefault="002163D6" w:rsidP="002163D6">
      <w:pPr>
        <w:widowControl w:val="0"/>
        <w:autoSpaceDE w:val="0"/>
        <w:autoSpaceDN w:val="0"/>
        <w:adjustRightInd w:val="0"/>
        <w:spacing w:after="200"/>
        <w:ind w:right="-6"/>
        <w:rPr>
          <w:rFonts w:ascii="Cambria" w:hAnsi="Cambria" w:cs="Cambria"/>
          <w:lang w:val="en-GB"/>
        </w:rPr>
      </w:pPr>
    </w:p>
    <w:p w14:paraId="0AC0C7AC" w14:textId="20B8B6A7" w:rsidR="002163D6" w:rsidRDefault="002163D6" w:rsidP="002163D6">
      <w:pPr>
        <w:widowControl w:val="0"/>
        <w:autoSpaceDE w:val="0"/>
        <w:autoSpaceDN w:val="0"/>
        <w:adjustRightInd w:val="0"/>
        <w:spacing w:after="200"/>
        <w:ind w:right="-6"/>
        <w:rPr>
          <w:rFonts w:ascii="Cambria" w:hAnsi="Cambria" w:cs="Cambria"/>
          <w:lang w:val="en-GB"/>
        </w:rPr>
      </w:pPr>
    </w:p>
    <w:p w14:paraId="6943DBBD" w14:textId="6B51CEE7" w:rsidR="002163D6" w:rsidRDefault="002163D6" w:rsidP="002163D6">
      <w:pPr>
        <w:widowControl w:val="0"/>
        <w:autoSpaceDE w:val="0"/>
        <w:autoSpaceDN w:val="0"/>
        <w:adjustRightInd w:val="0"/>
        <w:spacing w:after="200"/>
        <w:ind w:right="-6"/>
        <w:rPr>
          <w:rFonts w:ascii="Cambria" w:hAnsi="Cambria" w:cs="Cambria"/>
          <w:lang w:val="en-GB"/>
        </w:rPr>
      </w:pPr>
    </w:p>
    <w:p w14:paraId="3C7B6DAD" w14:textId="662B6621" w:rsidR="002163D6" w:rsidRDefault="002163D6" w:rsidP="002163D6">
      <w:pPr>
        <w:widowControl w:val="0"/>
        <w:autoSpaceDE w:val="0"/>
        <w:autoSpaceDN w:val="0"/>
        <w:adjustRightInd w:val="0"/>
        <w:spacing w:after="200"/>
        <w:ind w:right="-6"/>
        <w:rPr>
          <w:rFonts w:ascii="Cambria" w:hAnsi="Cambria" w:cs="Cambria"/>
          <w:lang w:val="en-GB"/>
        </w:rPr>
      </w:pPr>
    </w:p>
    <w:p w14:paraId="29F9E97D" w14:textId="737F30A8" w:rsidR="002163D6" w:rsidRDefault="002163D6" w:rsidP="002163D6">
      <w:pPr>
        <w:widowControl w:val="0"/>
        <w:autoSpaceDE w:val="0"/>
        <w:autoSpaceDN w:val="0"/>
        <w:adjustRightInd w:val="0"/>
        <w:spacing w:after="200"/>
        <w:ind w:right="-6"/>
        <w:rPr>
          <w:rFonts w:ascii="Cambria" w:hAnsi="Cambria" w:cs="Cambria"/>
          <w:lang w:val="en-GB"/>
        </w:rPr>
      </w:pPr>
    </w:p>
    <w:p w14:paraId="717A8B79" w14:textId="05459746" w:rsidR="002163D6" w:rsidRDefault="002163D6" w:rsidP="002163D6">
      <w:pPr>
        <w:widowControl w:val="0"/>
        <w:autoSpaceDE w:val="0"/>
        <w:autoSpaceDN w:val="0"/>
        <w:adjustRightInd w:val="0"/>
        <w:spacing w:after="200"/>
        <w:ind w:right="-6"/>
        <w:rPr>
          <w:rFonts w:ascii="Cambria" w:hAnsi="Cambria" w:cs="Cambria"/>
          <w:lang w:val="en-GB"/>
        </w:rPr>
      </w:pPr>
    </w:p>
    <w:p w14:paraId="59C904B6" w14:textId="0FC6A15F" w:rsidR="002163D6" w:rsidRDefault="002163D6" w:rsidP="002163D6">
      <w:pPr>
        <w:widowControl w:val="0"/>
        <w:autoSpaceDE w:val="0"/>
        <w:autoSpaceDN w:val="0"/>
        <w:adjustRightInd w:val="0"/>
        <w:spacing w:after="200"/>
        <w:ind w:right="-6"/>
        <w:rPr>
          <w:rFonts w:ascii="Cambria" w:hAnsi="Cambria" w:cs="Cambria"/>
          <w:lang w:val="en-GB"/>
        </w:rPr>
      </w:pPr>
    </w:p>
    <w:p w14:paraId="52297887" w14:textId="1C01A3AB" w:rsidR="002163D6" w:rsidRDefault="002163D6" w:rsidP="002163D6">
      <w:pPr>
        <w:widowControl w:val="0"/>
        <w:autoSpaceDE w:val="0"/>
        <w:autoSpaceDN w:val="0"/>
        <w:adjustRightInd w:val="0"/>
        <w:spacing w:after="200"/>
        <w:ind w:right="-6"/>
        <w:rPr>
          <w:rFonts w:ascii="Cambria" w:hAnsi="Cambria" w:cs="Cambria"/>
          <w:lang w:val="en-GB"/>
        </w:rPr>
      </w:pPr>
    </w:p>
    <w:p w14:paraId="05F09BAF" w14:textId="77777777" w:rsidR="002163D6" w:rsidRDefault="002163D6" w:rsidP="002163D6">
      <w:pPr>
        <w:widowControl w:val="0"/>
        <w:autoSpaceDE w:val="0"/>
        <w:autoSpaceDN w:val="0"/>
        <w:adjustRightInd w:val="0"/>
        <w:spacing w:after="200"/>
        <w:ind w:right="-6"/>
        <w:rPr>
          <w:rFonts w:ascii="Cambria" w:hAnsi="Cambria" w:cs="Cambria"/>
          <w:lang w:val="en-GB"/>
        </w:rPr>
      </w:pPr>
    </w:p>
    <w:p w14:paraId="05A5D45C"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Figure 3 Human Rights Cities Principle by INFID</w:t>
      </w:r>
    </w:p>
    <w:p w14:paraId="1E3DBBBC" w14:textId="77777777" w:rsidR="00622BC0" w:rsidRDefault="00826C5A">
      <w:pPr>
        <w:widowControl w:val="0"/>
        <w:autoSpaceDE w:val="0"/>
        <w:autoSpaceDN w:val="0"/>
        <w:adjustRightInd w:val="0"/>
        <w:spacing w:after="200" w:line="276" w:lineRule="auto"/>
        <w:ind w:right="-6"/>
        <w:rPr>
          <w:rFonts w:ascii="Calibri" w:hAnsi="Calibri" w:cs="Calibri"/>
          <w:lang w:val="en-GB"/>
        </w:rPr>
      </w:pPr>
      <w:r>
        <w:rPr>
          <w:noProof/>
          <w:lang w:val="en-GB"/>
        </w:rPr>
        <w:lastRenderedPageBreak/>
        <w:drawing>
          <wp:inline distT="0" distB="0" distL="0" distR="0" wp14:anchorId="66D6124F" wp14:editId="3D895AAF">
            <wp:extent cx="5226685" cy="3666490"/>
            <wp:effectExtent l="0" t="0" r="0" b="0"/>
            <wp:docPr id="17036" name="Picture 17036"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17036" name="Picture 17036" descr="A screenshot of a cell phone&#10;&#10;Description automatically generated"/>
                    <pic:cNvPicPr/>
                  </pic:nvPicPr>
                  <pic:blipFill>
                    <a:blip r:embed="rId61"/>
                    <a:stretch>
                      <a:fillRect/>
                    </a:stretch>
                  </pic:blipFill>
                  <pic:spPr>
                    <a:xfrm>
                      <a:off x="0" y="0"/>
                      <a:ext cx="5226685" cy="3666490"/>
                    </a:xfrm>
                    <a:prstGeom prst="rect">
                      <a:avLst/>
                    </a:prstGeom>
                  </pic:spPr>
                </pic:pic>
              </a:graphicData>
            </a:graphic>
          </wp:inline>
        </w:drawing>
      </w:r>
    </w:p>
    <w:p w14:paraId="4157E314" w14:textId="77777777" w:rsidR="00622BC0" w:rsidRDefault="00622BC0">
      <w:pPr>
        <w:widowControl w:val="0"/>
        <w:autoSpaceDE w:val="0"/>
        <w:autoSpaceDN w:val="0"/>
        <w:adjustRightInd w:val="0"/>
        <w:ind w:right="-6"/>
        <w:rPr>
          <w:rFonts w:ascii="Calibri" w:hAnsi="Calibri" w:cs="Calibri"/>
          <w:lang w:val="en-GB"/>
        </w:rPr>
      </w:pPr>
    </w:p>
    <w:p w14:paraId="63AF508D"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Besides the National Commission on Human Rights (KOMNAS HAM), the International NGO Forum on Indonesian Development (INFID) also formulates the principles regarding friendly districts/cities. There are 12 principles regarding human rights-friendly districts/cities (See Guidelines on Human Rights-friendly districts and cities, 2015), as illustrated above in Figure 3.</w:t>
      </w:r>
    </w:p>
    <w:p w14:paraId="57B22CB4"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These formulations by INFID and KOMNAS HAM outline the principles for creating an inclusive society protects and fulfils human rights values. These principles are a synthesis of various Human Rights Cities principles at the global level, which have been customised to the Indonesian context. </w:t>
      </w:r>
    </w:p>
    <w:p w14:paraId="6969DC6A"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concept of Sustainable Smart City (SSC) is comparable with the notion of inclusive city, which rejects social exclusion of vulnerable groups. In Indonesia, this concept has been translated mostly to mean the implementation of an inclusive education programme (</w:t>
      </w:r>
      <w:proofErr w:type="spellStart"/>
      <w:r>
        <w:rPr>
          <w:rFonts w:ascii="Cambria" w:hAnsi="Cambria" w:cs="Cambria"/>
          <w:lang w:val="en-GB"/>
        </w:rPr>
        <w:t>Maftuhin</w:t>
      </w:r>
      <w:proofErr w:type="spellEnd"/>
      <w:r>
        <w:rPr>
          <w:rFonts w:ascii="Cambria" w:hAnsi="Cambria" w:cs="Cambria"/>
          <w:lang w:val="en-GB"/>
        </w:rPr>
        <w:t xml:space="preserve">, 2017). </w:t>
      </w:r>
    </w:p>
    <w:p w14:paraId="653C8370"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Furthermore, the research by </w:t>
      </w:r>
      <w:proofErr w:type="spellStart"/>
      <w:r>
        <w:rPr>
          <w:rFonts w:ascii="Cambria" w:hAnsi="Cambria" w:cs="Cambria"/>
          <w:lang w:val="en-GB"/>
        </w:rPr>
        <w:t>Maftuhin</w:t>
      </w:r>
      <w:proofErr w:type="spellEnd"/>
      <w:r>
        <w:rPr>
          <w:rFonts w:ascii="Cambria" w:hAnsi="Cambria" w:cs="Cambria"/>
          <w:lang w:val="en-GB"/>
        </w:rPr>
        <w:t xml:space="preserve"> forms a theoretical basis for inclusion cities in Indonesia. The research used four indicators; namely, participation, availability of services for persons with disabilities, efforts to fulfil rights, and citizens’ attitudes (</w:t>
      </w:r>
      <w:proofErr w:type="spellStart"/>
      <w:r>
        <w:rPr>
          <w:rFonts w:ascii="Cambria" w:hAnsi="Cambria" w:cs="Cambria"/>
          <w:lang w:val="en-GB"/>
        </w:rPr>
        <w:t>Maftuhin</w:t>
      </w:r>
      <w:proofErr w:type="spellEnd"/>
      <w:r>
        <w:rPr>
          <w:rFonts w:ascii="Cambria" w:hAnsi="Cambria" w:cs="Cambria"/>
          <w:lang w:val="en-GB"/>
        </w:rPr>
        <w:t>, 2017). These indicators are a starting point for developing a more complex and comprehensive direction for sustainable smart cities that enable acceptability and accommodation for multi-dimensional citizens.</w:t>
      </w:r>
    </w:p>
    <w:p w14:paraId="5D8B4BCF"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To implement these indicators, the government of Indonesia should collaborate with multisector agencies, including the local governments that have specific </w:t>
      </w:r>
      <w:r>
        <w:rPr>
          <w:rFonts w:ascii="Cambria" w:hAnsi="Cambria" w:cs="Cambria"/>
          <w:lang w:val="en-GB"/>
        </w:rPr>
        <w:lastRenderedPageBreak/>
        <w:t>authority. This would enhance accessibility for persons with disabilities, particularly their rights to access buildings and other facilities open to the public, and their rights to new information and communications technologies and systems, as stipulated in CRPD Article 9 on accessibility and CRPD Article 21 on the freedom of opinion, expression and access to information.</w:t>
      </w:r>
    </w:p>
    <w:p w14:paraId="51D844B6" w14:textId="52D24532"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Participation of Civil Society and OPD</w:t>
      </w:r>
      <w:r w:rsidR="0067025E">
        <w:rPr>
          <w:rFonts w:ascii="Cambria" w:hAnsi="Cambria" w:cs="Cambria"/>
          <w:b/>
          <w:bCs/>
          <w:lang w:val="en-GB"/>
        </w:rPr>
        <w:t>s</w:t>
      </w:r>
      <w:r>
        <w:rPr>
          <w:rFonts w:ascii="Cambria" w:hAnsi="Cambria" w:cs="Cambria"/>
          <w:b/>
          <w:bCs/>
          <w:lang w:val="en-GB"/>
        </w:rPr>
        <w:t xml:space="preserve"> </w:t>
      </w:r>
    </w:p>
    <w:p w14:paraId="70D0DCF2" w14:textId="67B57BCF"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Persons with disabilities and OPD</w:t>
      </w:r>
      <w:r w:rsidR="0067025E">
        <w:rPr>
          <w:rFonts w:ascii="Cambria" w:hAnsi="Cambria" w:cs="Cambria"/>
          <w:lang w:val="en-GB"/>
        </w:rPr>
        <w:t>s</w:t>
      </w:r>
      <w:r>
        <w:rPr>
          <w:rFonts w:ascii="Cambria" w:hAnsi="Cambria" w:cs="Cambria"/>
          <w:lang w:val="en-GB"/>
        </w:rPr>
        <w:t xml:space="preserve"> in Indonesia play a significant role in the advocacy movement toward the realisation of SDG 11 on Sustainable Smart Cities and Communities. Among the leading groups in the advocacy for Human Rights Cities or, as they’re known here, "inclusive cities" is OHANA of Yogyakarta. OHANA contributed significantly in the design of </w:t>
      </w:r>
      <w:proofErr w:type="spellStart"/>
      <w:r>
        <w:rPr>
          <w:rFonts w:ascii="Cambria" w:hAnsi="Cambria" w:cs="Cambria"/>
          <w:lang w:val="en-GB"/>
        </w:rPr>
        <w:t>Malioboro</w:t>
      </w:r>
      <w:proofErr w:type="spellEnd"/>
      <w:r>
        <w:rPr>
          <w:rFonts w:ascii="Cambria" w:hAnsi="Cambria" w:cs="Cambria"/>
          <w:lang w:val="en-GB"/>
        </w:rPr>
        <w:t>, a major shopping and tourism street in Yogyakarta. This led to a bigger role for OHANA, which began a survey of all districts/cities in Yogyakarta with a view to enhance their public service accessibility (</w:t>
      </w:r>
      <w:proofErr w:type="spellStart"/>
      <w:r>
        <w:rPr>
          <w:rFonts w:ascii="Cambria" w:hAnsi="Cambria" w:cs="Cambria"/>
          <w:lang w:val="en-GB"/>
        </w:rPr>
        <w:t>Utami</w:t>
      </w:r>
      <w:proofErr w:type="spellEnd"/>
      <w:r>
        <w:rPr>
          <w:rFonts w:ascii="Cambria" w:hAnsi="Cambria" w:cs="Cambria"/>
          <w:lang w:val="en-GB"/>
        </w:rPr>
        <w:t>, Interview, 2019). The results of this survey now serve as a guideline for the regional government, through the Regional Planning and Development Agency (BAPPEDA), to realise accessible districts/cities for persons with disabilities. Accessibility in this case is not limited to infrastructure development, but also includes intangibles, such as attitudes towards persons with disabilities.</w:t>
      </w:r>
    </w:p>
    <w:p w14:paraId="17B92029" w14:textId="385B9C93"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Another OPD</w:t>
      </w:r>
      <w:r w:rsidR="0067025E">
        <w:rPr>
          <w:rFonts w:ascii="Cambria" w:hAnsi="Cambria" w:cs="Cambria"/>
          <w:lang w:val="en-GB"/>
        </w:rPr>
        <w:t>s</w:t>
      </w:r>
      <w:r>
        <w:rPr>
          <w:rFonts w:ascii="Cambria" w:hAnsi="Cambria" w:cs="Cambria"/>
          <w:lang w:val="en-GB"/>
        </w:rPr>
        <w:t xml:space="preserve"> overseeing the implementation of SDG 11 is the Mental Health Association. Now the notion of public housing for persons with intellectual disabilities has not been much explored.  </w:t>
      </w:r>
      <w:r>
        <w:t xml:space="preserve">SDG 11 calls for inclusive communities which is in line with the disability movement’s call to abolish residential institutions for persons with intellectual disabilities so that they can live independently in the community. This is also in line with the CRPD in Articles 9 (Accessibility), 12 (Equal recognition before the law) and 19 (Living independently and being included in the community) calling for safe, affordable, adequate and accessible housing and support so that persons with disabilities may live independently and not in rehabilitation institutions.   </w:t>
      </w:r>
      <w:r>
        <w:rPr>
          <w:rFonts w:ascii="Cambria" w:hAnsi="Cambria" w:cs="Cambria"/>
          <w:lang w:val="en-GB"/>
        </w:rPr>
        <w:t xml:space="preserve">(Damayanti, Interview, 2019). Public housing basics should include “supportive accommodation” and affordable financial schemes for independent persons with psychological and other types of disabilities. </w:t>
      </w:r>
    </w:p>
    <w:p w14:paraId="292AB4C8"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Deserving persons should not be excluded from public housing regardless of a disability. Unfortunately, access to housing in the private market is costlier, which tends to lock out economically unstable persons with psychological and other types of disabilities. creating a layered exclusion for persons with disabilities (Damayanti, Interview, 2019). Public housing, therefore, presents a solution particularly for persons with intellectual disabilities on a reduced housing expense with the opportunity, moreover, to live independently in the exact place with whom among people they trust. In this regard, CRPD Article 9 on Accessibility and Article 19 on Living Independently and being Included in the Community reiterate these rights, which can only be fulfilled with adequate legal capacity accorded to persons with disabilities. </w:t>
      </w:r>
    </w:p>
    <w:p w14:paraId="666617FF"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lastRenderedPageBreak/>
        <w:t>Limited access to decent work and the lack of subsidised housing particularly for people with intellectual disabilities forces them to live with continuous stigma. The stigma starts in the family, which considers them economic "burdens.” (Damayanti, Interview, 2019). Therefore, implementation of a sustainable smart city should not only provide physical access but also specific support for persons with psychological and other types of disabilities, who need to be involved. Fortunately, classification of public housing in Indonesia includes “unique houses,” which are designed for persons with intellectual disabilities and have integrated system support for reasonable accommodation according to disability type (Ministry of Public Words and Public Housing regulation, PERMENPUPR No 01/2018, 2018).</w:t>
      </w:r>
    </w:p>
    <w:p w14:paraId="75B38C71" w14:textId="090CDFDD"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Advocacy for inclusive cities is also done by UNESCO in collaboration with the Association of Indonesian Municipal Cities (APEKSI), a local OPD</w:t>
      </w:r>
      <w:r w:rsidR="0067025E">
        <w:rPr>
          <w:rFonts w:ascii="Cambria" w:hAnsi="Cambria" w:cs="Cambria"/>
          <w:lang w:val="en-GB"/>
        </w:rPr>
        <w:t>s</w:t>
      </w:r>
      <w:r>
        <w:rPr>
          <w:rFonts w:ascii="Cambria" w:hAnsi="Cambria" w:cs="Cambria"/>
          <w:lang w:val="en-GB"/>
        </w:rPr>
        <w:t xml:space="preserve"> with the Advocacy Centre of Women and Children with Disability (SAPDA) in Yogyakarta. These and other National OPD</w:t>
      </w:r>
      <w:r w:rsidR="0067025E">
        <w:rPr>
          <w:rFonts w:ascii="Cambria" w:hAnsi="Cambria" w:cs="Cambria"/>
          <w:lang w:val="en-GB"/>
        </w:rPr>
        <w:t>s</w:t>
      </w:r>
      <w:r>
        <w:rPr>
          <w:rFonts w:ascii="Cambria" w:hAnsi="Cambria" w:cs="Cambria"/>
          <w:lang w:val="en-GB"/>
        </w:rPr>
        <w:t xml:space="preserve"> with local branches have been active in the inclusive city advocacy movement that by 2019 managed to create 27 inclusive cities throughout Indonesia. </w:t>
      </w:r>
    </w:p>
    <w:p w14:paraId="041FC018"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These efforts to realise inclusive cities/districts, Human Rights Cities, SSC or living conditions that are compliant with the CRPD have been necessary, in order to draw the attention of government to fulfil these rights. In conclusion, appropriate regulations and public services and the community’s acceptance of persons with disabilities are the main principles required to realise inclusive communities in urban and non-urban areas in Indonesia.</w:t>
      </w:r>
    </w:p>
    <w:p w14:paraId="511901B4" w14:textId="77777777" w:rsidR="00622BC0" w:rsidRDefault="00622BC0">
      <w:pPr>
        <w:widowControl w:val="0"/>
        <w:autoSpaceDE w:val="0"/>
        <w:autoSpaceDN w:val="0"/>
        <w:adjustRightInd w:val="0"/>
        <w:spacing w:after="200"/>
        <w:ind w:right="-6"/>
        <w:jc w:val="both"/>
        <w:rPr>
          <w:rFonts w:ascii="Cambria" w:hAnsi="Cambria" w:cs="Cambria"/>
          <w:lang w:val="en-GB"/>
        </w:rPr>
      </w:pPr>
    </w:p>
    <w:p w14:paraId="47633DF1" w14:textId="77777777" w:rsidR="00622BC0" w:rsidRDefault="00826C5A">
      <w:pPr>
        <w:widowControl w:val="0"/>
        <w:autoSpaceDE w:val="0"/>
        <w:autoSpaceDN w:val="0"/>
        <w:adjustRightInd w:val="0"/>
        <w:spacing w:after="200"/>
        <w:ind w:left="456" w:right="-6" w:hanging="456"/>
        <w:jc w:val="both"/>
        <w:rPr>
          <w:rFonts w:ascii="Cambria" w:hAnsi="Cambria" w:cs="Cambria"/>
          <w:b/>
          <w:bCs/>
          <w:lang w:val="en-GB"/>
        </w:rPr>
      </w:pPr>
      <w:r>
        <w:rPr>
          <w:rFonts w:ascii="Cambria" w:hAnsi="Cambria" w:cs="Cambria"/>
          <w:b/>
          <w:bCs/>
          <w:lang w:val="en-GB"/>
        </w:rPr>
        <w:t xml:space="preserve">8. </w:t>
      </w:r>
      <w:r>
        <w:rPr>
          <w:rFonts w:ascii="Cambria" w:hAnsi="Cambria" w:cs="Cambria"/>
          <w:b/>
          <w:bCs/>
        </w:rPr>
        <w:t xml:space="preserve"> </w:t>
      </w:r>
      <w:r>
        <w:rPr>
          <w:rFonts w:ascii="Cambria" w:hAnsi="Cambria" w:cs="Cambria"/>
          <w:b/>
          <w:bCs/>
          <w:lang w:val="en-GB"/>
        </w:rPr>
        <w:t>Challenges and Recommendations</w:t>
      </w:r>
    </w:p>
    <w:p w14:paraId="454C2170"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Indonesia, the challenges to implementing the five SDG goals above are similar to challenges facing CRPD realisation, as explained below.</w:t>
      </w:r>
    </w:p>
    <w:p w14:paraId="14ABAC31" w14:textId="2D971C97" w:rsidR="00622BC0" w:rsidRDefault="00826C5A">
      <w:pPr>
        <w:widowControl w:val="0"/>
        <w:numPr>
          <w:ilvl w:val="0"/>
          <w:numId w:val="12"/>
        </w:numPr>
        <w:autoSpaceDE w:val="0"/>
        <w:autoSpaceDN w:val="0"/>
        <w:adjustRightInd w:val="0"/>
        <w:spacing w:after="200"/>
        <w:ind w:left="425" w:right="-6" w:hanging="425"/>
        <w:jc w:val="both"/>
        <w:rPr>
          <w:rFonts w:ascii="Cambria" w:hAnsi="Cambria" w:cs="Cambria"/>
          <w:lang w:val="en-GB"/>
        </w:rPr>
      </w:pPr>
      <w:r>
        <w:rPr>
          <w:rFonts w:ascii="Cambria" w:hAnsi="Cambria" w:cs="Cambria"/>
          <w:i/>
          <w:iCs/>
          <w:lang w:val="en-GB"/>
        </w:rPr>
        <w:t>Public policies have not applied disability-inclusive and CRPD principle</w:t>
      </w:r>
      <w:r>
        <w:rPr>
          <w:rFonts w:ascii="Cambria" w:hAnsi="Cambria" w:cs="Cambria"/>
          <w:lang w:val="en-GB"/>
        </w:rPr>
        <w:t>s. Mainstreaming disability remains a challenge both for the central government and regional governments. Various public policies that are still biased against disabilities; hence, they are not compliant with the CRPD and SDGs. Persons with disabilities and OPD</w:t>
      </w:r>
      <w:r w:rsidR="0067025E">
        <w:rPr>
          <w:rFonts w:ascii="Cambria" w:hAnsi="Cambria" w:cs="Cambria"/>
          <w:lang w:val="en-GB"/>
        </w:rPr>
        <w:t>s</w:t>
      </w:r>
      <w:r>
        <w:rPr>
          <w:rFonts w:ascii="Cambria" w:hAnsi="Cambria" w:cs="Cambria"/>
          <w:lang w:val="en-GB"/>
        </w:rPr>
        <w:t xml:space="preserve"> tend to be involved on issues only if appertaining policy mentions "persons with disabilities." Findings in this chapter indicate that programmes and action plans for persons with disabilities are hampered by budget inadequacy at the national and local levels. More importantly, the processes above should meaningfully and responsibly involve OPD</w:t>
      </w:r>
      <w:r w:rsidR="0067025E">
        <w:rPr>
          <w:rFonts w:ascii="Cambria" w:hAnsi="Cambria" w:cs="Cambria"/>
          <w:lang w:val="en-GB"/>
        </w:rPr>
        <w:t>s</w:t>
      </w:r>
      <w:r>
        <w:rPr>
          <w:rFonts w:ascii="Cambria" w:hAnsi="Cambria" w:cs="Cambria"/>
          <w:lang w:val="en-GB"/>
        </w:rPr>
        <w:t xml:space="preserve"> and persons with disabilities as the agent of change.</w:t>
      </w:r>
    </w:p>
    <w:p w14:paraId="18F999DD" w14:textId="77777777" w:rsidR="00622BC0" w:rsidRDefault="00826C5A">
      <w:pPr>
        <w:widowControl w:val="0"/>
        <w:numPr>
          <w:ilvl w:val="0"/>
          <w:numId w:val="12"/>
        </w:numPr>
        <w:autoSpaceDE w:val="0"/>
        <w:autoSpaceDN w:val="0"/>
        <w:adjustRightInd w:val="0"/>
        <w:spacing w:after="200"/>
        <w:ind w:left="425" w:right="-6" w:hanging="425"/>
        <w:jc w:val="both"/>
        <w:rPr>
          <w:rFonts w:ascii="Cambria" w:hAnsi="Cambria" w:cs="Cambria"/>
          <w:lang w:val="en-GB"/>
        </w:rPr>
      </w:pPr>
      <w:r>
        <w:rPr>
          <w:rFonts w:ascii="Cambria" w:hAnsi="Cambria" w:cs="Cambria"/>
          <w:i/>
          <w:iCs/>
          <w:lang w:val="en-GB"/>
        </w:rPr>
        <w:t>Lack of knowledgeable in policy implementation</w:t>
      </w:r>
      <w:r>
        <w:rPr>
          <w:rFonts w:ascii="Cambria" w:hAnsi="Cambria" w:cs="Cambria"/>
          <w:lang w:val="en-GB"/>
        </w:rPr>
        <w:t xml:space="preserve">. Policies for the rights and issues of persons with disabilities have existed since 1997, even if they were not a human-rights based. However, comprehensive understanding of the issues was lacking. This stagnated the realisation of an inclusive society and </w:t>
      </w:r>
      <w:r>
        <w:rPr>
          <w:rFonts w:ascii="Cambria" w:hAnsi="Cambria" w:cs="Cambria"/>
          <w:lang w:val="en-GB"/>
        </w:rPr>
        <w:lastRenderedPageBreak/>
        <w:t>the fulfilment of disability rights in Indonesia, until the CRPD ratification in 2011 when it can be said focus on disability issues began to be properly aligned.</w:t>
      </w:r>
    </w:p>
    <w:p w14:paraId="3A906065" w14:textId="193096D0" w:rsidR="00622BC0" w:rsidRDefault="00826C5A">
      <w:pPr>
        <w:widowControl w:val="0"/>
        <w:numPr>
          <w:ilvl w:val="0"/>
          <w:numId w:val="12"/>
        </w:numPr>
        <w:autoSpaceDE w:val="0"/>
        <w:autoSpaceDN w:val="0"/>
        <w:adjustRightInd w:val="0"/>
        <w:spacing w:after="200"/>
        <w:ind w:left="425" w:right="-6" w:hanging="425"/>
        <w:jc w:val="both"/>
        <w:rPr>
          <w:rFonts w:ascii="Cambria" w:hAnsi="Cambria" w:cs="Cambria"/>
          <w:lang w:val="en-GB"/>
        </w:rPr>
      </w:pPr>
      <w:r>
        <w:rPr>
          <w:rFonts w:ascii="Cambria" w:hAnsi="Cambria" w:cs="Cambria"/>
          <w:i/>
          <w:iCs/>
          <w:lang w:val="en-GB"/>
        </w:rPr>
        <w:t>Changes in the disability paradigm</w:t>
      </w:r>
      <w:r>
        <w:rPr>
          <w:rFonts w:ascii="Cambria" w:hAnsi="Cambria" w:cs="Cambria"/>
          <w:lang w:val="en-GB"/>
        </w:rPr>
        <w:t>. Law No. 19 of 2011 on Ratification of the CRPD and Law No. 8 of 2016 on persons with disabilities were milestones in Indonesia. They ushered in strong advocacy by OPD</w:t>
      </w:r>
      <w:r w:rsidR="0067025E">
        <w:rPr>
          <w:rFonts w:ascii="Cambria" w:hAnsi="Cambria" w:cs="Cambria"/>
          <w:lang w:val="en-GB"/>
        </w:rPr>
        <w:t>s</w:t>
      </w:r>
      <w:r>
        <w:rPr>
          <w:rFonts w:ascii="Cambria" w:hAnsi="Cambria" w:cs="Cambria"/>
          <w:lang w:val="en-GB"/>
        </w:rPr>
        <w:t xml:space="preserve"> to lobby government to change its paradigm on persons with disabilities. The shift from a charity model approach on disability issues to a human rights-based approach is a game changer in the development of public policies, which no longer view persons with disabilities as “beneficiaries” but actors or agents of change in the development agenda. </w:t>
      </w:r>
    </w:p>
    <w:p w14:paraId="4FCEC381" w14:textId="781667C0" w:rsidR="00622BC0" w:rsidRDefault="00826C5A">
      <w:pPr>
        <w:widowControl w:val="0"/>
        <w:numPr>
          <w:ilvl w:val="0"/>
          <w:numId w:val="12"/>
        </w:numPr>
        <w:autoSpaceDE w:val="0"/>
        <w:autoSpaceDN w:val="0"/>
        <w:adjustRightInd w:val="0"/>
        <w:spacing w:after="200"/>
        <w:ind w:left="425" w:right="-6" w:hanging="425"/>
        <w:jc w:val="both"/>
        <w:rPr>
          <w:rFonts w:ascii="Cambria" w:hAnsi="Cambria" w:cs="Cambria"/>
          <w:lang w:val="en-GB"/>
        </w:rPr>
      </w:pPr>
      <w:r>
        <w:rPr>
          <w:rFonts w:ascii="Cambria" w:hAnsi="Cambria" w:cs="Cambria"/>
          <w:i/>
          <w:iCs/>
          <w:lang w:val="en-GB"/>
        </w:rPr>
        <w:t>Lack of participation by persons with disabilities in the policy-making process</w:t>
      </w:r>
      <w:r>
        <w:rPr>
          <w:rFonts w:ascii="Cambria" w:hAnsi="Cambria" w:cs="Cambria"/>
          <w:lang w:val="en-GB"/>
        </w:rPr>
        <w:t>. Policy-making is commonly deemed an exclusive affair of formal policymakers, mostly members of the legislative body and state officers. This presents a significant hurdle for persons with disabilities and OPD</w:t>
      </w:r>
      <w:r w:rsidR="0067025E">
        <w:rPr>
          <w:rFonts w:ascii="Cambria" w:hAnsi="Cambria" w:cs="Cambria"/>
          <w:lang w:val="en-GB"/>
        </w:rPr>
        <w:t>s</w:t>
      </w:r>
      <w:r>
        <w:rPr>
          <w:rFonts w:ascii="Cambria" w:hAnsi="Cambria" w:cs="Cambria"/>
          <w:lang w:val="en-GB"/>
        </w:rPr>
        <w:t xml:space="preserve"> to participate in policy-making. The situation is made worse by the limited formal education background among persons with disabilities, due to the prevalent social, cultural, economic, and political factors, whose negative effect is multiplied by stigma and discrimination.</w:t>
      </w:r>
    </w:p>
    <w:p w14:paraId="4A2F0A46"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Below are some recommend actions that the government of Indonesia could take to counter the challenges discussed above:</w:t>
      </w:r>
    </w:p>
    <w:p w14:paraId="7218147B" w14:textId="77777777" w:rsidR="00622BC0" w:rsidRDefault="00826C5A">
      <w:pPr>
        <w:widowControl w:val="0"/>
        <w:numPr>
          <w:ilvl w:val="0"/>
          <w:numId w:val="13"/>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Accelerate the popularisation and implementation of Government Regulation No. 70 of 2019 as a technical basis for the implementation of the CRPD and SDGs; specifically, the five SDG goals discussed in this report;</w:t>
      </w:r>
    </w:p>
    <w:p w14:paraId="20D6B429" w14:textId="77777777" w:rsidR="00622BC0" w:rsidRDefault="00826C5A">
      <w:pPr>
        <w:widowControl w:val="0"/>
        <w:numPr>
          <w:ilvl w:val="0"/>
          <w:numId w:val="13"/>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Intensify capacity building among legislators, policymakers, and administrators at national and regional governments to implement CRPD and SDG related laws and policies;</w:t>
      </w:r>
    </w:p>
    <w:p w14:paraId="67CA5DF0" w14:textId="77777777" w:rsidR="00622BC0" w:rsidRDefault="00826C5A">
      <w:pPr>
        <w:widowControl w:val="0"/>
        <w:numPr>
          <w:ilvl w:val="0"/>
          <w:numId w:val="13"/>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Strengthen disability mainstreaming at the regional and district/city levels;</w:t>
      </w:r>
    </w:p>
    <w:p w14:paraId="5982A03F" w14:textId="0E9727D0" w:rsidR="00622BC0" w:rsidRDefault="00826C5A">
      <w:pPr>
        <w:widowControl w:val="0"/>
        <w:numPr>
          <w:ilvl w:val="0"/>
          <w:numId w:val="13"/>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Strengthen policy making and advocacy capacity among persons with disabilities and OPD</w:t>
      </w:r>
      <w:r w:rsidR="0067025E">
        <w:rPr>
          <w:rFonts w:ascii="Cambria" w:hAnsi="Cambria" w:cs="Cambria"/>
          <w:lang w:val="en-GB"/>
        </w:rPr>
        <w:t>s</w:t>
      </w:r>
      <w:r>
        <w:rPr>
          <w:rFonts w:ascii="Cambria" w:hAnsi="Cambria" w:cs="Cambria"/>
          <w:lang w:val="en-GB"/>
        </w:rPr>
        <w:t>;</w:t>
      </w:r>
    </w:p>
    <w:p w14:paraId="034A657C" w14:textId="77777777" w:rsidR="00622BC0" w:rsidRDefault="00826C5A">
      <w:pPr>
        <w:widowControl w:val="0"/>
        <w:numPr>
          <w:ilvl w:val="0"/>
          <w:numId w:val="13"/>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Increase outreach among families of persons with disabilities, government officials, religious, cultural and community leaders in order to strengthen their awareness of disability issues and the rights of persons with disabilities as part of the community;</w:t>
      </w:r>
    </w:p>
    <w:p w14:paraId="5823FC4B" w14:textId="77777777" w:rsidR="00622BC0" w:rsidRDefault="00826C5A">
      <w:pPr>
        <w:widowControl w:val="0"/>
        <w:numPr>
          <w:ilvl w:val="0"/>
          <w:numId w:val="13"/>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Strengthen policy implementation and state apparatus specifically regarding the disability-inclusive public policies and human rights-based approach;</w:t>
      </w:r>
    </w:p>
    <w:p w14:paraId="7792B691" w14:textId="77777777" w:rsidR="00622BC0" w:rsidRDefault="00826C5A">
      <w:pPr>
        <w:widowControl w:val="0"/>
        <w:numPr>
          <w:ilvl w:val="0"/>
          <w:numId w:val="13"/>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Strengthen the implementation of disability-inclusive budgets in regional governments under the regional autonomy mechanism;</w:t>
      </w:r>
    </w:p>
    <w:p w14:paraId="5272CA0B" w14:textId="57DF222A" w:rsidR="00622BC0" w:rsidRDefault="00826C5A">
      <w:pPr>
        <w:widowControl w:val="0"/>
        <w:numPr>
          <w:ilvl w:val="0"/>
          <w:numId w:val="13"/>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lastRenderedPageBreak/>
        <w:t>Conduct regular monitoring and evaluation by involving meaningful participation of civil society and OPD</w:t>
      </w:r>
      <w:r w:rsidR="0067025E">
        <w:rPr>
          <w:rFonts w:ascii="Cambria" w:hAnsi="Cambria" w:cs="Cambria"/>
          <w:lang w:val="en-GB"/>
        </w:rPr>
        <w:t>s</w:t>
      </w:r>
      <w:r>
        <w:rPr>
          <w:rFonts w:ascii="Cambria" w:hAnsi="Cambria" w:cs="Cambria"/>
          <w:lang w:val="en-GB"/>
        </w:rPr>
        <w:t xml:space="preserve"> in the implementation of the CRPD-SDGs at the national and local levels. </w:t>
      </w:r>
    </w:p>
    <w:p w14:paraId="18BDDB18" w14:textId="77777777" w:rsidR="00622BC0" w:rsidRDefault="00826C5A">
      <w:pPr>
        <w:widowControl w:val="0"/>
        <w:autoSpaceDE w:val="0"/>
        <w:autoSpaceDN w:val="0"/>
        <w:adjustRightInd w:val="0"/>
        <w:spacing w:after="200"/>
        <w:ind w:right="-6"/>
        <w:rPr>
          <w:rFonts w:ascii="Cambria" w:hAnsi="Cambria" w:cs="Cambria"/>
          <w:lang w:val="en-GB"/>
        </w:rPr>
      </w:pPr>
      <w:r>
        <w:rPr>
          <w:rFonts w:ascii="Calibri" w:hAnsi="Calibri" w:cs="Calibri"/>
          <w:lang w:val="en-GB"/>
        </w:rPr>
        <w:br w:type="page"/>
      </w:r>
    </w:p>
    <w:p w14:paraId="468AEC0E" w14:textId="77777777" w:rsidR="00622BC0" w:rsidRDefault="00826C5A">
      <w:pPr>
        <w:widowControl w:val="0"/>
        <w:autoSpaceDE w:val="0"/>
        <w:autoSpaceDN w:val="0"/>
        <w:adjustRightInd w:val="0"/>
        <w:ind w:right="-6"/>
        <w:jc w:val="center"/>
        <w:rPr>
          <w:rFonts w:ascii="Cambria" w:hAnsi="Cambria" w:cs="Cambria"/>
          <w:b/>
          <w:bCs/>
          <w:lang w:val="en-GB"/>
        </w:rPr>
      </w:pPr>
      <w:r>
        <w:rPr>
          <w:rFonts w:ascii="Cambria" w:hAnsi="Cambria" w:cs="Cambria"/>
          <w:b/>
          <w:bCs/>
          <w:lang w:val="en-GB"/>
        </w:rPr>
        <w:lastRenderedPageBreak/>
        <w:t>Chapter 3. Inclusive Development Policy in The Philippines</w:t>
      </w:r>
    </w:p>
    <w:p w14:paraId="5A8EA1BC" w14:textId="77777777" w:rsidR="00622BC0" w:rsidRDefault="00826C5A">
      <w:pPr>
        <w:widowControl w:val="0"/>
        <w:autoSpaceDE w:val="0"/>
        <w:autoSpaceDN w:val="0"/>
        <w:adjustRightInd w:val="0"/>
        <w:ind w:right="-6"/>
        <w:jc w:val="center"/>
        <w:rPr>
          <w:rFonts w:ascii="Cambria" w:hAnsi="Cambria" w:cs="Cambria"/>
          <w:b/>
          <w:bCs/>
          <w:lang w:val="en-GB"/>
        </w:rPr>
      </w:pPr>
      <w:r>
        <w:rPr>
          <w:rFonts w:ascii="Cambria" w:hAnsi="Cambria" w:cs="Cambria"/>
          <w:b/>
          <w:bCs/>
          <w:lang w:val="en-GB"/>
        </w:rPr>
        <w:t>By Della L. Leonor</w:t>
      </w:r>
    </w:p>
    <w:p w14:paraId="2CDFA288" w14:textId="77777777" w:rsidR="00622BC0" w:rsidRDefault="00622BC0">
      <w:pPr>
        <w:widowControl w:val="0"/>
        <w:autoSpaceDE w:val="0"/>
        <w:autoSpaceDN w:val="0"/>
        <w:adjustRightInd w:val="0"/>
        <w:ind w:left="720" w:right="-6" w:hanging="720"/>
        <w:jc w:val="center"/>
        <w:rPr>
          <w:rFonts w:ascii="Cambria" w:hAnsi="Cambria" w:cs="Cambria"/>
          <w:b/>
          <w:bCs/>
          <w:lang w:val="en-GB"/>
        </w:rPr>
      </w:pPr>
    </w:p>
    <w:p w14:paraId="1A6B1134" w14:textId="77777777" w:rsidR="00622BC0" w:rsidRDefault="00622BC0">
      <w:pPr>
        <w:widowControl w:val="0"/>
        <w:autoSpaceDE w:val="0"/>
        <w:autoSpaceDN w:val="0"/>
        <w:adjustRightInd w:val="0"/>
        <w:ind w:left="720" w:right="-6" w:hanging="720"/>
        <w:jc w:val="center"/>
        <w:rPr>
          <w:rFonts w:ascii="Cambria" w:hAnsi="Cambria" w:cs="Cambria"/>
          <w:b/>
          <w:bCs/>
          <w:lang w:val="en-GB"/>
        </w:rPr>
      </w:pPr>
    </w:p>
    <w:p w14:paraId="187FAA8B" w14:textId="77777777" w:rsidR="00622BC0" w:rsidRDefault="00622BC0">
      <w:pPr>
        <w:widowControl w:val="0"/>
        <w:autoSpaceDE w:val="0"/>
        <w:autoSpaceDN w:val="0"/>
        <w:adjustRightInd w:val="0"/>
        <w:ind w:left="720" w:right="-6" w:hanging="720"/>
        <w:jc w:val="center"/>
        <w:rPr>
          <w:rFonts w:ascii="Cambria" w:hAnsi="Cambria" w:cs="Cambria"/>
          <w:b/>
          <w:bCs/>
          <w:lang w:val="en-GB"/>
        </w:rPr>
      </w:pPr>
    </w:p>
    <w:p w14:paraId="74BE683D" w14:textId="77777777" w:rsidR="00622BC0" w:rsidRDefault="00826C5A">
      <w:pPr>
        <w:widowControl w:val="0"/>
        <w:autoSpaceDE w:val="0"/>
        <w:autoSpaceDN w:val="0"/>
        <w:adjustRightInd w:val="0"/>
        <w:ind w:right="-6"/>
        <w:rPr>
          <w:rFonts w:ascii="Cambria" w:hAnsi="Cambria" w:cs="Cambria"/>
          <w:b/>
          <w:bCs/>
          <w:lang w:val="en-GB"/>
        </w:rPr>
      </w:pPr>
      <w:r>
        <w:rPr>
          <w:rFonts w:ascii="Cambria" w:hAnsi="Cambria" w:cs="Cambria"/>
          <w:b/>
          <w:bCs/>
          <w:lang w:val="en-GB"/>
        </w:rPr>
        <w:t>1.</w:t>
      </w:r>
      <w:r>
        <w:rPr>
          <w:rFonts w:ascii="Cambria" w:hAnsi="Cambria" w:cs="Cambria"/>
          <w:b/>
          <w:bCs/>
          <w:lang w:val="en-GB"/>
        </w:rPr>
        <w:tab/>
        <w:t>Introduction</w:t>
      </w:r>
    </w:p>
    <w:p w14:paraId="47B1F2E2" w14:textId="77777777" w:rsidR="00622BC0" w:rsidRDefault="00622BC0">
      <w:pPr>
        <w:widowControl w:val="0"/>
        <w:autoSpaceDE w:val="0"/>
        <w:autoSpaceDN w:val="0"/>
        <w:adjustRightInd w:val="0"/>
        <w:ind w:left="720" w:right="-6" w:hanging="720"/>
        <w:rPr>
          <w:rFonts w:ascii="Cambria" w:hAnsi="Cambria" w:cs="Cambria"/>
          <w:b/>
          <w:bCs/>
          <w:lang w:val="en-GB"/>
        </w:rPr>
      </w:pPr>
    </w:p>
    <w:p w14:paraId="10BF925C"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rPr>
        <w:t>T</w:t>
      </w:r>
      <w:r>
        <w:rPr>
          <w:rFonts w:ascii="Cambria" w:hAnsi="Cambria" w:cs="Cambria"/>
          <w:lang w:val="en-GB"/>
        </w:rPr>
        <w:t>he Philippines government adheres to development and social responsibility, which is an inalienable part of the SDGs and CRPD. The actual data for each agency and the grassroots organisations present in this writing part. Persons with disabilities are members of society and have the rights within their local communities. They should receive the support they need within the ordinary structures of education, health, employment, and social services as part of Standard Rules on the Equalisation of Opportunities for Persons with Disabilities adopted by General Assembly resolution 48/96, 1993 in paragraph 25 and 26.</w:t>
      </w:r>
    </w:p>
    <w:p w14:paraId="205E8720" w14:textId="77777777" w:rsidR="00622BC0" w:rsidRDefault="00826C5A">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Figure 4 demonstrates results of the National Disability Prevalence Survey (NDPS) showed that in 2016 conducted by the Department of Health and the Philippines Statistics Authority (PSA), around 12% of Filipinos age 15 and older experienced severe disability, as seen in Figure 3.1. Almost one in every two persons with disabilities or 47% experienced moderate disability while 23% with mild disability. Almost one-fifth of 19% of people experienced no disability. In this survey, the disability prevalence rate corresponds to the percentage of persons with severe disabilities (PSA, 2019).</w:t>
      </w:r>
    </w:p>
    <w:p w14:paraId="657296D6" w14:textId="77777777" w:rsidR="00622BC0" w:rsidRDefault="00622BC0">
      <w:pPr>
        <w:widowControl w:val="0"/>
        <w:autoSpaceDE w:val="0"/>
        <w:autoSpaceDN w:val="0"/>
        <w:adjustRightInd w:val="0"/>
        <w:spacing w:before="240" w:after="240"/>
        <w:ind w:right="-6"/>
        <w:jc w:val="center"/>
        <w:rPr>
          <w:rFonts w:ascii="Cambria" w:hAnsi="Cambria" w:cs="Cambria"/>
          <w:lang w:val="en-GB"/>
        </w:rPr>
      </w:pPr>
    </w:p>
    <w:p w14:paraId="78118321" w14:textId="77777777" w:rsidR="00622BC0" w:rsidRDefault="00622BC0">
      <w:pPr>
        <w:widowControl w:val="0"/>
        <w:autoSpaceDE w:val="0"/>
        <w:autoSpaceDN w:val="0"/>
        <w:adjustRightInd w:val="0"/>
        <w:spacing w:before="240" w:after="240"/>
        <w:ind w:right="-6"/>
        <w:jc w:val="center"/>
        <w:rPr>
          <w:rFonts w:ascii="Cambria" w:hAnsi="Cambria" w:cs="Cambria"/>
          <w:lang w:val="en-GB"/>
        </w:rPr>
      </w:pPr>
    </w:p>
    <w:p w14:paraId="52E07EB3" w14:textId="77777777" w:rsidR="00622BC0" w:rsidRDefault="00622BC0">
      <w:pPr>
        <w:widowControl w:val="0"/>
        <w:autoSpaceDE w:val="0"/>
        <w:autoSpaceDN w:val="0"/>
        <w:adjustRightInd w:val="0"/>
        <w:spacing w:before="240" w:after="240"/>
        <w:ind w:right="-6"/>
        <w:jc w:val="center"/>
        <w:rPr>
          <w:rFonts w:ascii="Cambria" w:hAnsi="Cambria" w:cs="Cambria"/>
          <w:lang w:val="en-GB"/>
        </w:rPr>
      </w:pPr>
    </w:p>
    <w:p w14:paraId="096980A8" w14:textId="77777777" w:rsidR="00622BC0" w:rsidRDefault="00622BC0">
      <w:pPr>
        <w:widowControl w:val="0"/>
        <w:autoSpaceDE w:val="0"/>
        <w:autoSpaceDN w:val="0"/>
        <w:adjustRightInd w:val="0"/>
        <w:spacing w:before="240" w:after="240"/>
        <w:ind w:right="-6"/>
        <w:jc w:val="center"/>
        <w:rPr>
          <w:rFonts w:ascii="Cambria" w:hAnsi="Cambria" w:cs="Cambria"/>
          <w:lang w:val="en-GB"/>
        </w:rPr>
      </w:pPr>
    </w:p>
    <w:p w14:paraId="2F796887" w14:textId="77777777" w:rsidR="00622BC0" w:rsidRDefault="00622BC0">
      <w:pPr>
        <w:widowControl w:val="0"/>
        <w:autoSpaceDE w:val="0"/>
        <w:autoSpaceDN w:val="0"/>
        <w:adjustRightInd w:val="0"/>
        <w:spacing w:before="240" w:after="240"/>
        <w:ind w:right="-6"/>
        <w:jc w:val="center"/>
        <w:rPr>
          <w:rFonts w:ascii="Cambria" w:hAnsi="Cambria" w:cs="Cambria"/>
          <w:lang w:val="en-GB"/>
        </w:rPr>
      </w:pPr>
    </w:p>
    <w:p w14:paraId="5FABBF0F" w14:textId="77777777" w:rsidR="00622BC0" w:rsidRDefault="00622BC0">
      <w:pPr>
        <w:widowControl w:val="0"/>
        <w:autoSpaceDE w:val="0"/>
        <w:autoSpaceDN w:val="0"/>
        <w:adjustRightInd w:val="0"/>
        <w:spacing w:before="240" w:after="240"/>
        <w:ind w:right="-6"/>
        <w:jc w:val="center"/>
        <w:rPr>
          <w:rFonts w:ascii="Cambria" w:hAnsi="Cambria" w:cs="Cambria"/>
          <w:lang w:val="en-GB"/>
        </w:rPr>
      </w:pPr>
    </w:p>
    <w:p w14:paraId="5ACD8F3E" w14:textId="77777777" w:rsidR="00622BC0" w:rsidRDefault="00622BC0">
      <w:pPr>
        <w:widowControl w:val="0"/>
        <w:autoSpaceDE w:val="0"/>
        <w:autoSpaceDN w:val="0"/>
        <w:adjustRightInd w:val="0"/>
        <w:spacing w:before="240" w:after="240"/>
        <w:ind w:right="-6"/>
        <w:jc w:val="center"/>
        <w:rPr>
          <w:rFonts w:ascii="Cambria" w:hAnsi="Cambria" w:cs="Cambria"/>
          <w:lang w:val="en-GB"/>
        </w:rPr>
      </w:pPr>
    </w:p>
    <w:p w14:paraId="1AFD33D6" w14:textId="77777777" w:rsidR="00622BC0" w:rsidRDefault="00622BC0">
      <w:pPr>
        <w:widowControl w:val="0"/>
        <w:autoSpaceDE w:val="0"/>
        <w:autoSpaceDN w:val="0"/>
        <w:adjustRightInd w:val="0"/>
        <w:spacing w:before="240" w:after="240"/>
        <w:ind w:right="-6"/>
        <w:jc w:val="center"/>
        <w:rPr>
          <w:rFonts w:ascii="Cambria" w:hAnsi="Cambria" w:cs="Cambria"/>
          <w:lang w:val="en-GB"/>
        </w:rPr>
      </w:pPr>
    </w:p>
    <w:p w14:paraId="7EBA6B4F" w14:textId="77777777" w:rsidR="00622BC0" w:rsidRDefault="00622BC0">
      <w:pPr>
        <w:widowControl w:val="0"/>
        <w:autoSpaceDE w:val="0"/>
        <w:autoSpaceDN w:val="0"/>
        <w:adjustRightInd w:val="0"/>
        <w:spacing w:before="240" w:after="240"/>
        <w:ind w:right="-6"/>
        <w:jc w:val="center"/>
        <w:rPr>
          <w:rFonts w:ascii="Cambria" w:hAnsi="Cambria" w:cs="Cambria"/>
          <w:lang w:val="en-GB"/>
        </w:rPr>
      </w:pPr>
    </w:p>
    <w:p w14:paraId="50B3BC58" w14:textId="77777777" w:rsidR="00622BC0" w:rsidRDefault="00622BC0">
      <w:pPr>
        <w:widowControl w:val="0"/>
        <w:autoSpaceDE w:val="0"/>
        <w:autoSpaceDN w:val="0"/>
        <w:adjustRightInd w:val="0"/>
        <w:spacing w:before="240" w:after="240"/>
        <w:ind w:right="-6"/>
        <w:jc w:val="center"/>
        <w:rPr>
          <w:rFonts w:ascii="Cambria" w:hAnsi="Cambria" w:cs="Cambria"/>
          <w:lang w:val="en-GB"/>
        </w:rPr>
      </w:pPr>
    </w:p>
    <w:p w14:paraId="1A4D658C" w14:textId="77777777" w:rsidR="00622BC0" w:rsidRDefault="00826C5A">
      <w:pPr>
        <w:widowControl w:val="0"/>
        <w:autoSpaceDE w:val="0"/>
        <w:autoSpaceDN w:val="0"/>
        <w:adjustRightInd w:val="0"/>
        <w:spacing w:before="240" w:after="240"/>
        <w:ind w:right="-6"/>
        <w:jc w:val="center"/>
        <w:rPr>
          <w:rFonts w:ascii="Cambria" w:hAnsi="Cambria" w:cs="Cambria"/>
          <w:lang w:val="en-GB"/>
        </w:rPr>
      </w:pPr>
      <w:r>
        <w:rPr>
          <w:rFonts w:ascii="Cambria" w:hAnsi="Cambria" w:cs="Cambria"/>
          <w:lang w:val="en-GB"/>
        </w:rPr>
        <w:lastRenderedPageBreak/>
        <w:t>Figure 4 Disability Prevalence in the Philippines</w:t>
      </w:r>
    </w:p>
    <w:p w14:paraId="263D5CB7" w14:textId="77777777" w:rsidR="00622BC0" w:rsidRDefault="00826C5A">
      <w:pPr>
        <w:widowControl w:val="0"/>
        <w:autoSpaceDE w:val="0"/>
        <w:autoSpaceDN w:val="0"/>
        <w:adjustRightInd w:val="0"/>
        <w:spacing w:before="240" w:after="240"/>
        <w:ind w:right="-6"/>
        <w:jc w:val="center"/>
        <w:rPr>
          <w:rFonts w:ascii="Cambria" w:hAnsi="Cambria" w:cs="Cambria"/>
          <w:lang w:val="en-GB"/>
        </w:rPr>
      </w:pPr>
      <w:r>
        <w:rPr>
          <w:rFonts w:ascii="Cambria" w:hAnsi="Cambria" w:cs="Cambria"/>
          <w:noProof/>
          <w:lang w:val="en-GB"/>
        </w:rPr>
        <w:drawing>
          <wp:inline distT="0" distB="0" distL="114300" distR="114300" wp14:anchorId="5968BA53" wp14:editId="21C0D852">
            <wp:extent cx="3567430" cy="3110230"/>
            <wp:effectExtent l="0" t="0" r="13970" b="13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2"/>
                    <a:stretch>
                      <a:fillRect/>
                    </a:stretch>
                  </pic:blipFill>
                  <pic:spPr>
                    <a:xfrm>
                      <a:off x="0" y="0"/>
                      <a:ext cx="3567430" cy="3110230"/>
                    </a:xfrm>
                    <a:prstGeom prst="rect">
                      <a:avLst/>
                    </a:prstGeom>
                    <a:noFill/>
                    <a:ln>
                      <a:noFill/>
                    </a:ln>
                  </pic:spPr>
                </pic:pic>
              </a:graphicData>
            </a:graphic>
          </wp:inline>
        </w:drawing>
      </w:r>
    </w:p>
    <w:p w14:paraId="66F06B39" w14:textId="77777777" w:rsidR="00622BC0" w:rsidRDefault="00826C5A">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A higher percentage of females than males experienced severe disability, around 15%, and 9%, respectively, as identified in Figure 3.1. Those who experienced moderate disability levels were also higher for females at 49% than for males at 45%. For mild disability, about 25% of males while 20% of females experienced it (PSA, 2019).</w:t>
      </w:r>
    </w:p>
    <w:p w14:paraId="304E512F" w14:textId="77777777" w:rsidR="00622BC0" w:rsidRDefault="00826C5A">
      <w:pPr>
        <w:widowControl w:val="0"/>
        <w:autoSpaceDE w:val="0"/>
        <w:autoSpaceDN w:val="0"/>
        <w:adjustRightInd w:val="0"/>
        <w:spacing w:before="280" w:after="280"/>
        <w:ind w:right="-6"/>
        <w:jc w:val="both"/>
        <w:rPr>
          <w:rFonts w:ascii="Cambria" w:hAnsi="Cambria" w:cs="Cambria"/>
          <w:lang w:val="en-GB"/>
        </w:rPr>
      </w:pPr>
      <w:r>
        <w:rPr>
          <w:rFonts w:ascii="Cambria" w:hAnsi="Cambria" w:cs="Cambria"/>
          <w:lang w:val="en-GB"/>
        </w:rPr>
        <w:t xml:space="preserve">The National Council on Disability Affairs (NCDA) highlighted the importance of data in the ongoing efforts of the Philippine government in addressing the specific needs of persons with disabilities. NCDA noted that the results of the Medical Disability Survey conducted by the Department of Health and Philippine Statistics Authority using the Washington Group Set of Questions revealed that there was an increase in the percentage of persons with disabilities to the general population from 1.57% in 2010 to an estimate of 12% under the current census. </w:t>
      </w:r>
    </w:p>
    <w:p w14:paraId="478D4BFE" w14:textId="77777777" w:rsidR="00622BC0" w:rsidRDefault="00826C5A">
      <w:pPr>
        <w:widowControl w:val="0"/>
        <w:autoSpaceDE w:val="0"/>
        <w:autoSpaceDN w:val="0"/>
        <w:adjustRightInd w:val="0"/>
        <w:spacing w:before="280" w:after="280"/>
        <w:ind w:right="-6"/>
        <w:jc w:val="both"/>
        <w:rPr>
          <w:rFonts w:ascii="Cambria" w:hAnsi="Cambria" w:cs="Cambria"/>
          <w:b/>
          <w:bCs/>
          <w:lang w:val="en-GB"/>
        </w:rPr>
      </w:pPr>
      <w:r>
        <w:rPr>
          <w:rFonts w:ascii="Cambria" w:hAnsi="Cambria" w:cs="Cambria"/>
          <w:b/>
          <w:bCs/>
          <w:lang w:val="en-GB"/>
        </w:rPr>
        <w:t>2.</w:t>
      </w:r>
      <w:r>
        <w:rPr>
          <w:rFonts w:ascii="Cambria" w:hAnsi="Cambria" w:cs="Cambria"/>
          <w:b/>
          <w:bCs/>
          <w:lang w:val="en-GB"/>
        </w:rPr>
        <w:tab/>
        <w:t>Preview Situation of Persons with Disabilities in the Philippines</w:t>
      </w:r>
    </w:p>
    <w:p w14:paraId="12A939E6" w14:textId="77777777" w:rsidR="00622BC0" w:rsidRPr="002163D6" w:rsidRDefault="00826C5A">
      <w:pPr>
        <w:widowControl w:val="0"/>
        <w:autoSpaceDE w:val="0"/>
        <w:autoSpaceDN w:val="0"/>
        <w:adjustRightInd w:val="0"/>
        <w:spacing w:before="240" w:after="240"/>
        <w:ind w:right="-6"/>
        <w:jc w:val="both"/>
        <w:rPr>
          <w:rFonts w:ascii="Cambria" w:hAnsi="Cambria" w:cs="Cambria"/>
          <w:b/>
          <w:bCs/>
          <w:lang w:val="en-GB"/>
        </w:rPr>
      </w:pPr>
      <w:r w:rsidRPr="002163D6">
        <w:rPr>
          <w:rFonts w:ascii="Cambria" w:hAnsi="Cambria" w:cs="Cambria"/>
          <w:lang w:val="en-GB"/>
        </w:rPr>
        <w:t>Concerning data, a survey from UNESCAP reports a total of 942,048 disabled persons in the Philippines with a disability prevalence of 1.2%. Three years later, the number increased to 1,442,586, with the percentage of disability Prevalence of 1.6% (UNESCAP, 2019).</w:t>
      </w:r>
    </w:p>
    <w:p w14:paraId="011EF23E" w14:textId="77777777" w:rsidR="00622BC0" w:rsidRDefault="00826C5A">
      <w:pPr>
        <w:widowControl w:val="0"/>
        <w:autoSpaceDE w:val="0"/>
        <w:autoSpaceDN w:val="0"/>
        <w:adjustRightInd w:val="0"/>
        <w:spacing w:before="240" w:after="240"/>
        <w:ind w:right="-6"/>
        <w:jc w:val="both"/>
        <w:rPr>
          <w:rFonts w:ascii="Cambria" w:hAnsi="Cambria" w:cs="Cambria"/>
          <w:lang w:val="en-GB"/>
        </w:rPr>
      </w:pPr>
      <w:r w:rsidRPr="002163D6">
        <w:rPr>
          <w:rFonts w:ascii="Cambria" w:hAnsi="Cambria" w:cs="Cambria"/>
          <w:lang w:val="en-GB"/>
        </w:rPr>
        <w:t>The 2019 VNR of the Philippines reviewed the status of the implementation of the SDGs in the Philippines, focusing on Empowering People and Ensuring Inclusiveness and Equality (The Philippines VNR, 2019). The Philippines, together with 50 other countries, presented VNR</w:t>
      </w:r>
      <w:r>
        <w:rPr>
          <w:rFonts w:ascii="Cambria" w:hAnsi="Cambria" w:cs="Cambria"/>
          <w:lang w:val="en-GB"/>
        </w:rPr>
        <w:t xml:space="preserve"> of the SDGs implementation to the 2019 United Nations High-Level Political Forum (HLPF) on Sustainable Development in New York from July 9 to 18, 2019. </w:t>
      </w:r>
    </w:p>
    <w:p w14:paraId="1B3FE528" w14:textId="77777777" w:rsidR="00622BC0" w:rsidRDefault="00826C5A">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lastRenderedPageBreak/>
        <w:t>The 2019 VNR focused on empowering people, ensuring inclusiveness, and equality. It highlighted SDG 4 on quality education, SDG 8 on decent work, SDG 10 on reduced inequalities, SDG 13 on climate action, SDG 16 peace, justice, and strong institutions, and SDG 17 partnership for the goals.</w:t>
      </w:r>
    </w:p>
    <w:p w14:paraId="7D46DE95" w14:textId="77777777" w:rsidR="00622BC0" w:rsidRDefault="00826C5A">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The Philippines government uses VNR to report progress implementation of SDGs and extend urgency to the development agenda of the SDGs, which is one of the lessons learned from the MDGs implementation. At the first VNR report that conducted in July 2016, the Philippines focused on the lessons learned from the MDGs and how to build on its gains moving forward to the SDG era. Later, in the second VNR, the Philippines provided a thorough discussion on the milestones achieved and lessons learned to focus on the goals stated above.</w:t>
      </w:r>
    </w:p>
    <w:p w14:paraId="22D60888" w14:textId="77777777" w:rsidR="00622BC0" w:rsidRPr="002163D6" w:rsidRDefault="00826C5A">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In this report, the Philippines provided data and other support to the implementation, but just a few have been referred to disability issues. In conducting the VNR, the Philippines undertook several consultation workshops to gain feedback from stakeholders and to engage as well as renew commitments for cooperation towards the achievement of the goals. The focus of this report is a synergy between government and non-government actions that empower people </w:t>
      </w:r>
      <w:r w:rsidRPr="002163D6">
        <w:rPr>
          <w:rFonts w:ascii="Cambria" w:hAnsi="Cambria" w:cs="Cambria"/>
          <w:lang w:val="en-GB"/>
        </w:rPr>
        <w:t>and ensure inclusiveness and equality, particularly on deliberate efforts to reach out to the marginalised sector.</w:t>
      </w:r>
    </w:p>
    <w:p w14:paraId="08121829" w14:textId="77777777" w:rsidR="00622BC0" w:rsidRDefault="00826C5A">
      <w:pPr>
        <w:widowControl w:val="0"/>
        <w:autoSpaceDE w:val="0"/>
        <w:autoSpaceDN w:val="0"/>
        <w:adjustRightInd w:val="0"/>
        <w:spacing w:before="240" w:after="240"/>
        <w:ind w:right="-6"/>
        <w:jc w:val="both"/>
        <w:rPr>
          <w:rFonts w:ascii="Cambria" w:hAnsi="Cambria" w:cs="Cambria"/>
          <w:lang w:val="en-GB"/>
        </w:rPr>
      </w:pPr>
      <w:r w:rsidRPr="002163D6">
        <w:rPr>
          <w:rFonts w:ascii="Cambria" w:hAnsi="Cambria" w:cs="Cambria"/>
          <w:lang w:val="en-GB"/>
        </w:rPr>
        <w:t>Republic Act No.7277 on the Rehabilitation, Self-Development, and Self Reliance of Disabled Person and their Integration into the Mainstream of the Society and for Other Purposes was amended in 2016 as Republic Act 9442. The amended act later is known as the Magna Carta for Disabled Persons and Other Purposes. This act entails the general provisions for disabled persons in the Philippines. The government of the Philippines signed the Convention on the Rights of Persons with Disabilities (CRPD) in 2007, which further was ratified in the following year (UNESCAP, 2012). The Philippines government also enacted Republic Act No. 10754, which aims to extend the privileges for its disabled citizens, among other legislation.</w:t>
      </w:r>
      <w:r>
        <w:rPr>
          <w:rFonts w:ascii="Cambria" w:hAnsi="Cambria" w:cs="Cambria"/>
          <w:lang w:val="en-GB"/>
        </w:rPr>
        <w:t xml:space="preserve"> </w:t>
      </w:r>
    </w:p>
    <w:p w14:paraId="39358CB3" w14:textId="77777777" w:rsidR="00622BC0" w:rsidRDefault="00826C5A">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Despite there are limitations in the Philippines' VNR Report, some goals have been mentioned, which focuses more on disability, gender equality, education, and sustainable cities. It is notably concerned that data in the Philippines comes as a problem in increasing the potential of persons with disabilities to avail of the needed services. The dis-aggregated data collection is required for systematic response to the needs of people with disabilities in disaster and vulnerable situations though persons with disabilities tend to remain invisible in the registration systems.</w:t>
      </w:r>
    </w:p>
    <w:p w14:paraId="56638485" w14:textId="77777777" w:rsidR="00622BC0" w:rsidRDefault="00826C5A">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The country has passed legislation to ensure that the rights of vulnerable groups are upheld</w:t>
      </w:r>
      <w:r>
        <w:rPr>
          <w:rFonts w:ascii="Cambria" w:hAnsi="Cambria" w:cs="Cambria"/>
          <w:b/>
          <w:bCs/>
          <w:lang w:val="en-GB"/>
        </w:rPr>
        <w:t xml:space="preserve">. </w:t>
      </w:r>
      <w:r>
        <w:rPr>
          <w:rFonts w:ascii="Cambria" w:hAnsi="Cambria" w:cs="Cambria"/>
          <w:lang w:val="en-GB"/>
        </w:rPr>
        <w:t xml:space="preserve">These include Magna Carta for Persons with Disabilities (RA 7277), Magna Carta of Women (RA 9710), Indigenous Peoples' Rights Act (RA 8371), Expanded Senior Citizens Act (RA 9994), and The Child and Youth Welfare Code (Presidential Decree No. 603). These laws also highlight mechanisms to empower </w:t>
      </w:r>
      <w:r>
        <w:rPr>
          <w:rFonts w:ascii="Cambria" w:hAnsi="Cambria" w:cs="Cambria"/>
          <w:lang w:val="en-GB"/>
        </w:rPr>
        <w:lastRenderedPageBreak/>
        <w:t>and ensure the well-being of persons with disabilities. The Magna Carta reserves at least 1% of all positions in all government agencies, private offices, or corporations for persons with disabilities. This law also provides private organisations with tax incentives when hiring persons with disabilities (The Philippines VNR Report, 2019).</w:t>
      </w:r>
    </w:p>
    <w:p w14:paraId="42DFC5D2" w14:textId="77777777" w:rsidR="00622BC0" w:rsidRDefault="00826C5A">
      <w:pPr>
        <w:widowControl w:val="0"/>
        <w:autoSpaceDE w:val="0"/>
        <w:autoSpaceDN w:val="0"/>
        <w:adjustRightInd w:val="0"/>
        <w:spacing w:before="240" w:after="240"/>
        <w:ind w:right="-6"/>
        <w:jc w:val="both"/>
        <w:rPr>
          <w:rFonts w:ascii="Cambria" w:hAnsi="Cambria" w:cs="Cambria"/>
          <w:lang w:val="en-GB"/>
        </w:rPr>
      </w:pPr>
      <w:r>
        <w:rPr>
          <w:rFonts w:ascii="Cambria" w:hAnsi="Cambria" w:cs="Cambria"/>
          <w:b/>
          <w:bCs/>
          <w:lang w:val="en-GB"/>
        </w:rPr>
        <w:t>The Implementation of SDGs and CRPD</w:t>
      </w:r>
    </w:p>
    <w:p w14:paraId="1DB4EB86" w14:textId="77777777" w:rsidR="00622BC0" w:rsidRDefault="00826C5A">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The National Economic and Development Authority (NEDA) is the lead agency on the implementation of the SDGs in the country. The SDGs are integrated into the Philippine Development Plan for accommodating development and monitoring processes. The report on planning implementation is done through the socio-economic report published annually. The country also submits periodic reports on the SDGs implementation through the SDGs Voluntary National Review. The coordination of SDGs interventions is done through the NEDA Committees and Cabinet Clusters (NEDA, Director Mary Ann </w:t>
      </w:r>
      <w:proofErr w:type="spellStart"/>
      <w:r>
        <w:rPr>
          <w:rFonts w:ascii="Cambria" w:hAnsi="Cambria" w:cs="Cambria"/>
          <w:lang w:val="en-GB"/>
        </w:rPr>
        <w:t>Darauay</w:t>
      </w:r>
      <w:proofErr w:type="spellEnd"/>
      <w:r>
        <w:rPr>
          <w:rFonts w:ascii="Cambria" w:hAnsi="Cambria" w:cs="Cambria"/>
          <w:lang w:val="en-GB"/>
        </w:rPr>
        <w:t>, 2019).</w:t>
      </w:r>
    </w:p>
    <w:p w14:paraId="40BC2C2D" w14:textId="77777777" w:rsidR="00622BC0" w:rsidRDefault="00826C5A">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NEDA is a part of the strategy to achieve the </w:t>
      </w:r>
      <w:proofErr w:type="spellStart"/>
      <w:r>
        <w:rPr>
          <w:rFonts w:ascii="Cambria" w:hAnsi="Cambria" w:cs="Cambria"/>
          <w:lang w:val="en-GB"/>
        </w:rPr>
        <w:t>Ambisyon</w:t>
      </w:r>
      <w:proofErr w:type="spellEnd"/>
      <w:r>
        <w:rPr>
          <w:rFonts w:ascii="Cambria" w:hAnsi="Cambria" w:cs="Cambria"/>
          <w:lang w:val="en-GB"/>
        </w:rPr>
        <w:t xml:space="preserve"> </w:t>
      </w:r>
      <w:proofErr w:type="spellStart"/>
      <w:r>
        <w:rPr>
          <w:rFonts w:ascii="Cambria" w:hAnsi="Cambria" w:cs="Cambria"/>
          <w:lang w:val="en-GB"/>
        </w:rPr>
        <w:t>Natin</w:t>
      </w:r>
      <w:proofErr w:type="spellEnd"/>
      <w:r>
        <w:rPr>
          <w:rFonts w:ascii="Cambria" w:hAnsi="Cambria" w:cs="Cambria"/>
          <w:lang w:val="en-GB"/>
        </w:rPr>
        <w:t xml:space="preserve"> 2014, which aims not only to eradicate poverty but also to make the life of every Filipino rooted in a strong foundation, comfortable, stable, and sustain. The second leading agency is the Department of Social Welfare and Development, which caters to the social welfare and social needs of the people, but later it also attempts to participate in Sustainable Livelihood Programme to eradicate poverty. Hence, the Social welfare and Development Department does not only provide dole-outs or emergency to the people but also ensures that what it does is to provide sustainable programmes and solutions to the poverty situation of the country.</w:t>
      </w:r>
    </w:p>
    <w:p w14:paraId="0DF7928B" w14:textId="77777777" w:rsidR="00622BC0" w:rsidRDefault="00826C5A">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The National Council on Disability Affairs (NCDA) is the lead agency on the implementation of the UNCRPD and prepares the country's report in coordination with different concerned agencies. Composed of different government and non-government organisations which are essential in the promotion of the well-being of persons with disabilities, the mandate of the NCDA includes policy development and coordination. The NCDA works with programme implementers in ensuring that the different socio-economic development initiatives are accessible and responsive to the concerns of persons with disabilities. They also work with the country's legislators to ensure that the adopted laws are disability-inclusive (NEDA, Director Mary Ann </w:t>
      </w:r>
      <w:proofErr w:type="spellStart"/>
      <w:r>
        <w:rPr>
          <w:rFonts w:ascii="Cambria" w:hAnsi="Cambria" w:cs="Cambria"/>
          <w:lang w:val="en-GB"/>
        </w:rPr>
        <w:t>Darauay</w:t>
      </w:r>
      <w:proofErr w:type="spellEnd"/>
      <w:r>
        <w:rPr>
          <w:rFonts w:ascii="Cambria" w:hAnsi="Cambria" w:cs="Cambria"/>
          <w:lang w:val="en-GB"/>
        </w:rPr>
        <w:t>, 2019).</w:t>
      </w:r>
    </w:p>
    <w:p w14:paraId="6DBD89F4" w14:textId="77777777" w:rsidR="00622BC0" w:rsidRDefault="00826C5A">
      <w:pPr>
        <w:widowControl w:val="0"/>
        <w:autoSpaceDE w:val="0"/>
        <w:autoSpaceDN w:val="0"/>
        <w:adjustRightInd w:val="0"/>
        <w:spacing w:before="240" w:after="240"/>
        <w:ind w:right="-6"/>
        <w:jc w:val="both"/>
        <w:rPr>
          <w:rFonts w:ascii="Cambria" w:hAnsi="Cambria" w:cs="Cambria"/>
          <w:b/>
          <w:bCs/>
          <w:lang w:val="en-GB"/>
        </w:rPr>
      </w:pPr>
      <w:r>
        <w:rPr>
          <w:rFonts w:ascii="Cambria" w:hAnsi="Cambria" w:cs="Cambria"/>
          <w:lang w:val="en-GB"/>
        </w:rPr>
        <w:t>When it comes to the participation of representatives from CSOs and government agencies, governmental bodies such as the Philippine Commission on Women, the National Commission on Indigenous Peoples, the Council for the Welfare of Children, and the National Council on Disability Affairs were established to ensure that sector-specific issues are considered in the development discourse. These commissions and councils formulate plans and policies for their respective sectors and raise sectoral concerns during development planning and programming committees and forums.</w:t>
      </w:r>
    </w:p>
    <w:p w14:paraId="1B623CF8" w14:textId="77777777" w:rsidR="00622BC0" w:rsidRDefault="00826C5A">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lastRenderedPageBreak/>
        <w:t xml:space="preserve">An unadulterated shadow report is produced to assess and review the implementation of Sustainable Development Goals by the Social Watch and other Disability Advocates (Marivic </w:t>
      </w:r>
      <w:proofErr w:type="spellStart"/>
      <w:r>
        <w:rPr>
          <w:rFonts w:ascii="Cambria" w:hAnsi="Cambria" w:cs="Cambria"/>
          <w:lang w:val="en-GB"/>
        </w:rPr>
        <w:t>Raquisa</w:t>
      </w:r>
      <w:proofErr w:type="spellEnd"/>
      <w:r>
        <w:rPr>
          <w:rFonts w:ascii="Cambria" w:hAnsi="Cambria" w:cs="Cambria"/>
          <w:lang w:val="en-GB"/>
        </w:rPr>
        <w:t>, 2019). Aligned with this, the report prepared by the Philippines government for the SDGs also includes the recommendation and feedback from CSOs, including the Social Watch through a series of consultations.</w:t>
      </w:r>
    </w:p>
    <w:p w14:paraId="22C9BC27" w14:textId="262E89AA" w:rsidR="00622BC0" w:rsidRDefault="00826C5A">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The recommendations from CSOs that are similar to the essence messages delivered by the government will be consolidated in the report and presented in the official United Nations forum. However, this momentum has encouraged the participation of OPD</w:t>
      </w:r>
      <w:r w:rsidR="0067025E">
        <w:rPr>
          <w:rFonts w:ascii="Cambria" w:hAnsi="Cambria" w:cs="Cambria"/>
          <w:lang w:val="en-GB"/>
        </w:rPr>
        <w:t>s</w:t>
      </w:r>
      <w:r>
        <w:rPr>
          <w:rFonts w:ascii="Cambria" w:hAnsi="Cambria" w:cs="Cambria"/>
          <w:lang w:val="en-GB"/>
        </w:rPr>
        <w:t xml:space="preserve">, notably the Social Watch, to the development of the VNR report as the Social Watch becomes a selected CSOs invited by NEDA. Parallel to this process, the Social-Watch also submitted its shadow report to the United Nations to address the voices of civil society. </w:t>
      </w:r>
    </w:p>
    <w:p w14:paraId="3043F7A4" w14:textId="77777777" w:rsidR="00622BC0" w:rsidRDefault="00622BC0">
      <w:pPr>
        <w:widowControl w:val="0"/>
        <w:autoSpaceDE w:val="0"/>
        <w:autoSpaceDN w:val="0"/>
        <w:adjustRightInd w:val="0"/>
        <w:spacing w:before="240" w:after="240"/>
        <w:ind w:right="-6"/>
        <w:jc w:val="both"/>
        <w:rPr>
          <w:rFonts w:ascii="Cambria" w:hAnsi="Cambria" w:cs="Cambria"/>
          <w:lang w:val="en-GB"/>
        </w:rPr>
      </w:pPr>
    </w:p>
    <w:p w14:paraId="3A800F64"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3.</w:t>
      </w:r>
      <w:r>
        <w:rPr>
          <w:rFonts w:ascii="Cambria" w:hAnsi="Cambria" w:cs="Cambria"/>
          <w:b/>
          <w:bCs/>
          <w:lang w:val="en-GB"/>
        </w:rPr>
        <w:tab/>
        <w:t>SDG Goal 3 - Health and Well-being</w:t>
      </w:r>
    </w:p>
    <w:p w14:paraId="5DDB4DBC"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Policy and Regulations</w:t>
      </w:r>
    </w:p>
    <w:p w14:paraId="41422068" w14:textId="77777777" w:rsidR="00622BC0" w:rsidRDefault="00826C5A">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Overall, the general laws on health issues regulated in the R.A. No. 7875, the “National Health Insurance Act of 1995” as amended by R.A. No. 9241, institutes a National Health Insurance Programme for all Filipinos. It ensures the rights to health for all people in the Philippines, yet it does not mention the health services for persons with disabilities, particularly. Instead, the Republic Act 7277 contains provisions on the rehabilitation, self-development, and self-reliance of persons with disabilities and their integration into the mainstream of society. It also mandates the creation of a National Health Programme for the prevention of disability.</w:t>
      </w:r>
    </w:p>
    <w:p w14:paraId="20E1F9F8" w14:textId="77777777" w:rsidR="00622BC0" w:rsidRDefault="00826C5A">
      <w:pPr>
        <w:widowControl w:val="0"/>
        <w:autoSpaceDE w:val="0"/>
        <w:autoSpaceDN w:val="0"/>
        <w:adjustRightInd w:val="0"/>
        <w:spacing w:before="240" w:after="240"/>
        <w:ind w:right="-6"/>
        <w:jc w:val="both"/>
        <w:rPr>
          <w:rFonts w:ascii="Calibri" w:hAnsi="Calibri" w:cs="Calibri"/>
          <w:lang w:val="en-GB"/>
        </w:rPr>
      </w:pPr>
      <w:r>
        <w:rPr>
          <w:rFonts w:ascii="Cambria" w:hAnsi="Cambria" w:cs="Cambria"/>
          <w:lang w:val="en-GB"/>
        </w:rPr>
        <w:t xml:space="preserve">Furthermore, Section 20 of the act ensures the protection and promotion of the right to health of persons with disabilities. Furthermore, health services available in any government health facility shall be provided free to indigent persons with disabilities, and at discounted rates for other persons with disabilities according to conditions set by the Department of Social Welfare and Development (DSWD) and the Department of Health. </w:t>
      </w:r>
    </w:p>
    <w:p w14:paraId="183F5DD0" w14:textId="77777777" w:rsidR="00622BC0" w:rsidRDefault="00826C5A">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The general provisions in the law on health may not mention specific provisions on health-care services for persons with disabilities. It is regulated by the other laws and regulations mentioned in this section, such as the early identification, prevention, referral, and intervention of children with disabilities regulated in the Republic Act 8980. The provided health-care services for persons with disabilities may be applied diversely at the community levels depend on the accessibility of location, modes of transportation, infrastructure, and budget limitation. </w:t>
      </w:r>
    </w:p>
    <w:p w14:paraId="51FEA950" w14:textId="77777777" w:rsidR="00622BC0" w:rsidRDefault="00826C5A">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The following lists are other laws and regulations pertaining to the rights of health </w:t>
      </w:r>
      <w:r>
        <w:rPr>
          <w:rFonts w:ascii="Cambria" w:hAnsi="Cambria" w:cs="Cambria"/>
          <w:lang w:val="en-GB"/>
        </w:rPr>
        <w:lastRenderedPageBreak/>
        <w:t xml:space="preserve">for persons with disabilities: </w:t>
      </w:r>
    </w:p>
    <w:p w14:paraId="31B2371B" w14:textId="6CC382C4" w:rsidR="00622BC0" w:rsidRDefault="00826C5A">
      <w:pPr>
        <w:widowControl w:val="0"/>
        <w:autoSpaceDE w:val="0"/>
        <w:autoSpaceDN w:val="0"/>
        <w:adjustRightInd w:val="0"/>
        <w:spacing w:before="240" w:after="240"/>
        <w:ind w:left="480" w:right="-6" w:hangingChars="200" w:hanging="480"/>
        <w:jc w:val="both"/>
        <w:rPr>
          <w:rFonts w:ascii="Cambria" w:hAnsi="Cambria" w:cs="Cambria"/>
          <w:lang w:val="en-GB"/>
        </w:rPr>
      </w:pPr>
      <w:r>
        <w:rPr>
          <w:rFonts w:ascii="Cambria" w:hAnsi="Cambria" w:cs="Cambria"/>
          <w:lang w:val="en-GB"/>
        </w:rPr>
        <w:t>1.</w:t>
      </w:r>
      <w:r>
        <w:rPr>
          <w:rFonts w:ascii="Cambria" w:hAnsi="Cambria" w:cs="Cambria"/>
          <w:lang w:val="en-GB"/>
        </w:rPr>
        <w:tab/>
        <w:t xml:space="preserve">The Republic Act 1179 (1954), which referred to as the "Vocational Rehabilitation Act" provides for the promotion of vocational training for persons who are blind and other persons with disabilities from natural and or accidental causes resulting in </w:t>
      </w:r>
      <w:r w:rsidR="002163D6">
        <w:rPr>
          <w:rFonts w:ascii="Cambria" w:hAnsi="Cambria" w:cs="Cambria"/>
          <w:lang w:val="en-GB"/>
        </w:rPr>
        <w:t>disabilities</w:t>
      </w:r>
      <w:r>
        <w:rPr>
          <w:rFonts w:ascii="Cambria" w:hAnsi="Cambria" w:cs="Cambria"/>
          <w:lang w:val="en-GB"/>
        </w:rPr>
        <w:t xml:space="preserve"> in the form of physical or psychological disability;</w:t>
      </w:r>
    </w:p>
    <w:p w14:paraId="1CF8E6DE" w14:textId="04387F5C" w:rsidR="00622BC0" w:rsidRDefault="00826C5A">
      <w:pPr>
        <w:widowControl w:val="0"/>
        <w:autoSpaceDE w:val="0"/>
        <w:autoSpaceDN w:val="0"/>
        <w:adjustRightInd w:val="0"/>
        <w:spacing w:before="240" w:after="240"/>
        <w:ind w:left="480" w:right="-6" w:hangingChars="200" w:hanging="480"/>
        <w:jc w:val="both"/>
        <w:rPr>
          <w:rFonts w:ascii="Cambria" w:hAnsi="Cambria" w:cs="Cambria"/>
          <w:lang w:val="en-GB"/>
        </w:rPr>
      </w:pPr>
      <w:r>
        <w:rPr>
          <w:rFonts w:ascii="Cambria" w:hAnsi="Cambria" w:cs="Cambria"/>
          <w:lang w:val="en-GB"/>
        </w:rPr>
        <w:t>2.</w:t>
      </w:r>
      <w:r>
        <w:rPr>
          <w:rFonts w:ascii="Cambria" w:hAnsi="Cambria" w:cs="Cambria"/>
          <w:lang w:val="en-GB"/>
        </w:rPr>
        <w:tab/>
        <w:t>The Republic Act 8980 (2000), Section 3 (h), provides for the establishment of an efficient system for early identification, prevention, referral, and intervention for disabilities in early childhood;</w:t>
      </w:r>
    </w:p>
    <w:p w14:paraId="13BDA73F" w14:textId="4C6F1290" w:rsidR="00622BC0" w:rsidRDefault="00826C5A">
      <w:pPr>
        <w:widowControl w:val="0"/>
        <w:autoSpaceDE w:val="0"/>
        <w:autoSpaceDN w:val="0"/>
        <w:adjustRightInd w:val="0"/>
        <w:spacing w:before="240" w:after="240"/>
        <w:ind w:left="480" w:right="-6" w:hangingChars="200" w:hanging="480"/>
        <w:jc w:val="both"/>
        <w:rPr>
          <w:rFonts w:ascii="Cambria" w:hAnsi="Cambria" w:cs="Cambria"/>
          <w:lang w:val="en-GB"/>
        </w:rPr>
      </w:pPr>
      <w:r>
        <w:rPr>
          <w:rFonts w:ascii="Cambria" w:hAnsi="Cambria" w:cs="Cambria"/>
          <w:lang w:val="en-GB"/>
        </w:rPr>
        <w:t>3.</w:t>
      </w:r>
      <w:r>
        <w:rPr>
          <w:rFonts w:ascii="Cambria" w:hAnsi="Cambria" w:cs="Cambria"/>
          <w:lang w:val="en-GB"/>
        </w:rPr>
        <w:tab/>
        <w:t xml:space="preserve">The Republic Act No. 9288 (2004) aims to ensure that every new-born has access to new-born screening </w:t>
      </w:r>
      <w:r w:rsidR="002163D6">
        <w:rPr>
          <w:rFonts w:ascii="Cambria" w:hAnsi="Cambria" w:cs="Cambria"/>
          <w:lang w:val="en-GB"/>
        </w:rPr>
        <w:t>for early detection</w:t>
      </w:r>
      <w:r>
        <w:rPr>
          <w:rFonts w:ascii="Cambria" w:hAnsi="Cambria" w:cs="Cambria"/>
          <w:lang w:val="en-GB"/>
        </w:rPr>
        <w:t>;</w:t>
      </w:r>
    </w:p>
    <w:p w14:paraId="6DC5D222" w14:textId="77777777" w:rsidR="00622BC0" w:rsidRDefault="00826C5A">
      <w:pPr>
        <w:widowControl w:val="0"/>
        <w:autoSpaceDE w:val="0"/>
        <w:autoSpaceDN w:val="0"/>
        <w:adjustRightInd w:val="0"/>
        <w:spacing w:before="240" w:after="240"/>
        <w:ind w:left="480" w:right="-6" w:hangingChars="200" w:hanging="480"/>
        <w:jc w:val="both"/>
        <w:rPr>
          <w:rFonts w:ascii="Cambria" w:hAnsi="Cambria" w:cs="Cambria"/>
          <w:lang w:val="en-GB"/>
        </w:rPr>
      </w:pPr>
      <w:r>
        <w:rPr>
          <w:rFonts w:ascii="Cambria" w:hAnsi="Cambria" w:cs="Cambria"/>
          <w:lang w:val="en-GB"/>
        </w:rPr>
        <w:t>4.</w:t>
      </w:r>
      <w:r>
        <w:rPr>
          <w:rFonts w:ascii="Cambria" w:hAnsi="Cambria" w:cs="Cambria"/>
          <w:lang w:val="en-GB"/>
        </w:rPr>
        <w:tab/>
        <w:t>The Republic Act No. 9709 (2009) aims for the identification and early intervention programmes for new-born children who are deaf or hard-of-hearing;</w:t>
      </w:r>
    </w:p>
    <w:p w14:paraId="591B4FAC" w14:textId="77777777" w:rsidR="00622BC0" w:rsidRDefault="00826C5A">
      <w:pPr>
        <w:widowControl w:val="0"/>
        <w:autoSpaceDE w:val="0"/>
        <w:autoSpaceDN w:val="0"/>
        <w:adjustRightInd w:val="0"/>
        <w:spacing w:before="240" w:after="240"/>
        <w:ind w:left="480" w:right="-6" w:hangingChars="200" w:hanging="480"/>
        <w:jc w:val="both"/>
        <w:rPr>
          <w:rFonts w:ascii="Cambria" w:hAnsi="Cambria" w:cs="Cambria"/>
          <w:lang w:val="en-GB"/>
        </w:rPr>
      </w:pPr>
      <w:r>
        <w:rPr>
          <w:rFonts w:ascii="Cambria" w:hAnsi="Cambria" w:cs="Cambria"/>
          <w:lang w:val="en-GB"/>
        </w:rPr>
        <w:t>5.</w:t>
      </w:r>
      <w:r>
        <w:rPr>
          <w:rFonts w:ascii="Cambria" w:hAnsi="Cambria" w:cs="Cambria"/>
          <w:lang w:val="en-GB"/>
        </w:rPr>
        <w:tab/>
        <w:t>The Republic Act 10606 (2013) or called</w:t>
      </w:r>
      <w:r>
        <w:rPr>
          <w:rFonts w:ascii="Cambria" w:hAnsi="Cambria" w:cs="Cambria"/>
          <w:b/>
          <w:bCs/>
          <w:lang w:val="en-GB"/>
        </w:rPr>
        <w:t xml:space="preserve"> </w:t>
      </w:r>
      <w:r>
        <w:rPr>
          <w:rFonts w:ascii="Cambria" w:hAnsi="Cambria" w:cs="Cambria"/>
          <w:lang w:val="en-GB"/>
        </w:rPr>
        <w:t>the National Health Insurance Act of 2013, directs the Philippine Health Insurance Corporation (Phil-Health) to manage the National Health Insurance Programme for all Filipinos;</w:t>
      </w:r>
    </w:p>
    <w:p w14:paraId="07CC53ED" w14:textId="77777777" w:rsidR="00622BC0" w:rsidRPr="00826C5A" w:rsidRDefault="00826C5A">
      <w:pPr>
        <w:widowControl w:val="0"/>
        <w:autoSpaceDE w:val="0"/>
        <w:autoSpaceDN w:val="0"/>
        <w:adjustRightInd w:val="0"/>
        <w:spacing w:before="240" w:after="240"/>
        <w:ind w:left="480" w:right="-6" w:hangingChars="200" w:hanging="480"/>
        <w:jc w:val="both"/>
        <w:rPr>
          <w:rFonts w:ascii="Cambria" w:hAnsi="Cambria" w:cs="Cambria"/>
          <w:lang w:val="en-GB"/>
        </w:rPr>
      </w:pPr>
      <w:r>
        <w:rPr>
          <w:rFonts w:ascii="Cambria" w:hAnsi="Cambria" w:cs="Cambria"/>
          <w:lang w:val="en-GB"/>
        </w:rPr>
        <w:t>6.</w:t>
      </w:r>
      <w:r>
        <w:rPr>
          <w:rFonts w:ascii="Cambria" w:hAnsi="Cambria" w:cs="Cambria"/>
          <w:lang w:val="en-GB"/>
        </w:rPr>
        <w:tab/>
        <w:t xml:space="preserve">The </w:t>
      </w:r>
      <w:r w:rsidRPr="00826C5A">
        <w:rPr>
          <w:rFonts w:ascii="Cambria" w:hAnsi="Cambria" w:cs="Cambria"/>
          <w:lang w:val="en-GB"/>
        </w:rPr>
        <w:t>Republic Act 11223 (2018) known as the "Universal Health Care Act" ensures that every Filipino shall be granted immediate eligibility and access to preventive, promotive, curative, rehabilitative, and palliative care for medical, dental, mental and emergency health services, delivered either as population-based or individual-based health service;</w:t>
      </w:r>
    </w:p>
    <w:p w14:paraId="44BC67CA" w14:textId="77777777" w:rsidR="00622BC0" w:rsidRPr="00826C5A" w:rsidRDefault="00826C5A">
      <w:pPr>
        <w:widowControl w:val="0"/>
        <w:autoSpaceDE w:val="0"/>
        <w:autoSpaceDN w:val="0"/>
        <w:adjustRightInd w:val="0"/>
        <w:spacing w:before="240" w:after="240"/>
        <w:ind w:left="480" w:right="-6" w:hangingChars="200" w:hanging="480"/>
        <w:jc w:val="both"/>
        <w:rPr>
          <w:rFonts w:ascii="Cambria" w:hAnsi="Cambria" w:cs="Cambria"/>
          <w:lang w:val="en-GB"/>
        </w:rPr>
      </w:pPr>
      <w:r w:rsidRPr="00826C5A">
        <w:rPr>
          <w:rFonts w:ascii="Cambria" w:hAnsi="Cambria" w:cs="Cambria"/>
          <w:lang w:val="en-GB"/>
        </w:rPr>
        <w:t>7.</w:t>
      </w:r>
      <w:r w:rsidRPr="00826C5A">
        <w:rPr>
          <w:rFonts w:ascii="Cambria" w:hAnsi="Cambria" w:cs="Cambria"/>
          <w:lang w:val="en-GB"/>
        </w:rPr>
        <w:tab/>
        <w:t>The Republic Act 11228 (2019), amends RA 7277, and mandates Phil-Health to develop exclusive packages that will address the specific health and developmental needs of persons with disabilities;</w:t>
      </w:r>
    </w:p>
    <w:p w14:paraId="0AE68F2C" w14:textId="77777777" w:rsidR="00622BC0" w:rsidRDefault="00826C5A">
      <w:pPr>
        <w:widowControl w:val="0"/>
        <w:autoSpaceDE w:val="0"/>
        <w:autoSpaceDN w:val="0"/>
        <w:adjustRightInd w:val="0"/>
        <w:spacing w:before="240" w:after="240"/>
        <w:ind w:left="480" w:right="-6" w:hangingChars="200" w:hanging="480"/>
        <w:jc w:val="both"/>
        <w:rPr>
          <w:rFonts w:ascii="Cambria" w:hAnsi="Cambria" w:cs="Cambria"/>
          <w:lang w:val="en-GB"/>
        </w:rPr>
      </w:pPr>
      <w:r w:rsidRPr="00826C5A">
        <w:rPr>
          <w:rFonts w:ascii="Cambria" w:hAnsi="Cambria" w:cs="Cambria"/>
          <w:lang w:val="en-GB"/>
        </w:rPr>
        <w:t>8.</w:t>
      </w:r>
      <w:r w:rsidRPr="00826C5A">
        <w:rPr>
          <w:rFonts w:ascii="Cambria" w:hAnsi="Cambria" w:cs="Cambria"/>
          <w:lang w:val="en-GB"/>
        </w:rPr>
        <w:tab/>
        <w:t>The Executive Order (EO) no. 437 (2005) was issued to strengthen the adoption of Community-Based Rehabilitation (CBR) as a strategy in delivering services;</w:t>
      </w:r>
    </w:p>
    <w:p w14:paraId="4A0F35D8" w14:textId="77777777" w:rsidR="00622BC0" w:rsidRDefault="00826C5A">
      <w:pPr>
        <w:widowControl w:val="0"/>
        <w:autoSpaceDE w:val="0"/>
        <w:autoSpaceDN w:val="0"/>
        <w:adjustRightInd w:val="0"/>
        <w:spacing w:before="240" w:after="240"/>
        <w:ind w:left="480" w:right="-6" w:hangingChars="200" w:hanging="480"/>
        <w:jc w:val="both"/>
        <w:rPr>
          <w:rFonts w:ascii="Cambria" w:hAnsi="Cambria" w:cs="Cambria"/>
          <w:lang w:val="en-GB"/>
        </w:rPr>
      </w:pPr>
      <w:r>
        <w:rPr>
          <w:rFonts w:ascii="Cambria" w:hAnsi="Cambria" w:cs="Cambria"/>
          <w:lang w:val="en-GB"/>
        </w:rPr>
        <w:t>9.</w:t>
      </w:r>
      <w:r>
        <w:rPr>
          <w:rFonts w:ascii="Cambria" w:hAnsi="Cambria" w:cs="Cambria"/>
          <w:lang w:val="en-GB"/>
        </w:rPr>
        <w:tab/>
        <w:t>The Department of Health Administrative Order No. 51A Series of 2000</w:t>
      </w:r>
      <w:r>
        <w:rPr>
          <w:rFonts w:ascii="Cambria" w:hAnsi="Cambria" w:cs="Cambria"/>
          <w:b/>
          <w:bCs/>
          <w:lang w:val="en-GB"/>
        </w:rPr>
        <w:t xml:space="preserve"> </w:t>
      </w:r>
      <w:r>
        <w:rPr>
          <w:rFonts w:ascii="Cambria" w:hAnsi="Cambria" w:cs="Cambria"/>
          <w:lang w:val="en-GB"/>
        </w:rPr>
        <w:t xml:space="preserve">sets the Implementing Guidelines on Classification of Patients and </w:t>
      </w:r>
      <w:proofErr w:type="spellStart"/>
      <w:r>
        <w:rPr>
          <w:rFonts w:ascii="Cambria" w:hAnsi="Cambria" w:cs="Cambria"/>
          <w:lang w:val="en-GB"/>
        </w:rPr>
        <w:t>Availment</w:t>
      </w:r>
      <w:proofErr w:type="spellEnd"/>
      <w:r>
        <w:rPr>
          <w:rFonts w:ascii="Cambria" w:hAnsi="Cambria" w:cs="Cambria"/>
          <w:lang w:val="en-GB"/>
        </w:rPr>
        <w:t xml:space="preserve"> of Medical Social Services in Government Hospitals;</w:t>
      </w:r>
    </w:p>
    <w:p w14:paraId="44917569" w14:textId="77777777" w:rsidR="00622BC0" w:rsidRDefault="00826C5A">
      <w:pPr>
        <w:widowControl w:val="0"/>
        <w:autoSpaceDE w:val="0"/>
        <w:autoSpaceDN w:val="0"/>
        <w:adjustRightInd w:val="0"/>
        <w:spacing w:before="240" w:after="240"/>
        <w:ind w:left="480" w:right="-6" w:hangingChars="200" w:hanging="480"/>
        <w:jc w:val="both"/>
        <w:rPr>
          <w:rFonts w:ascii="Cambria" w:hAnsi="Cambria" w:cs="Cambria"/>
          <w:lang w:val="en-GB"/>
        </w:rPr>
      </w:pPr>
      <w:r>
        <w:rPr>
          <w:rFonts w:ascii="Cambria" w:hAnsi="Cambria" w:cs="Cambria"/>
          <w:lang w:val="en-GB"/>
        </w:rPr>
        <w:t>10.</w:t>
      </w:r>
      <w:r>
        <w:rPr>
          <w:rFonts w:ascii="Cambria" w:hAnsi="Cambria" w:cs="Cambria"/>
          <w:lang w:val="en-GB"/>
        </w:rPr>
        <w:tab/>
        <w:t>Department of Social Welfare and Development Memorandum Circular 1-2008, provides guidelines on the Comprehensive Programme for Persons with Disabilities.</w:t>
      </w:r>
    </w:p>
    <w:p w14:paraId="1B522419" w14:textId="77777777" w:rsidR="00622BC0" w:rsidRDefault="00622BC0">
      <w:pPr>
        <w:widowControl w:val="0"/>
        <w:autoSpaceDE w:val="0"/>
        <w:autoSpaceDN w:val="0"/>
        <w:adjustRightInd w:val="0"/>
        <w:spacing w:after="200"/>
        <w:ind w:right="-6"/>
        <w:jc w:val="both"/>
        <w:rPr>
          <w:rFonts w:ascii="Cambria" w:hAnsi="Cambria" w:cs="Cambria"/>
          <w:b/>
          <w:bCs/>
          <w:lang w:val="en-GB"/>
        </w:rPr>
      </w:pPr>
    </w:p>
    <w:p w14:paraId="393F9C96" w14:textId="77777777" w:rsidR="00622BC0" w:rsidRPr="00826C5A"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 xml:space="preserve">Implementation </w:t>
      </w:r>
      <w:r w:rsidRPr="00826C5A">
        <w:rPr>
          <w:rFonts w:ascii="Cambria" w:hAnsi="Cambria" w:cs="Cambria"/>
          <w:b/>
          <w:bCs/>
          <w:lang w:val="en-GB"/>
        </w:rPr>
        <w:t>and Programmes</w:t>
      </w:r>
    </w:p>
    <w:p w14:paraId="58670799" w14:textId="77777777" w:rsidR="00622BC0" w:rsidRPr="00826C5A" w:rsidRDefault="00826C5A">
      <w:pPr>
        <w:widowControl w:val="0"/>
        <w:autoSpaceDE w:val="0"/>
        <w:autoSpaceDN w:val="0"/>
        <w:adjustRightInd w:val="0"/>
        <w:spacing w:before="240" w:after="240"/>
        <w:ind w:right="-6"/>
        <w:jc w:val="both"/>
        <w:rPr>
          <w:rFonts w:ascii="Cambria" w:hAnsi="Cambria" w:cs="Cambria"/>
          <w:lang w:val="en-GB"/>
        </w:rPr>
      </w:pPr>
      <w:r w:rsidRPr="00826C5A">
        <w:rPr>
          <w:rFonts w:ascii="Cambria" w:hAnsi="Cambria" w:cs="Cambria"/>
          <w:lang w:val="en-GB"/>
        </w:rPr>
        <w:lastRenderedPageBreak/>
        <w:t xml:space="preserve">The </w:t>
      </w:r>
      <w:proofErr w:type="spellStart"/>
      <w:r w:rsidRPr="00826C5A">
        <w:rPr>
          <w:rFonts w:ascii="Cambria" w:hAnsi="Cambria" w:cs="Cambria"/>
          <w:lang w:val="en-GB"/>
        </w:rPr>
        <w:t>Newborn</w:t>
      </w:r>
      <w:proofErr w:type="spellEnd"/>
      <w:r w:rsidRPr="00826C5A">
        <w:rPr>
          <w:rFonts w:ascii="Cambria" w:hAnsi="Cambria" w:cs="Cambria"/>
          <w:lang w:val="en-GB"/>
        </w:rPr>
        <w:t xml:space="preserve"> Screening Reference Centre provides technical assistance to the Department of Health - National Institute of Health to screen new-borns for common heritable disorders which result in death and disabilities. Additionally, a comprehensive new-born care programme is being implemented by the Family Health Office of the National Centre for Disease Prevention and Control of the DOH that includes eye screening for congenital causes of blindness and other avoidable causes of blindness (NEDA, Director Mary Ann </w:t>
      </w:r>
      <w:proofErr w:type="spellStart"/>
      <w:r w:rsidRPr="00826C5A">
        <w:rPr>
          <w:rFonts w:ascii="Cambria" w:hAnsi="Cambria" w:cs="Cambria"/>
          <w:lang w:val="en-GB"/>
        </w:rPr>
        <w:t>Darauay</w:t>
      </w:r>
      <w:proofErr w:type="spellEnd"/>
      <w:r w:rsidRPr="00826C5A">
        <w:rPr>
          <w:rFonts w:ascii="Cambria" w:hAnsi="Cambria" w:cs="Cambria"/>
          <w:lang w:val="en-GB"/>
        </w:rPr>
        <w:t>, 2019).</w:t>
      </w:r>
    </w:p>
    <w:p w14:paraId="039B6203" w14:textId="77777777" w:rsidR="00622BC0" w:rsidRPr="00826C5A" w:rsidRDefault="00826C5A">
      <w:pPr>
        <w:widowControl w:val="0"/>
        <w:autoSpaceDE w:val="0"/>
        <w:autoSpaceDN w:val="0"/>
        <w:adjustRightInd w:val="0"/>
        <w:spacing w:before="240" w:after="240"/>
        <w:ind w:right="-6"/>
        <w:jc w:val="both"/>
        <w:rPr>
          <w:rFonts w:ascii="Cambria" w:hAnsi="Cambria" w:cs="Cambria"/>
          <w:lang w:val="en-GB"/>
        </w:rPr>
      </w:pPr>
      <w:r w:rsidRPr="00826C5A">
        <w:rPr>
          <w:rFonts w:ascii="Cambria" w:hAnsi="Cambria" w:cs="Cambria"/>
          <w:lang w:val="en-GB"/>
        </w:rPr>
        <w:t xml:space="preserve">A manual, published through the joint venture of CBM - CBR and NCDA with contributions from the academe, civil society organisations, non-government organisations, and disabled persons organisations, is being distributed to local government units (LGUs) and other organisations as a guide in their activities in the community (DOH, Myrna </w:t>
      </w:r>
      <w:proofErr w:type="spellStart"/>
      <w:r w:rsidRPr="00826C5A">
        <w:rPr>
          <w:rFonts w:ascii="Cambria" w:hAnsi="Cambria" w:cs="Cambria"/>
          <w:lang w:val="en-GB"/>
        </w:rPr>
        <w:t>Cabotaje</w:t>
      </w:r>
      <w:proofErr w:type="spellEnd"/>
      <w:r w:rsidRPr="00826C5A">
        <w:rPr>
          <w:rFonts w:ascii="Cambria" w:hAnsi="Cambria" w:cs="Cambria"/>
          <w:lang w:val="en-GB"/>
        </w:rPr>
        <w:t>, 2019).</w:t>
      </w:r>
    </w:p>
    <w:p w14:paraId="7B0BB001" w14:textId="77777777" w:rsidR="00622BC0" w:rsidRPr="00826C5A" w:rsidRDefault="00826C5A">
      <w:pPr>
        <w:widowControl w:val="0"/>
        <w:autoSpaceDE w:val="0"/>
        <w:autoSpaceDN w:val="0"/>
        <w:adjustRightInd w:val="0"/>
        <w:spacing w:before="240" w:after="240"/>
        <w:ind w:right="-6"/>
        <w:jc w:val="both"/>
        <w:rPr>
          <w:rFonts w:ascii="Cambria" w:hAnsi="Cambria" w:cs="Cambria"/>
          <w:lang w:val="en-GB"/>
        </w:rPr>
      </w:pPr>
      <w:r w:rsidRPr="00826C5A">
        <w:rPr>
          <w:rFonts w:ascii="Cambria" w:hAnsi="Cambria" w:cs="Cambria"/>
          <w:lang w:val="en-GB"/>
        </w:rPr>
        <w:t>The Z Benefits for Mobility, Orthosis, Rehabilitation, Prosthesis Help (Z MORPH) Package programme of the Phil-Health aims to provide affordable prostheses for members with physical disabilities. In 2016, Phil-Health expanded the scope of assistive technology from below the knee prosthesis to all levels of limb loss or deficiency and limb or spinal deformity with integrated rehabilitation services. The Z MORPH packages are available in accredited hospitals nationwide.</w:t>
      </w:r>
    </w:p>
    <w:p w14:paraId="0A6C08EF" w14:textId="77777777" w:rsidR="00622BC0" w:rsidRPr="00826C5A" w:rsidRDefault="00826C5A">
      <w:pPr>
        <w:widowControl w:val="0"/>
        <w:autoSpaceDE w:val="0"/>
        <w:autoSpaceDN w:val="0"/>
        <w:adjustRightInd w:val="0"/>
        <w:spacing w:before="240" w:after="240"/>
        <w:ind w:right="-6"/>
        <w:jc w:val="both"/>
        <w:rPr>
          <w:rFonts w:ascii="Cambria" w:hAnsi="Cambria" w:cs="Cambria"/>
          <w:lang w:val="en-GB"/>
        </w:rPr>
      </w:pPr>
      <w:r w:rsidRPr="00826C5A">
        <w:rPr>
          <w:rFonts w:ascii="Cambria" w:hAnsi="Cambria" w:cs="Cambria"/>
          <w:lang w:val="en-GB"/>
        </w:rPr>
        <w:t xml:space="preserve">In 2018, Phil-Health developed the Z benefit packages for children with disabilities, particularly those children with hearing impairment and visual disabilities. The coverage of these packages includes professional assessment, diagnostic tests, hearing devices, rehabilitative speech therapy, and electronic and non-electronic optical devices. The said packages can be availed in Phil-Health's contracted facilities with specialised services for the Z benefits for children with disabilities (NEDA, Director Mary Ann </w:t>
      </w:r>
      <w:proofErr w:type="spellStart"/>
      <w:r w:rsidRPr="00826C5A">
        <w:rPr>
          <w:rFonts w:ascii="Cambria" w:hAnsi="Cambria" w:cs="Cambria"/>
          <w:lang w:val="en-GB"/>
        </w:rPr>
        <w:t>Darauay</w:t>
      </w:r>
      <w:proofErr w:type="spellEnd"/>
      <w:r w:rsidRPr="00826C5A">
        <w:rPr>
          <w:rFonts w:ascii="Cambria" w:hAnsi="Cambria" w:cs="Cambria"/>
          <w:lang w:val="en-GB"/>
        </w:rPr>
        <w:t>, 2019).</w:t>
      </w:r>
    </w:p>
    <w:p w14:paraId="6D9F61F5" w14:textId="77777777" w:rsidR="00622BC0" w:rsidRDefault="00826C5A">
      <w:pPr>
        <w:widowControl w:val="0"/>
        <w:autoSpaceDE w:val="0"/>
        <w:autoSpaceDN w:val="0"/>
        <w:adjustRightInd w:val="0"/>
        <w:spacing w:before="240" w:after="240"/>
        <w:ind w:right="-6"/>
        <w:jc w:val="both"/>
        <w:rPr>
          <w:rFonts w:ascii="Cambria" w:hAnsi="Cambria" w:cs="Cambria"/>
          <w:b/>
          <w:bCs/>
          <w:lang w:val="en-GB"/>
        </w:rPr>
      </w:pPr>
      <w:r w:rsidRPr="00826C5A">
        <w:rPr>
          <w:rFonts w:ascii="Cambria" w:hAnsi="Cambria" w:cs="Cambria"/>
          <w:lang w:val="en-GB"/>
        </w:rPr>
        <w:t>Other residential care facilities</w:t>
      </w:r>
      <w:r w:rsidRPr="00826C5A">
        <w:rPr>
          <w:rFonts w:ascii="Cambria" w:hAnsi="Cambria" w:cs="Cambria"/>
          <w:b/>
          <w:bCs/>
          <w:lang w:val="en-GB"/>
        </w:rPr>
        <w:t xml:space="preserve"> </w:t>
      </w:r>
      <w:r w:rsidRPr="00826C5A">
        <w:rPr>
          <w:rFonts w:ascii="Cambria" w:hAnsi="Cambria" w:cs="Cambria"/>
          <w:lang w:val="en-GB"/>
        </w:rPr>
        <w:t xml:space="preserve">operated by the Department of Social Welfare and Development, which provide care and rehabilitation services to persons with disabilities is Elsie </w:t>
      </w:r>
      <w:proofErr w:type="spellStart"/>
      <w:r w:rsidRPr="00826C5A">
        <w:rPr>
          <w:rFonts w:ascii="Cambria" w:hAnsi="Cambria" w:cs="Cambria"/>
          <w:lang w:val="en-GB"/>
        </w:rPr>
        <w:t>Gaches</w:t>
      </w:r>
      <w:proofErr w:type="spellEnd"/>
      <w:r w:rsidRPr="00826C5A">
        <w:rPr>
          <w:rFonts w:ascii="Cambria" w:hAnsi="Cambria" w:cs="Cambria"/>
          <w:lang w:val="en-GB"/>
        </w:rPr>
        <w:t xml:space="preserve"> Village</w:t>
      </w:r>
      <w:r w:rsidRPr="00826C5A">
        <w:rPr>
          <w:rFonts w:ascii="Cambria" w:hAnsi="Cambria" w:cs="Cambria"/>
          <w:b/>
          <w:bCs/>
          <w:lang w:val="en-GB"/>
        </w:rPr>
        <w:t xml:space="preserve"> </w:t>
      </w:r>
      <w:r w:rsidRPr="00826C5A">
        <w:rPr>
          <w:rFonts w:ascii="Cambria" w:hAnsi="Cambria" w:cs="Cambria"/>
          <w:lang w:val="en-GB"/>
        </w:rPr>
        <w:t>for abandoned and neglected people with disabilities.</w:t>
      </w:r>
      <w:r w:rsidRPr="00826C5A">
        <w:rPr>
          <w:rFonts w:ascii="Calibri" w:hAnsi="Calibri" w:cs="Calibri"/>
          <w:lang w:val="en-GB"/>
        </w:rPr>
        <w:t xml:space="preserve"> </w:t>
      </w:r>
      <w:r w:rsidRPr="00826C5A">
        <w:rPr>
          <w:rFonts w:ascii="Cambria" w:hAnsi="Cambria" w:cs="Cambria"/>
          <w:lang w:val="en-GB"/>
        </w:rPr>
        <w:t>To eliminate stigma and discrimination suffered by persons with leprosy – related to disabilities, the Department of Health declared</w:t>
      </w:r>
      <w:r>
        <w:rPr>
          <w:rFonts w:ascii="Cambria" w:hAnsi="Cambria" w:cs="Cambria"/>
          <w:lang w:val="en-GB"/>
        </w:rPr>
        <w:t xml:space="preserve"> the 3rd week of February of every year as Leprosy Prevention and Control Week. The programme also aims to empower primary stakeholders in leprosy and eliminate leprosy as a public health problem by 2020.</w:t>
      </w:r>
    </w:p>
    <w:p w14:paraId="167DE97F" w14:textId="62640184"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Participation of Civil Society and OPD</w:t>
      </w:r>
      <w:r w:rsidR="0067025E">
        <w:rPr>
          <w:rFonts w:ascii="Cambria" w:hAnsi="Cambria" w:cs="Cambria"/>
          <w:b/>
          <w:bCs/>
          <w:lang w:val="en-GB"/>
        </w:rPr>
        <w:t>s</w:t>
      </w:r>
    </w:p>
    <w:p w14:paraId="7773596B" w14:textId="77777777" w:rsidR="00622BC0" w:rsidRDefault="00826C5A">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During the legislative process to enact bills or laws, persons with disabilities usually are being consulted through public consultations, mainly if the laws are related to persons with disabilities. The organisation of persons with disabilities has had the experience to be involved in the development of the Republic Act 10351 or the Sin Tax Law of 2012. The Sin Tax Law saves lives, promotes inclusiveness, and is a protective health policy reform that will enable persons with disabilities to build a healthier condition. </w:t>
      </w:r>
    </w:p>
    <w:p w14:paraId="1F3A4520" w14:textId="319B1F16" w:rsidR="00622BC0" w:rsidRDefault="00826C5A">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lastRenderedPageBreak/>
        <w:t>The organisation of persons with disabilities is also involved in the Philippine Health Insurance (Phil-Health) or the social health insurance law for persons with disabilities in legislation in the Congress and the Senate. The OPD</w:t>
      </w:r>
      <w:r w:rsidR="0067025E">
        <w:rPr>
          <w:rFonts w:ascii="Cambria" w:hAnsi="Cambria" w:cs="Cambria"/>
          <w:lang w:val="en-GB"/>
        </w:rPr>
        <w:t>s</w:t>
      </w:r>
      <w:r>
        <w:rPr>
          <w:rFonts w:ascii="Cambria" w:hAnsi="Cambria" w:cs="Cambria"/>
          <w:lang w:val="en-GB"/>
        </w:rPr>
        <w:t xml:space="preserve"> are often invited during the research of the law until it was enacted. Another participation is identified at the local level as there are approximately 1600 local government units in the Philippines consult or include organisations and persons with disabilities in their City Development Councils.</w:t>
      </w:r>
    </w:p>
    <w:p w14:paraId="197A9BCB" w14:textId="77777777" w:rsidR="00622BC0" w:rsidRDefault="00826C5A">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Persons with disabilities are usually represented in the above local bodies, which suggest policies in transportation, livelihood, and other development areas in the local regions. In livelihood programmes, organisations and persons with disabilities are the implementers of livelihood programmes. For instance, the local government involved the New Voice Association that was selected as one of the implementers by using the bottom-up budgeting and planning processes with the support of the United Nations Development Programme (UNDP) (</w:t>
      </w:r>
      <w:proofErr w:type="spellStart"/>
      <w:r>
        <w:rPr>
          <w:rFonts w:ascii="Cambria" w:hAnsi="Cambria" w:cs="Cambria"/>
          <w:lang w:val="en-GB"/>
        </w:rPr>
        <w:t>Vois</w:t>
      </w:r>
      <w:proofErr w:type="spellEnd"/>
      <w:r>
        <w:rPr>
          <w:rFonts w:ascii="Cambria" w:hAnsi="Cambria" w:cs="Cambria"/>
          <w:lang w:val="en-GB"/>
        </w:rPr>
        <w:t xml:space="preserve"> Association, </w:t>
      </w:r>
      <w:proofErr w:type="spellStart"/>
      <w:r>
        <w:rPr>
          <w:rFonts w:ascii="Cambria" w:hAnsi="Cambria" w:cs="Cambria"/>
          <w:lang w:val="en-GB"/>
        </w:rPr>
        <w:t>Emerito</w:t>
      </w:r>
      <w:proofErr w:type="spellEnd"/>
      <w:r>
        <w:rPr>
          <w:rFonts w:ascii="Cambria" w:hAnsi="Cambria" w:cs="Cambria"/>
          <w:lang w:val="en-GB"/>
        </w:rPr>
        <w:t xml:space="preserve"> Rojas New, 2019).</w:t>
      </w:r>
    </w:p>
    <w:p w14:paraId="0FB772F2"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According to the interview with the Department of Health, it has a School Health Nursing Programme. The programme aims to provide quality nursing services and education to develop the child physically, mentally, socially, and spiritually healthy to become a productive, self-reliant, and responsible member of society. Aside from that, the purpose is to provide preventive and remedial measures for simple and common ailments among the school population and detect early signs and symptoms of illness, disabilities, and deviation from the reasonable condition. It also creates awareness among school children and personnel on the importance of health and safety (Department of Education, 2018).</w:t>
      </w:r>
    </w:p>
    <w:p w14:paraId="0BC16A3C" w14:textId="77777777" w:rsidR="00622BC0" w:rsidRDefault="00622BC0">
      <w:pPr>
        <w:widowControl w:val="0"/>
        <w:autoSpaceDE w:val="0"/>
        <w:autoSpaceDN w:val="0"/>
        <w:adjustRightInd w:val="0"/>
        <w:spacing w:after="200"/>
        <w:ind w:right="-6"/>
        <w:jc w:val="both"/>
        <w:rPr>
          <w:rFonts w:ascii="Cambria" w:hAnsi="Cambria" w:cs="Cambria"/>
          <w:b/>
          <w:bCs/>
          <w:lang w:val="en-GB"/>
        </w:rPr>
      </w:pPr>
    </w:p>
    <w:p w14:paraId="16153BBE"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4.</w:t>
      </w:r>
      <w:r>
        <w:rPr>
          <w:rFonts w:ascii="Cambria" w:hAnsi="Cambria" w:cs="Cambria"/>
          <w:b/>
          <w:bCs/>
          <w:lang w:val="en-GB"/>
        </w:rPr>
        <w:tab/>
        <w:t>SDG Goal 4 - Quality of Education</w:t>
      </w:r>
    </w:p>
    <w:p w14:paraId="47A1A77D" w14:textId="77777777" w:rsidR="00622BC0" w:rsidRDefault="00826C5A">
      <w:pPr>
        <w:widowControl w:val="0"/>
        <w:autoSpaceDE w:val="0"/>
        <w:autoSpaceDN w:val="0"/>
        <w:adjustRightInd w:val="0"/>
        <w:ind w:right="-6"/>
        <w:jc w:val="both"/>
        <w:rPr>
          <w:rFonts w:ascii="Cambria" w:hAnsi="Cambria" w:cs="Cambria"/>
          <w:lang w:val="en-GB"/>
        </w:rPr>
      </w:pPr>
      <w:r>
        <w:rPr>
          <w:rFonts w:ascii="Cambria" w:hAnsi="Cambria" w:cs="Cambria"/>
          <w:lang w:val="en-GB"/>
        </w:rPr>
        <w:t xml:space="preserve">The rights to education are ensured in the Philippine Constitution that shall provide protection and promotion of the rights to all citizens in the same quality education at all levels. It aligns with the R.A 9155 “Governance of Basic Education Act of 2001” that institutes primary education for primary and secondary levels in public schools, including persons with disabilities. Specific provisions on to rights of education is regarded in the R.A 7277, Chapter 2, that mentions persons with disabilities to have access to quality of education. </w:t>
      </w:r>
    </w:p>
    <w:p w14:paraId="1FA33A7B" w14:textId="77777777" w:rsidR="00622BC0" w:rsidRDefault="00826C5A">
      <w:pPr>
        <w:widowControl w:val="0"/>
        <w:autoSpaceDE w:val="0"/>
        <w:autoSpaceDN w:val="0"/>
        <w:adjustRightInd w:val="0"/>
        <w:ind w:right="-6"/>
        <w:jc w:val="both"/>
        <w:rPr>
          <w:rFonts w:ascii="Cambria" w:hAnsi="Cambria" w:cs="Cambria"/>
          <w:i/>
          <w:iCs/>
          <w:lang w:val="en-GB"/>
        </w:rPr>
      </w:pPr>
      <w:r>
        <w:rPr>
          <w:rFonts w:ascii="Cambria" w:hAnsi="Cambria" w:cs="Cambria"/>
          <w:lang w:val="en-GB"/>
        </w:rPr>
        <w:t xml:space="preserve">The R.A 7277 calls for appropriate and reasonable accommodation for children with disabilities to access education in the public and special schools. The measures, including the enactment of Department Order 26-1997 to institutionalise the special education programmes in all schools and establish a special education centre for children with special needs. The Department of Education is currently developing a policy on the Inclusive Education framework that will provide over-all guidance in the establishment, implementation, monitoring, and evaluation of programmes and interventions. It operationalises </w:t>
      </w:r>
      <w:r>
        <w:rPr>
          <w:rFonts w:ascii="Cambria" w:hAnsi="Cambria" w:cs="Cambria"/>
          <w:lang w:val="en-GB"/>
        </w:rPr>
        <w:lastRenderedPageBreak/>
        <w:t>the principles of inclusion – the recognition of the diverse context of learners, schools, and communities within education programme design – which is the core of the Enhanced Basic Education Programme. In doing so, it provides these programmes and interventions with strategies and support mechanisms that adequately respond to diverse educational needs and contexts of learners. The policy adheres to responsiveness to rights, sensitivity, context, and inclusion as its guiding principles in pursuing inclusive education (Department of Education, 2018).</w:t>
      </w:r>
    </w:p>
    <w:p w14:paraId="540752E1" w14:textId="77777777" w:rsidR="00622BC0" w:rsidRDefault="00826C5A">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To date, there is still no national law on inclusive education that will ensure the operationalisation of "inclusive, equitable and quality education for all" in the Philippines. Another challenge is the lack of data, especially on vulnerable and marginalised groups, in terms of their real numbers and specific requirements for education. That concern includes persons with disabilities, indigenous peoples, Moslem, children, and youth in armed conflict and disaster situations and even those displaced by irresponsible "development" projects (Social Watch Philippines, 2019).</w:t>
      </w:r>
    </w:p>
    <w:p w14:paraId="3803658B" w14:textId="77777777" w:rsidR="00622BC0" w:rsidRDefault="00826C5A">
      <w:pPr>
        <w:widowControl w:val="0"/>
        <w:autoSpaceDE w:val="0"/>
        <w:autoSpaceDN w:val="0"/>
        <w:adjustRightInd w:val="0"/>
        <w:spacing w:after="200"/>
        <w:ind w:right="-6"/>
        <w:rPr>
          <w:rFonts w:ascii="Cambria" w:hAnsi="Cambria" w:cs="Cambria"/>
          <w:b/>
          <w:bCs/>
          <w:lang w:val="en-GB"/>
        </w:rPr>
      </w:pPr>
      <w:r>
        <w:rPr>
          <w:rFonts w:ascii="Cambria" w:hAnsi="Cambria" w:cs="Cambria"/>
          <w:b/>
          <w:bCs/>
          <w:lang w:val="en-GB"/>
        </w:rPr>
        <w:t>Policy and Regulations</w:t>
      </w:r>
    </w:p>
    <w:p w14:paraId="755B5D3C" w14:textId="77777777" w:rsidR="00622BC0" w:rsidRDefault="00826C5A">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The following paragraphs describe the laws and policies on ensuring inclusive and equitable quality education of persons with disabilities in the Philippines.</w:t>
      </w:r>
    </w:p>
    <w:p w14:paraId="4D14BB89" w14:textId="77777777" w:rsidR="00622BC0" w:rsidRDefault="00826C5A">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The Republic Act 7277 ensures that persons with disabilities have access to quality education, through among others, the provision of assistance, special education, vocational or technical programmes, and non-formal education (NEDA, Director Mary Ann </w:t>
      </w:r>
      <w:proofErr w:type="spellStart"/>
      <w:r>
        <w:rPr>
          <w:rFonts w:ascii="Cambria" w:hAnsi="Cambria" w:cs="Cambria"/>
          <w:lang w:val="en-GB"/>
        </w:rPr>
        <w:t>Darauay</w:t>
      </w:r>
      <w:proofErr w:type="spellEnd"/>
      <w:r>
        <w:rPr>
          <w:rFonts w:ascii="Cambria" w:hAnsi="Cambria" w:cs="Cambria"/>
          <w:lang w:val="en-GB"/>
        </w:rPr>
        <w:t>, 2019).</w:t>
      </w:r>
    </w:p>
    <w:p w14:paraId="2F6B509C" w14:textId="77777777" w:rsidR="00622BC0" w:rsidRDefault="00826C5A">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The Enhanced Basic Education Act of 2012 (Republic Act No. 10533) and its Internal Rate of Return (IRR) (Department of Education Order No. 43, s. 2013) provide inclusiveness in enhanced primary education. The laws address the physical, intellectual, psycho-social, and cultural needs of learners in the designed programmes and implementation. However, they shall not be limited to, programmes for learners with disabilities, learners under challenging circumstances, Madrasah (Moslem School), Indigenous Peoples Education and for the gifted and talented (Department of Education, 2018).</w:t>
      </w:r>
    </w:p>
    <w:p w14:paraId="43004258" w14:textId="77777777" w:rsidR="00622BC0" w:rsidRDefault="00826C5A">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The Department of Education issued Department Order 72 in 2009 on the Inclusive Education as Strategy for Increasing Participation Rate of Children, among others, lists several initiatives to ensure that children with disabilities are located and provided access to formal education.</w:t>
      </w:r>
    </w:p>
    <w:p w14:paraId="7BFE035B" w14:textId="77777777" w:rsidR="00622BC0" w:rsidRDefault="00622BC0">
      <w:pPr>
        <w:widowControl w:val="0"/>
        <w:autoSpaceDE w:val="0"/>
        <w:autoSpaceDN w:val="0"/>
        <w:adjustRightInd w:val="0"/>
        <w:spacing w:after="200"/>
        <w:ind w:right="-6"/>
        <w:jc w:val="both"/>
        <w:rPr>
          <w:rFonts w:ascii="Cambria" w:hAnsi="Cambria" w:cs="Cambria"/>
          <w:b/>
          <w:bCs/>
          <w:lang w:val="en-GB"/>
        </w:rPr>
      </w:pPr>
    </w:p>
    <w:p w14:paraId="5AD3AEA5"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Implementation and Programmes</w:t>
      </w:r>
    </w:p>
    <w:p w14:paraId="05DFE210" w14:textId="77777777" w:rsidR="00622BC0" w:rsidRDefault="00826C5A">
      <w:pPr>
        <w:widowControl w:val="0"/>
        <w:autoSpaceDE w:val="0"/>
        <w:autoSpaceDN w:val="0"/>
        <w:adjustRightInd w:val="0"/>
        <w:spacing w:before="240" w:after="240"/>
        <w:ind w:right="-6"/>
        <w:jc w:val="both"/>
        <w:rPr>
          <w:rFonts w:ascii="Cambria" w:hAnsi="Cambria" w:cs="Cambria"/>
          <w:lang w:val="en-GB"/>
        </w:rPr>
      </w:pPr>
      <w:r w:rsidRPr="00826C5A">
        <w:rPr>
          <w:rFonts w:ascii="Cambria" w:hAnsi="Cambria" w:cs="Cambria"/>
          <w:lang w:val="en-GB"/>
        </w:rPr>
        <w:t xml:space="preserve">The Special Education (SPED) programme of the Department of Education provides a holistic approach in catering to the needs of learners with various </w:t>
      </w:r>
      <w:r w:rsidRPr="00826C5A">
        <w:rPr>
          <w:rFonts w:ascii="Cambria" w:hAnsi="Cambria" w:cs="Cambria"/>
          <w:lang w:val="en-GB"/>
        </w:rPr>
        <w:lastRenderedPageBreak/>
        <w:t>exceptionalities. This programme ensures that children with disabilities and gifted and talented children will have access to quality education by giving them their individual and unique learning needs (List of Issue CRPD, 2018). The Department of Education Order No. 26, s. 1997, issued "Institutionalisation of SPED Programmes in All Schools," on March 7, 1997, provides</w:t>
      </w:r>
      <w:r>
        <w:rPr>
          <w:rFonts w:ascii="Cambria" w:hAnsi="Cambria" w:cs="Cambria"/>
          <w:lang w:val="en-GB"/>
        </w:rPr>
        <w:t xml:space="preserve"> the guidelines for the nationwide implementation of the Special Education Programme, of which learners with disabilities are one of its target population.</w:t>
      </w:r>
    </w:p>
    <w:p w14:paraId="259DEE48" w14:textId="77777777" w:rsidR="00622BC0" w:rsidRDefault="00826C5A">
      <w:pPr>
        <w:widowControl w:val="0"/>
        <w:autoSpaceDE w:val="0"/>
        <w:autoSpaceDN w:val="0"/>
        <w:adjustRightInd w:val="0"/>
        <w:ind w:right="-6"/>
        <w:jc w:val="both"/>
        <w:rPr>
          <w:rFonts w:ascii="Cambria" w:hAnsi="Cambria" w:cs="Cambria"/>
          <w:lang w:val="en-GB"/>
        </w:rPr>
      </w:pPr>
      <w:r>
        <w:rPr>
          <w:rFonts w:ascii="Cambria" w:hAnsi="Cambria" w:cs="Cambria"/>
          <w:lang w:val="en-GB"/>
        </w:rPr>
        <w:t xml:space="preserve">The Department of Education Order No. 72, s. 2009 with "Inclusive Education As Strategy for Increasing Participation Rate of Children," issued on July 6, 2009, guarantees the right for these children to receive appropriate education within the regular or inclusive classroom setting. Inclusive education embraces the philosophy of accepting all children regardless of race, size, shape, colour, ability, or disability with support from school staff, students, parents, and the community. </w:t>
      </w:r>
    </w:p>
    <w:p w14:paraId="36CAF668" w14:textId="77777777" w:rsidR="00622BC0" w:rsidRDefault="00826C5A">
      <w:pPr>
        <w:widowControl w:val="0"/>
        <w:autoSpaceDE w:val="0"/>
        <w:autoSpaceDN w:val="0"/>
        <w:adjustRightInd w:val="0"/>
        <w:ind w:right="-6"/>
        <w:jc w:val="both"/>
        <w:rPr>
          <w:rFonts w:ascii="Cambria" w:hAnsi="Cambria" w:cs="Cambria"/>
          <w:lang w:val="en-GB"/>
        </w:rPr>
      </w:pPr>
      <w:r>
        <w:rPr>
          <w:rFonts w:ascii="Cambria" w:hAnsi="Cambria" w:cs="Cambria"/>
          <w:lang w:val="en-GB"/>
        </w:rPr>
        <w:t xml:space="preserve">The Department of Education Order No. 50, s. 2010 adopted "Strengthening Special Education Programme at the Basic Education Level," on May 17, 2010, requires schools division offices to maintain reports on the number of SPED classes organised and the corresponding enrolment for each class listed according to exceptionality, as well as the number of SPED students mainstreamed in the regular classes for the last three years. This information shall serve as the basis for financial assistance extended to the schools. </w:t>
      </w:r>
    </w:p>
    <w:p w14:paraId="235BBABE" w14:textId="77777777" w:rsidR="00622BC0" w:rsidRDefault="00826C5A">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As a key initiative towards inclusive education, the NCDA, Department of Social Welfare and Development, and Department of Education collaborated to develop modules for training day-care workers on handling children with visual, hearing, intellectual, and learning disabilities.</w:t>
      </w:r>
    </w:p>
    <w:p w14:paraId="1117BF07" w14:textId="77777777" w:rsidR="00622BC0" w:rsidRDefault="00826C5A">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Those departments ensure the participation of children with disabilities more specifically by maintaining Special Education a Schools (SPEDs) as well as encourage mainstreaming the higher education. The SPEDs programme is another agency that available to cater to or handle higher education levels and provide scholarships to persons with disabilities (List of Issue CRPD, 2018).</w:t>
      </w:r>
    </w:p>
    <w:p w14:paraId="57082544" w14:textId="77777777" w:rsidR="00622BC0" w:rsidRPr="00826C5A" w:rsidRDefault="00826C5A">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The other agencies are involved in the Department of Education and the Civil service Commission that encourages persons with disabilities to seek employment in government by providing special </w:t>
      </w:r>
      <w:r w:rsidRPr="00826C5A">
        <w:rPr>
          <w:rFonts w:ascii="Cambria" w:hAnsi="Cambria" w:cs="Cambria"/>
          <w:lang w:val="en-GB"/>
        </w:rPr>
        <w:t xml:space="preserve">examinations for civil service eligibility the examinations to Persons with Disability. The Department of Interior and Local Government is the one implementing what we call the PDAO Law or the Republic Act 10070. It ensures the participation of Persons with Disabilities in local governance (CRPD Convenor, Benjamin Jun </w:t>
      </w:r>
      <w:proofErr w:type="spellStart"/>
      <w:r w:rsidRPr="00826C5A">
        <w:rPr>
          <w:rFonts w:ascii="Cambria" w:hAnsi="Cambria" w:cs="Cambria"/>
          <w:lang w:val="en-GB"/>
        </w:rPr>
        <w:t>Bernandino</w:t>
      </w:r>
      <w:proofErr w:type="spellEnd"/>
      <w:r w:rsidRPr="00826C5A">
        <w:rPr>
          <w:rFonts w:ascii="Cambria" w:hAnsi="Cambria" w:cs="Cambria"/>
          <w:lang w:val="en-GB"/>
        </w:rPr>
        <w:t>, 2019).</w:t>
      </w:r>
    </w:p>
    <w:p w14:paraId="6E8A849B" w14:textId="27046BAE" w:rsidR="00622BC0" w:rsidRDefault="00826C5A">
      <w:pPr>
        <w:widowControl w:val="0"/>
        <w:autoSpaceDE w:val="0"/>
        <w:autoSpaceDN w:val="0"/>
        <w:adjustRightInd w:val="0"/>
        <w:spacing w:before="240" w:after="240"/>
        <w:ind w:right="-6"/>
        <w:jc w:val="both"/>
        <w:rPr>
          <w:rFonts w:ascii="Cambria" w:hAnsi="Cambria" w:cs="Cambria"/>
          <w:b/>
          <w:bCs/>
          <w:lang w:val="en-GB"/>
        </w:rPr>
      </w:pPr>
      <w:r w:rsidRPr="00826C5A">
        <w:rPr>
          <w:rFonts w:ascii="Cambria" w:hAnsi="Cambria" w:cs="Cambria"/>
          <w:b/>
          <w:bCs/>
          <w:lang w:val="en-GB"/>
        </w:rPr>
        <w:t>Participation of Civil Society and OPD</w:t>
      </w:r>
      <w:r w:rsidR="0067025E">
        <w:rPr>
          <w:rFonts w:ascii="Cambria" w:hAnsi="Cambria" w:cs="Cambria"/>
          <w:b/>
          <w:bCs/>
          <w:lang w:val="en-GB"/>
        </w:rPr>
        <w:t>s</w:t>
      </w:r>
    </w:p>
    <w:p w14:paraId="530E2585" w14:textId="77777777" w:rsidR="00622BC0" w:rsidRDefault="00826C5A">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Overall, mainstream and specialised education programmes are available in the Philippines through enacted legal and government regulations mentioned earlier. The compliance of an inclusive education system in mainstream schools might be </w:t>
      </w:r>
      <w:r>
        <w:rPr>
          <w:rFonts w:ascii="Cambria" w:hAnsi="Cambria" w:cs="Cambria"/>
          <w:lang w:val="en-GB"/>
        </w:rPr>
        <w:lastRenderedPageBreak/>
        <w:t xml:space="preserve">applied considerably in primary education schools and higher education institutions. However, the enjoyment and quality of facilitated accommodation, education systems, learning methods, and professional teachers or educational providers in both public and special schools may be varied depending on the local capacity of regional governments. . </w:t>
      </w:r>
    </w:p>
    <w:p w14:paraId="60C238DB" w14:textId="77777777" w:rsidR="00622BC0" w:rsidRDefault="00826C5A">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According to Mr. Jun Bernardino Convenor, Philippines CRPD, as described in the report, programmes and accomplishment of the Philippines government were fulfilled and upheld, but the gap between the actual implementation and regulation remains obvious. The report of the Department of Education is seemingly excellent, but the provided services cannot reach most of the students with disabilities.</w:t>
      </w:r>
    </w:p>
    <w:p w14:paraId="160C05B9" w14:textId="77777777" w:rsidR="00622BC0" w:rsidRDefault="00826C5A">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There are organisations for persons with disabilities both at the national and regional levels. These organisations are all under NCDA of the Department of Social Welfare and Development that advocates the rights of education for children with disabilities (</w:t>
      </w:r>
      <w:proofErr w:type="spellStart"/>
      <w:r>
        <w:rPr>
          <w:rFonts w:ascii="Cambria" w:hAnsi="Cambria" w:cs="Cambria"/>
          <w:lang w:val="en-GB"/>
        </w:rPr>
        <w:t>Felicite</w:t>
      </w:r>
      <w:proofErr w:type="spellEnd"/>
      <w:r>
        <w:rPr>
          <w:rFonts w:ascii="Cambria" w:hAnsi="Cambria" w:cs="Cambria"/>
          <w:lang w:val="en-GB"/>
        </w:rPr>
        <w:t xml:space="preserve"> Jean Gonzales-PACDLD, 2019).</w:t>
      </w:r>
    </w:p>
    <w:p w14:paraId="66444DB7" w14:textId="77777777" w:rsidR="00622BC0" w:rsidRDefault="00826C5A">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According to Architect Jaime Silva, Internet Communication and Technology (ICT) devices for disaster are needed, and so does the sensitivity and accessible training transport in ports. He also suggested an Inclusive directional education and an accessible school for all regions and compliance to the BP 344 of Accessibility Law. A compliance accessibility Team in Education is needed to oversee and implement the law and regulation as mandated by the government.</w:t>
      </w:r>
    </w:p>
    <w:p w14:paraId="65665892" w14:textId="77777777" w:rsidR="00622BC0" w:rsidRDefault="00622BC0">
      <w:pPr>
        <w:widowControl w:val="0"/>
        <w:autoSpaceDE w:val="0"/>
        <w:autoSpaceDN w:val="0"/>
        <w:adjustRightInd w:val="0"/>
        <w:spacing w:before="240" w:after="240"/>
        <w:ind w:right="-6"/>
        <w:jc w:val="both"/>
        <w:rPr>
          <w:rFonts w:ascii="Cambria" w:hAnsi="Cambria" w:cs="Cambria"/>
          <w:lang w:val="en-GB"/>
        </w:rPr>
      </w:pPr>
    </w:p>
    <w:p w14:paraId="2260B2E1" w14:textId="77777777" w:rsidR="00622BC0" w:rsidRDefault="00826C5A">
      <w:pPr>
        <w:widowControl w:val="0"/>
        <w:numPr>
          <w:ilvl w:val="0"/>
          <w:numId w:val="12"/>
        </w:numPr>
        <w:autoSpaceDE w:val="0"/>
        <w:autoSpaceDN w:val="0"/>
        <w:adjustRightInd w:val="0"/>
        <w:spacing w:after="200"/>
        <w:ind w:left="425" w:right="-6" w:hanging="425"/>
        <w:rPr>
          <w:rFonts w:ascii="Cambria" w:hAnsi="Cambria" w:cs="Cambria"/>
          <w:b/>
          <w:bCs/>
          <w:lang w:val="en-GB"/>
        </w:rPr>
      </w:pPr>
      <w:r>
        <w:rPr>
          <w:rFonts w:ascii="Cambria" w:hAnsi="Cambria" w:cs="Cambria"/>
          <w:b/>
          <w:bCs/>
        </w:rPr>
        <w:t xml:space="preserve"> </w:t>
      </w:r>
      <w:r>
        <w:rPr>
          <w:rFonts w:ascii="Cambria" w:hAnsi="Cambria" w:cs="Cambria"/>
          <w:b/>
          <w:bCs/>
          <w:lang w:val="en-GB"/>
        </w:rPr>
        <w:t>SDG Goal 5 - Gender Equality</w:t>
      </w:r>
    </w:p>
    <w:p w14:paraId="72BB3368"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Policy and Regulations</w:t>
      </w:r>
    </w:p>
    <w:p w14:paraId="12B01C89" w14:textId="77777777" w:rsidR="00622BC0" w:rsidRDefault="00826C5A">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The Republic Act 9710 (2009), known as the "Magna Carta of Women," notes that "all individuals are equal as human beings under the inherent dignity of each human person. No one, therefore, should suffer discrimination based on ethnicity, gender, age, language, sexual orientation, race, colour, religion, political, or other opinions, national, social, or geographical origin, disability, property, birth, or another status as established by human rights standards (Sec. 3)."</w:t>
      </w:r>
    </w:p>
    <w:p w14:paraId="09438213" w14:textId="77777777" w:rsidR="00622BC0" w:rsidRDefault="00826C5A">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The Magna Carta of Women designates the Commission on Human Rights of the Philippines (CHRP), the independent national human rights institution, as the Gender Ombudsman. In April 2015, The CHRP adopted its Gender Ombudsman Guidelines, providing the process in accessing its services, which include investigation, provision of legal assistance, policy advisory, monitoring, and promotion of women human rights, including those of diverse sexual orientation and gender identity and expression. The guidelines have three protocols for gender-sensitive handling of cases that include persons with disabilities (List of Issue CRPD, 2018).</w:t>
      </w:r>
    </w:p>
    <w:p w14:paraId="7DE1BF42"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lastRenderedPageBreak/>
        <w:t>Implementation and Programmes</w:t>
      </w:r>
    </w:p>
    <w:p w14:paraId="58733532" w14:textId="77777777" w:rsidR="00622BC0" w:rsidRDefault="00826C5A">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The state through the Philippine Commission on Women (PCW) developed the Women Empowerment, Development and Gender Equality (Women’s Edge) Plan 2012-2016, a time slice plan of the Philippine Plan for Gender and Development 1995-2025. The Women’s Edge Plan served as a guide to agencies in mainstreaming a gender dimension in their regular programmes, as well as in implementing gender-focused activities. The plan had a specific chapter that focused on women with disabilities and also identified priority gender issues within the disability sector, with the corresponding gender-responsive strategies to address the same (List of Issue CRPD, 2018).</w:t>
      </w:r>
    </w:p>
    <w:p w14:paraId="56CCA07F" w14:textId="77777777" w:rsidR="00622BC0" w:rsidRDefault="00826C5A">
      <w:pPr>
        <w:widowControl w:val="0"/>
        <w:autoSpaceDE w:val="0"/>
        <w:autoSpaceDN w:val="0"/>
        <w:adjustRightInd w:val="0"/>
        <w:spacing w:before="240" w:after="240"/>
        <w:ind w:right="-6"/>
        <w:jc w:val="both"/>
        <w:rPr>
          <w:rFonts w:ascii="Cambria" w:hAnsi="Cambria" w:cs="Cambria"/>
          <w:b/>
          <w:bCs/>
          <w:lang w:val="en-GB"/>
        </w:rPr>
      </w:pPr>
      <w:r>
        <w:rPr>
          <w:rFonts w:ascii="Cambria" w:hAnsi="Cambria" w:cs="Cambria"/>
          <w:lang w:val="en-GB"/>
        </w:rPr>
        <w:t>The PCW also developed a Compendium of Monitoring and Evaluation Indicators and Women Empowerment (GEWE), which provides indicators for use by duty-bearers to measure their actions and investments to achieve equality and empowerment in their respective sectors. Such an approach is being brought down to the grassroots level for proper implementation.</w:t>
      </w:r>
    </w:p>
    <w:p w14:paraId="0336001B" w14:textId="6FA3C022" w:rsidR="00622BC0" w:rsidRDefault="00826C5A">
      <w:pPr>
        <w:widowControl w:val="0"/>
        <w:autoSpaceDE w:val="0"/>
        <w:autoSpaceDN w:val="0"/>
        <w:adjustRightInd w:val="0"/>
        <w:spacing w:after="200"/>
        <w:ind w:right="-6"/>
        <w:rPr>
          <w:rFonts w:ascii="Cambria" w:hAnsi="Cambria" w:cs="Cambria"/>
          <w:b/>
          <w:bCs/>
          <w:lang w:val="en-GB"/>
        </w:rPr>
      </w:pPr>
      <w:r>
        <w:rPr>
          <w:rFonts w:ascii="Cambria" w:hAnsi="Cambria" w:cs="Cambria"/>
          <w:b/>
          <w:bCs/>
          <w:lang w:val="en-GB"/>
        </w:rPr>
        <w:t>Participation of Civil Society and OPD</w:t>
      </w:r>
      <w:r w:rsidR="0067025E">
        <w:rPr>
          <w:rFonts w:ascii="Cambria" w:hAnsi="Cambria" w:cs="Cambria"/>
          <w:b/>
          <w:bCs/>
          <w:lang w:val="en-GB"/>
        </w:rPr>
        <w:t>s</w:t>
      </w:r>
    </w:p>
    <w:p w14:paraId="49AEC8BA"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Individual Action Plan for the Enhancement of the Ratio of Women’s Representation in Leadership (Lead: Japan) collected individual plans of 21 economies to help them set their measurable and voluntary goals to enhance women’s representation in leadership by the end of 2020. Progress reports were expected to be submitted to Policy Partnership on Women and the Economy (PPWE) and World Economic Forum (WEF) in 2017 in which the Philippine had included the Magna Carta of Women and EDGE Plan conducted by the Philippine Commission on Women's leadership. Those programmes are government initiatives for the empowerment of women.</w:t>
      </w:r>
      <w:r>
        <w:rPr>
          <w:rFonts w:ascii="Calibri" w:hAnsi="Calibri" w:cs="Calibri"/>
          <w:lang w:val="en-GB"/>
        </w:rPr>
        <w:t xml:space="preserve"> </w:t>
      </w:r>
    </w:p>
    <w:p w14:paraId="515754E6"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Innovation for Women and Economic Development – Facilitating Women's Livelihood and Resilience (Lead: Chinese Taipei) developed a toolkit to recommend effective use of ICT as a tool by women entrepreneurs. The toolkit focuses on capacity building to create awareness on cultural, financial, and societal barriers that prevent women from accessing ICTs and for women entrepreneurs to commit learning and being a role model. Inputs and support are available to build on ICT infrastructure by providing common platforms and sharing application development; and create business chains linking to engage stakeholders by fostering a partnership between the public and private sector.</w:t>
      </w:r>
    </w:p>
    <w:p w14:paraId="1E60D76B" w14:textId="77777777" w:rsidR="00622BC0" w:rsidRDefault="00622BC0">
      <w:pPr>
        <w:widowControl w:val="0"/>
        <w:autoSpaceDE w:val="0"/>
        <w:autoSpaceDN w:val="0"/>
        <w:adjustRightInd w:val="0"/>
        <w:spacing w:after="200"/>
        <w:ind w:right="-6"/>
        <w:jc w:val="both"/>
        <w:rPr>
          <w:rFonts w:ascii="Cambria" w:hAnsi="Cambria" w:cs="Cambria"/>
          <w:lang w:val="en-GB"/>
        </w:rPr>
      </w:pPr>
    </w:p>
    <w:p w14:paraId="0434F1E0" w14:textId="77777777" w:rsidR="00622BC0" w:rsidRDefault="00622BC0">
      <w:pPr>
        <w:widowControl w:val="0"/>
        <w:autoSpaceDE w:val="0"/>
        <w:autoSpaceDN w:val="0"/>
        <w:adjustRightInd w:val="0"/>
        <w:spacing w:after="200"/>
        <w:ind w:right="-6"/>
        <w:jc w:val="both"/>
        <w:rPr>
          <w:rFonts w:ascii="Cambria" w:hAnsi="Cambria" w:cs="Cambria"/>
          <w:lang w:val="en-GB"/>
        </w:rPr>
      </w:pPr>
    </w:p>
    <w:p w14:paraId="7E2FD538"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 xml:space="preserve">6. </w:t>
      </w:r>
      <w:r>
        <w:rPr>
          <w:rFonts w:ascii="Cambria" w:hAnsi="Cambria" w:cs="Cambria"/>
          <w:b/>
          <w:bCs/>
          <w:lang w:val="en-GB"/>
        </w:rPr>
        <w:tab/>
        <w:t>SDG Goal 8 - Decent Work and Economic Growth</w:t>
      </w:r>
    </w:p>
    <w:p w14:paraId="0C13C40D"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Policy and Regulations</w:t>
      </w:r>
    </w:p>
    <w:p w14:paraId="6D54E031" w14:textId="77777777" w:rsidR="00622BC0" w:rsidRDefault="00826C5A">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lastRenderedPageBreak/>
        <w:t>Overall, the non-discrimination principle is taken place in the primary legislative framework for the employment of persons with disabilities such as the Presidential Decree No. 442 or called the Labour Code of the Philippines and R.A No. 7277 on section 5 that ensures that no persons with disabilities shall be denied to access job on the basis of disabilities. Also, R.A 7277 regulates the affirmative quota 5% for persons with disabilities in several government institutions administered social development issues such as DSWD, DOH, DepEd, and other government agencies, offices, and corporations.</w:t>
      </w:r>
    </w:p>
    <w:p w14:paraId="6C299DDA" w14:textId="77777777" w:rsidR="00622BC0" w:rsidRDefault="00826C5A">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The Republic Act 10524 (2013) provides that at least 1% of all positions in all government agencies, offices, or corporations shall be reserved for persons with disabilities. With this, private corporations with more than 100 employees are encouraged to reserve at least 1% of all positions for persons with disabilities. The Republic Act 10524 answers to SDGs no.8 for productive employment and decent work for persons with disabilities and CRPD Article 5 on Equality and Non-Discrimination, and Article 27 on Work and Employment. Also, the Republic of Act 10524 provides private organisations with tax incentives for hiring persons with disabilities (Department of Education, 2018). </w:t>
      </w:r>
    </w:p>
    <w:p w14:paraId="13999D53" w14:textId="77777777" w:rsidR="00622BC0" w:rsidRDefault="00826C5A">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The Executive </w:t>
      </w:r>
      <w:proofErr w:type="spellStart"/>
      <w:r>
        <w:rPr>
          <w:rFonts w:ascii="Cambria" w:hAnsi="Cambria" w:cs="Cambria"/>
          <w:lang w:val="en-GB"/>
        </w:rPr>
        <w:t>Ordinand</w:t>
      </w:r>
      <w:proofErr w:type="spellEnd"/>
      <w:r>
        <w:rPr>
          <w:rFonts w:ascii="Cambria" w:hAnsi="Cambria" w:cs="Cambria"/>
          <w:lang w:val="en-GB"/>
        </w:rPr>
        <w:t xml:space="preserve"> 417 (2005) which enjoins government agencies to implement initiatives which would enhance the social and vocational skills and capabilities of persons with disabilities, ensure markets for their products and services, provide accessible work centres, and make credit assistance available for eligible persons with disability cooperatives and organisations, among others.</w:t>
      </w:r>
    </w:p>
    <w:p w14:paraId="073526A3" w14:textId="77777777" w:rsidR="00622BC0" w:rsidRDefault="00826C5A">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To supplement the provision of Republic Act No. 7277 about the employment of persons with disabilities in the civil service, the Civil Service Commission (CSC) issued Memorandum Circular No. 23, Series of 1999 that directs all government agencies to provide employment opportunities to qualified persons with disabilities in their respective agencies (NEDA, Director Mary Ann </w:t>
      </w:r>
      <w:proofErr w:type="spellStart"/>
      <w:r>
        <w:rPr>
          <w:rFonts w:ascii="Cambria" w:hAnsi="Cambria" w:cs="Cambria"/>
          <w:lang w:val="en-GB"/>
        </w:rPr>
        <w:t>Darauay</w:t>
      </w:r>
      <w:proofErr w:type="spellEnd"/>
      <w:r>
        <w:rPr>
          <w:rFonts w:ascii="Cambria" w:hAnsi="Cambria" w:cs="Cambria"/>
          <w:lang w:val="en-GB"/>
        </w:rPr>
        <w:t>, 2019).</w:t>
      </w:r>
    </w:p>
    <w:p w14:paraId="1D17F882" w14:textId="77777777" w:rsidR="00622BC0" w:rsidRDefault="00826C5A">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The Department of Trade and Industry (DTI), in consultation with persons with disabilities groups and stakeholders, came up with a Framework for Persons with Disabilities Economic Empowerment. The framework aims to increase persons with disabilities' self-worth, confidence, and competency, employment, and engagement in entrepreneurship. Given this opportunity, the agency also developed the DTI Manual on Disability Inclusive Governance (NCDA, OIC Mateo Lee, 2019).</w:t>
      </w:r>
    </w:p>
    <w:p w14:paraId="3BA55D08" w14:textId="282429C6" w:rsidR="00622BC0" w:rsidRDefault="00826C5A">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The Republic Act 1179 (1954), which referred to as the "Vocational Rehabilitation Act" provides for the promotion of vocational training for persons who are blind and other persons with disabilities by natural and or accidental causes resulting in disabilities in the form of physical or psychological disability.</w:t>
      </w:r>
      <w:r>
        <w:rPr>
          <w:rFonts w:ascii="Calibri" w:hAnsi="Calibri" w:cs="Calibri"/>
          <w:lang w:val="en-GB"/>
        </w:rPr>
        <w:t xml:space="preserve"> </w:t>
      </w:r>
    </w:p>
    <w:p w14:paraId="51EED286"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Implementation and Programmes</w:t>
      </w:r>
    </w:p>
    <w:p w14:paraId="520F379E" w14:textId="77777777" w:rsidR="00622BC0" w:rsidRDefault="00826C5A">
      <w:pPr>
        <w:widowControl w:val="0"/>
        <w:autoSpaceDE w:val="0"/>
        <w:autoSpaceDN w:val="0"/>
        <w:adjustRightInd w:val="0"/>
        <w:spacing w:before="240" w:after="240"/>
        <w:ind w:right="-6"/>
        <w:jc w:val="both"/>
        <w:rPr>
          <w:rFonts w:ascii="Calibri" w:hAnsi="Calibri" w:cs="Calibri"/>
          <w:lang w:val="en-GB"/>
        </w:rPr>
      </w:pPr>
      <w:r>
        <w:rPr>
          <w:rFonts w:ascii="Cambria" w:hAnsi="Cambria" w:cs="Cambria"/>
          <w:lang w:val="en-GB"/>
        </w:rPr>
        <w:t xml:space="preserve">The Department of Social Welfare and Development maintains non-residential </w:t>
      </w:r>
      <w:r>
        <w:rPr>
          <w:rFonts w:ascii="Cambria" w:hAnsi="Cambria" w:cs="Cambria"/>
          <w:lang w:val="en-GB"/>
        </w:rPr>
        <w:lastRenderedPageBreak/>
        <w:t xml:space="preserve">facilities for persons with disabilities. These facilities are operated to train persons with disabilities in various socio-economic activities that will help them to live independently and productively daily. These facilities include the Rehabilitation Sheltered Workshop, National Vocational Rehabilitation Centre, and Area Vocational Rehabilitation Centres (DOH, Myrna </w:t>
      </w:r>
      <w:proofErr w:type="spellStart"/>
      <w:r>
        <w:rPr>
          <w:rFonts w:ascii="Cambria" w:hAnsi="Cambria" w:cs="Cambria"/>
          <w:lang w:val="en-GB"/>
        </w:rPr>
        <w:t>Cabotaje</w:t>
      </w:r>
      <w:proofErr w:type="spellEnd"/>
      <w:r>
        <w:rPr>
          <w:rFonts w:ascii="Cambria" w:hAnsi="Cambria" w:cs="Cambria"/>
          <w:lang w:val="en-GB"/>
        </w:rPr>
        <w:t>, 2019).</w:t>
      </w:r>
    </w:p>
    <w:p w14:paraId="2CD5998B" w14:textId="08156B7F" w:rsidR="00622BC0" w:rsidRDefault="00826C5A">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To reduce inequality, the Conditional Cash Transfer provides targeted interventions to disadvantaged families. Responding to Republic Act 10524 (An Act expanding the positions reserved for Persons with Disability amending for Republic Act 7277, as amended, otherwise known the Magna Carta for Person with Disability. Companies such as </w:t>
      </w:r>
      <w:proofErr w:type="spellStart"/>
      <w:r>
        <w:rPr>
          <w:rFonts w:ascii="Cambria" w:hAnsi="Cambria" w:cs="Cambria"/>
          <w:lang w:val="en-GB"/>
        </w:rPr>
        <w:t>Lamoiyan</w:t>
      </w:r>
      <w:proofErr w:type="spellEnd"/>
      <w:r>
        <w:rPr>
          <w:rFonts w:ascii="Cambria" w:hAnsi="Cambria" w:cs="Cambria"/>
          <w:lang w:val="en-GB"/>
        </w:rPr>
        <w:t xml:space="preserve"> Corporation employ persons with disabilities who comprise a significant proportion of their personnel. To offset regional disparities, the Assistance to Disadvantaged Municipalities provides a support fund for more impoverished local governments to build access roads, water systems, and reproductive health services, among others (The Philippines VNR Report, 2019).</w:t>
      </w:r>
    </w:p>
    <w:p w14:paraId="1970279D" w14:textId="77777777" w:rsidR="00622BC0" w:rsidRDefault="00826C5A">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Concerning decent work, to allow for a just transition to a greener economy, the Philippines' Green Jobs Act incentivises enterprises to offer jobs using green production practices. The Securities and Exchange Commission will also require Sustainability Reports for Publicly Listed Companies, beginning in 2020. Private businesses, such as cosmetics manufacturer human nature, are adopting inclusive business models, such as a value chain that deliberately involves disadvantaged communities. The Mentor Me programme of the Department of Trade and Industry further promotes mentoring and partnership between small and large enterprises (The Philippines VNR Report, 2019).</w:t>
      </w:r>
    </w:p>
    <w:p w14:paraId="7EAC7BC3" w14:textId="77777777" w:rsidR="00622BC0" w:rsidRDefault="00622BC0">
      <w:pPr>
        <w:widowControl w:val="0"/>
        <w:autoSpaceDE w:val="0"/>
        <w:autoSpaceDN w:val="0"/>
        <w:adjustRightInd w:val="0"/>
        <w:spacing w:before="240" w:after="240"/>
        <w:ind w:right="-6"/>
        <w:jc w:val="center"/>
        <w:rPr>
          <w:rFonts w:ascii="Cambria" w:hAnsi="Cambria" w:cs="Cambria"/>
          <w:lang w:val="en-GB"/>
        </w:rPr>
      </w:pPr>
    </w:p>
    <w:p w14:paraId="3A14DDDA" w14:textId="77777777" w:rsidR="00622BC0" w:rsidRDefault="00622BC0">
      <w:pPr>
        <w:widowControl w:val="0"/>
        <w:autoSpaceDE w:val="0"/>
        <w:autoSpaceDN w:val="0"/>
        <w:adjustRightInd w:val="0"/>
        <w:spacing w:before="240" w:after="240"/>
        <w:ind w:right="-6"/>
        <w:jc w:val="center"/>
        <w:rPr>
          <w:rFonts w:ascii="Cambria" w:hAnsi="Cambria" w:cs="Cambria"/>
          <w:lang w:val="en-GB"/>
        </w:rPr>
      </w:pPr>
    </w:p>
    <w:p w14:paraId="4D8FD155" w14:textId="77777777" w:rsidR="00622BC0" w:rsidRDefault="00622BC0">
      <w:pPr>
        <w:widowControl w:val="0"/>
        <w:autoSpaceDE w:val="0"/>
        <w:autoSpaceDN w:val="0"/>
        <w:adjustRightInd w:val="0"/>
        <w:spacing w:before="240" w:after="240"/>
        <w:ind w:right="-6"/>
        <w:jc w:val="center"/>
        <w:rPr>
          <w:rFonts w:ascii="Cambria" w:hAnsi="Cambria" w:cs="Cambria"/>
          <w:lang w:val="en-GB"/>
        </w:rPr>
      </w:pPr>
    </w:p>
    <w:p w14:paraId="215E7B41" w14:textId="77777777" w:rsidR="00622BC0" w:rsidRDefault="00622BC0">
      <w:pPr>
        <w:widowControl w:val="0"/>
        <w:autoSpaceDE w:val="0"/>
        <w:autoSpaceDN w:val="0"/>
        <w:adjustRightInd w:val="0"/>
        <w:spacing w:before="240" w:after="240"/>
        <w:ind w:right="-6"/>
        <w:jc w:val="center"/>
        <w:rPr>
          <w:rFonts w:ascii="Cambria" w:hAnsi="Cambria" w:cs="Cambria"/>
          <w:lang w:val="en-GB"/>
        </w:rPr>
      </w:pPr>
    </w:p>
    <w:p w14:paraId="40AB2A21" w14:textId="77777777" w:rsidR="00622BC0" w:rsidRDefault="00622BC0">
      <w:pPr>
        <w:widowControl w:val="0"/>
        <w:autoSpaceDE w:val="0"/>
        <w:autoSpaceDN w:val="0"/>
        <w:adjustRightInd w:val="0"/>
        <w:spacing w:before="240" w:after="240"/>
        <w:ind w:right="-6"/>
        <w:jc w:val="center"/>
        <w:rPr>
          <w:rFonts w:ascii="Cambria" w:hAnsi="Cambria" w:cs="Cambria"/>
          <w:lang w:val="en-GB"/>
        </w:rPr>
      </w:pPr>
    </w:p>
    <w:p w14:paraId="017C12B4" w14:textId="77777777" w:rsidR="00622BC0" w:rsidRDefault="00622BC0">
      <w:pPr>
        <w:widowControl w:val="0"/>
        <w:autoSpaceDE w:val="0"/>
        <w:autoSpaceDN w:val="0"/>
        <w:adjustRightInd w:val="0"/>
        <w:spacing w:before="240" w:after="240"/>
        <w:ind w:right="-6"/>
        <w:jc w:val="center"/>
        <w:rPr>
          <w:rFonts w:ascii="Cambria" w:hAnsi="Cambria" w:cs="Cambria"/>
          <w:lang w:val="en-GB"/>
        </w:rPr>
      </w:pPr>
    </w:p>
    <w:p w14:paraId="0FE62749" w14:textId="77777777" w:rsidR="00622BC0" w:rsidRDefault="00622BC0">
      <w:pPr>
        <w:widowControl w:val="0"/>
        <w:autoSpaceDE w:val="0"/>
        <w:autoSpaceDN w:val="0"/>
        <w:adjustRightInd w:val="0"/>
        <w:spacing w:before="240" w:after="240"/>
        <w:ind w:right="-6"/>
        <w:jc w:val="center"/>
        <w:rPr>
          <w:rFonts w:ascii="Cambria" w:hAnsi="Cambria" w:cs="Cambria"/>
          <w:lang w:val="en-GB"/>
        </w:rPr>
      </w:pPr>
    </w:p>
    <w:p w14:paraId="0B7DCF3A" w14:textId="77777777" w:rsidR="00622BC0" w:rsidRDefault="00826C5A">
      <w:pPr>
        <w:widowControl w:val="0"/>
        <w:autoSpaceDE w:val="0"/>
        <w:autoSpaceDN w:val="0"/>
        <w:adjustRightInd w:val="0"/>
        <w:spacing w:before="240" w:after="240"/>
        <w:ind w:right="-6"/>
        <w:jc w:val="center"/>
        <w:rPr>
          <w:rFonts w:ascii="Cambria" w:hAnsi="Cambria" w:cs="Cambria"/>
          <w:lang w:val="en-GB"/>
        </w:rPr>
      </w:pPr>
      <w:r>
        <w:rPr>
          <w:rFonts w:ascii="Cambria" w:hAnsi="Cambria" w:cs="Cambria"/>
          <w:lang w:val="en-GB"/>
        </w:rPr>
        <w:t>Figure 5 Underemployment Rate in the Philippines from 2015-2018</w:t>
      </w:r>
    </w:p>
    <w:p w14:paraId="7483896B" w14:textId="77777777" w:rsidR="00622BC0" w:rsidRDefault="00826C5A">
      <w:pPr>
        <w:widowControl w:val="0"/>
        <w:autoSpaceDE w:val="0"/>
        <w:autoSpaceDN w:val="0"/>
        <w:adjustRightInd w:val="0"/>
        <w:spacing w:before="240" w:after="240"/>
        <w:ind w:right="-6"/>
        <w:jc w:val="both"/>
        <w:rPr>
          <w:rFonts w:ascii="Calibri" w:hAnsi="Calibri" w:cs="Calibri"/>
          <w:lang w:val="en-GB"/>
        </w:rPr>
      </w:pPr>
      <w:r>
        <w:rPr>
          <w:noProof/>
          <w:lang w:val="en-GB"/>
        </w:rPr>
        <w:drawing>
          <wp:inline distT="0" distB="0" distL="114300" distR="114300" wp14:anchorId="7E379747" wp14:editId="35B388A9">
            <wp:extent cx="5303520" cy="2560320"/>
            <wp:effectExtent l="4445" t="4445" r="10795" b="10795"/>
            <wp:docPr id="5" name="Char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2A3ED72" w14:textId="77777777" w:rsidR="00622BC0" w:rsidRDefault="00622BC0">
      <w:pPr>
        <w:widowControl w:val="0"/>
        <w:autoSpaceDE w:val="0"/>
        <w:autoSpaceDN w:val="0"/>
        <w:adjustRightInd w:val="0"/>
        <w:spacing w:before="240" w:after="240"/>
        <w:ind w:right="-6"/>
        <w:jc w:val="both"/>
        <w:rPr>
          <w:rFonts w:ascii="Calibri" w:hAnsi="Calibri" w:cs="Calibri"/>
          <w:lang w:val="en-GB"/>
        </w:rPr>
      </w:pPr>
    </w:p>
    <w:p w14:paraId="35D8F320" w14:textId="77777777" w:rsidR="00622BC0" w:rsidRDefault="00826C5A">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There has been significant progress in achieving full and productive employment and decent work for all Filipinos</w:t>
      </w:r>
      <w:r>
        <w:rPr>
          <w:rFonts w:ascii="Cambria" w:hAnsi="Cambria" w:cs="Cambria"/>
          <w:b/>
          <w:bCs/>
          <w:lang w:val="en-GB"/>
        </w:rPr>
        <w:t xml:space="preserve">. </w:t>
      </w:r>
      <w:r>
        <w:rPr>
          <w:rFonts w:ascii="Cambria" w:hAnsi="Cambria" w:cs="Cambria"/>
          <w:lang w:val="en-GB"/>
        </w:rPr>
        <w:t>The national unemployment rate further declined to 5.3% in 2018, the lowest recorded unemployment rate since 2005. Disaggregated by sex, male and female unemployment rates are at 5.4% and 5.1%, respectively. There was also significant progress in reducing underemployment rates in the country; in particular, the national underemployment rate stood at 16.4% in 2018 from 18.5% in 2015 while underemployment rate in areas outside the National Capital Region declined from 19.7% in 2015 to 17.7% in 2018 as captured in Figure 5 above (The Philippines VNR Report, 2019).</w:t>
      </w:r>
    </w:p>
    <w:p w14:paraId="5EF3DBC1"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government launched the </w:t>
      </w:r>
      <w:r>
        <w:rPr>
          <w:rFonts w:ascii="Cambria" w:hAnsi="Cambria" w:cs="Cambria"/>
          <w:i/>
          <w:iCs/>
          <w:lang w:val="en-GB"/>
        </w:rPr>
        <w:t xml:space="preserve">TULAY, </w:t>
      </w:r>
      <w:proofErr w:type="spellStart"/>
      <w:r>
        <w:rPr>
          <w:rFonts w:ascii="Cambria" w:hAnsi="Cambria" w:cs="Cambria"/>
          <w:i/>
          <w:iCs/>
          <w:lang w:val="en-GB"/>
        </w:rPr>
        <w:t>Tulong</w:t>
      </w:r>
      <w:proofErr w:type="spellEnd"/>
      <w:r>
        <w:rPr>
          <w:rFonts w:ascii="Cambria" w:hAnsi="Cambria" w:cs="Cambria"/>
          <w:i/>
          <w:iCs/>
          <w:lang w:val="en-GB"/>
        </w:rPr>
        <w:t xml:space="preserve">, </w:t>
      </w:r>
      <w:proofErr w:type="spellStart"/>
      <w:r>
        <w:rPr>
          <w:rFonts w:ascii="Cambria" w:hAnsi="Cambria" w:cs="Cambria"/>
          <w:i/>
          <w:iCs/>
          <w:lang w:val="en-GB"/>
        </w:rPr>
        <w:t>Alalay</w:t>
      </w:r>
      <w:proofErr w:type="spellEnd"/>
      <w:r>
        <w:rPr>
          <w:rFonts w:ascii="Cambria" w:hAnsi="Cambria" w:cs="Cambria"/>
          <w:i/>
          <w:iCs/>
          <w:lang w:val="en-GB"/>
        </w:rPr>
        <w:t xml:space="preserve"> </w:t>
      </w:r>
      <w:proofErr w:type="spellStart"/>
      <w:r>
        <w:rPr>
          <w:rFonts w:ascii="Cambria" w:hAnsi="Cambria" w:cs="Cambria"/>
          <w:i/>
          <w:iCs/>
          <w:lang w:val="en-GB"/>
        </w:rPr>
        <w:t>sa</w:t>
      </w:r>
      <w:proofErr w:type="spellEnd"/>
      <w:r>
        <w:rPr>
          <w:rFonts w:ascii="Cambria" w:hAnsi="Cambria" w:cs="Cambria"/>
          <w:i/>
          <w:iCs/>
          <w:lang w:val="en-GB"/>
        </w:rPr>
        <w:t xml:space="preserve"> </w:t>
      </w:r>
      <w:proofErr w:type="spellStart"/>
      <w:r>
        <w:rPr>
          <w:rFonts w:ascii="Cambria" w:hAnsi="Cambria" w:cs="Cambria"/>
          <w:i/>
          <w:iCs/>
          <w:lang w:val="en-GB"/>
        </w:rPr>
        <w:t>Taong</w:t>
      </w:r>
      <w:proofErr w:type="spellEnd"/>
      <w:r>
        <w:rPr>
          <w:rFonts w:ascii="Cambria" w:hAnsi="Cambria" w:cs="Cambria"/>
          <w:i/>
          <w:iCs/>
          <w:lang w:val="en-GB"/>
        </w:rPr>
        <w:t xml:space="preserve"> may </w:t>
      </w:r>
      <w:proofErr w:type="spellStart"/>
      <w:r>
        <w:rPr>
          <w:rFonts w:ascii="Cambria" w:hAnsi="Cambria" w:cs="Cambria"/>
          <w:i/>
          <w:iCs/>
          <w:lang w:val="en-GB"/>
        </w:rPr>
        <w:t>Kapansanan</w:t>
      </w:r>
      <w:proofErr w:type="spellEnd"/>
      <w:r>
        <w:rPr>
          <w:rFonts w:ascii="Cambria" w:hAnsi="Cambria" w:cs="Cambria"/>
          <w:i/>
          <w:iCs/>
          <w:lang w:val="en-GB"/>
        </w:rPr>
        <w:t xml:space="preserve"> </w:t>
      </w:r>
      <w:r>
        <w:rPr>
          <w:rFonts w:ascii="Cambria" w:hAnsi="Cambria" w:cs="Cambria"/>
          <w:lang w:val="en-GB"/>
        </w:rPr>
        <w:t>programme, which aims to help persons with disabilites finds jobs. The programme also teaches and trains persons with disabilities to undertake various livelihood programmes and enhance their skills (DOLE, 2019). Furthermore, the Bureau of Labour and Employment has set up strategies to accommodate persons with disabilities in looking for jobs and sources of income (DOLE, 2018). The measures' objective is as follows:</w:t>
      </w:r>
    </w:p>
    <w:p w14:paraId="4C425FBE" w14:textId="77777777" w:rsidR="00622BC0" w:rsidRDefault="00826C5A">
      <w:pPr>
        <w:widowControl w:val="0"/>
        <w:autoSpaceDE w:val="0"/>
        <w:autoSpaceDN w:val="0"/>
        <w:adjustRightInd w:val="0"/>
        <w:spacing w:after="200"/>
        <w:ind w:left="480" w:right="-6" w:hanging="240"/>
        <w:jc w:val="both"/>
        <w:rPr>
          <w:rFonts w:ascii="Cambria" w:hAnsi="Cambria" w:cs="Cambria"/>
          <w:lang w:val="en-GB"/>
        </w:rPr>
      </w:pPr>
      <w:r>
        <w:rPr>
          <w:rFonts w:ascii="Cambria" w:hAnsi="Cambria" w:cs="Cambria"/>
          <w:lang w:val="en-GB"/>
        </w:rPr>
        <w:t xml:space="preserve">1. to explore the possibility of registering persons with disabilities in an agency; </w:t>
      </w:r>
    </w:p>
    <w:p w14:paraId="295FD3B1" w14:textId="77777777" w:rsidR="00622BC0" w:rsidRDefault="00826C5A">
      <w:pPr>
        <w:widowControl w:val="0"/>
        <w:autoSpaceDE w:val="0"/>
        <w:autoSpaceDN w:val="0"/>
        <w:adjustRightInd w:val="0"/>
        <w:spacing w:after="200"/>
        <w:ind w:left="480" w:right="-6" w:hanging="240"/>
        <w:jc w:val="both"/>
        <w:rPr>
          <w:rFonts w:ascii="Cambria" w:hAnsi="Cambria" w:cs="Cambria"/>
          <w:lang w:val="en-GB"/>
        </w:rPr>
      </w:pPr>
      <w:r>
        <w:rPr>
          <w:rFonts w:ascii="Cambria" w:hAnsi="Cambria" w:cs="Cambria"/>
          <w:lang w:val="en-GB"/>
        </w:rPr>
        <w:t>2.</w:t>
      </w:r>
      <w:r>
        <w:rPr>
          <w:rFonts w:ascii="Cambria" w:hAnsi="Cambria" w:cs="Cambria"/>
        </w:rPr>
        <w:t xml:space="preserve"> </w:t>
      </w:r>
      <w:r>
        <w:rPr>
          <w:rFonts w:ascii="Cambria" w:hAnsi="Cambria" w:cs="Cambria"/>
          <w:lang w:val="en-GB"/>
        </w:rPr>
        <w:t xml:space="preserve">to survey an inventory of companies, government and non-government agencies, local government units, and funding institutions (local and foreign) that have programmes geared for persons with disabilities; </w:t>
      </w:r>
    </w:p>
    <w:p w14:paraId="5C48F4B5" w14:textId="77777777" w:rsidR="00622BC0" w:rsidRDefault="00826C5A">
      <w:pPr>
        <w:widowControl w:val="0"/>
        <w:autoSpaceDE w:val="0"/>
        <w:autoSpaceDN w:val="0"/>
        <w:adjustRightInd w:val="0"/>
        <w:spacing w:after="200"/>
        <w:ind w:left="480" w:right="-6" w:hanging="240"/>
        <w:jc w:val="both"/>
        <w:rPr>
          <w:rFonts w:ascii="Cambria" w:hAnsi="Cambria" w:cs="Cambria"/>
          <w:lang w:val="en-GB"/>
        </w:rPr>
      </w:pPr>
      <w:r>
        <w:rPr>
          <w:rFonts w:ascii="Cambria" w:hAnsi="Cambria" w:cs="Cambria"/>
          <w:lang w:val="en-GB"/>
        </w:rPr>
        <w:t>3.</w:t>
      </w:r>
      <w:r>
        <w:rPr>
          <w:rFonts w:ascii="Cambria" w:hAnsi="Cambria" w:cs="Cambria"/>
        </w:rPr>
        <w:t xml:space="preserve"> </w:t>
      </w:r>
      <w:r>
        <w:rPr>
          <w:rFonts w:ascii="Cambria" w:hAnsi="Cambria" w:cs="Cambria"/>
          <w:lang w:val="en-GB"/>
        </w:rPr>
        <w:t xml:space="preserve">to closely coordinate with private companies, government, NGOs, LGUs and funding institutions particularly those for persons with disabilities; </w:t>
      </w:r>
    </w:p>
    <w:p w14:paraId="75E0A190" w14:textId="77777777" w:rsidR="00622BC0" w:rsidRDefault="00826C5A">
      <w:pPr>
        <w:widowControl w:val="0"/>
        <w:autoSpaceDE w:val="0"/>
        <w:autoSpaceDN w:val="0"/>
        <w:adjustRightInd w:val="0"/>
        <w:spacing w:after="200"/>
        <w:ind w:left="480" w:right="-6" w:hanging="240"/>
        <w:jc w:val="both"/>
        <w:rPr>
          <w:rFonts w:ascii="Cambria" w:hAnsi="Cambria" w:cs="Cambria"/>
          <w:lang w:val="en-GB"/>
        </w:rPr>
      </w:pPr>
      <w:r>
        <w:rPr>
          <w:rFonts w:ascii="Cambria" w:hAnsi="Cambria" w:cs="Cambria"/>
          <w:lang w:val="en-GB"/>
        </w:rPr>
        <w:t>4.</w:t>
      </w:r>
      <w:r>
        <w:rPr>
          <w:rFonts w:ascii="Cambria" w:hAnsi="Cambria" w:cs="Cambria"/>
        </w:rPr>
        <w:t xml:space="preserve"> </w:t>
      </w:r>
      <w:r>
        <w:rPr>
          <w:rFonts w:ascii="Cambria" w:hAnsi="Cambria" w:cs="Cambria"/>
          <w:lang w:val="en-GB"/>
        </w:rPr>
        <w:t xml:space="preserve">to maintain a skill pool of persons with disabilities in case the employment opportunities emerge; and </w:t>
      </w:r>
    </w:p>
    <w:p w14:paraId="45A2FB09" w14:textId="77777777" w:rsidR="00622BC0" w:rsidRDefault="00826C5A">
      <w:pPr>
        <w:widowControl w:val="0"/>
        <w:autoSpaceDE w:val="0"/>
        <w:autoSpaceDN w:val="0"/>
        <w:adjustRightInd w:val="0"/>
        <w:spacing w:after="200"/>
        <w:ind w:left="480" w:right="-6" w:hanging="240"/>
        <w:jc w:val="both"/>
        <w:rPr>
          <w:rFonts w:ascii="Cambria" w:hAnsi="Cambria" w:cs="Cambria"/>
          <w:lang w:val="en-GB"/>
        </w:rPr>
      </w:pPr>
      <w:r>
        <w:rPr>
          <w:rFonts w:ascii="Cambria" w:hAnsi="Cambria" w:cs="Cambria"/>
          <w:lang w:val="en-GB"/>
        </w:rPr>
        <w:t>5.</w:t>
      </w:r>
      <w:r>
        <w:rPr>
          <w:rFonts w:ascii="Cambria" w:hAnsi="Cambria" w:cs="Cambria"/>
        </w:rPr>
        <w:t xml:space="preserve"> </w:t>
      </w:r>
      <w:r>
        <w:rPr>
          <w:rFonts w:ascii="Cambria" w:hAnsi="Cambria" w:cs="Cambria"/>
          <w:lang w:val="en-GB"/>
        </w:rPr>
        <w:t>to establish cooperative, production workshops, and self-employment projects for persons with disabilities.</w:t>
      </w:r>
    </w:p>
    <w:p w14:paraId="18856D80" w14:textId="77777777" w:rsidR="00622BC0" w:rsidRDefault="00826C5A">
      <w:pPr>
        <w:widowControl w:val="0"/>
        <w:autoSpaceDE w:val="0"/>
        <w:autoSpaceDN w:val="0"/>
        <w:adjustRightInd w:val="0"/>
        <w:spacing w:after="49"/>
        <w:ind w:right="-6"/>
        <w:jc w:val="both"/>
        <w:rPr>
          <w:rFonts w:ascii="Cambria" w:hAnsi="Cambria" w:cs="Cambria"/>
          <w:lang w:val="en-GB"/>
        </w:rPr>
      </w:pPr>
      <w:r>
        <w:rPr>
          <w:rFonts w:ascii="Cambria" w:hAnsi="Cambria" w:cs="Cambria"/>
          <w:lang w:val="en-GB"/>
        </w:rPr>
        <w:t>The Department of Social Welfare and Development manages Vocational Rehabilitation Centres</w:t>
      </w:r>
      <w:r>
        <w:rPr>
          <w:rFonts w:ascii="Cambria" w:hAnsi="Cambria" w:cs="Cambria"/>
          <w:b/>
          <w:bCs/>
          <w:lang w:val="en-GB"/>
        </w:rPr>
        <w:t xml:space="preserve"> </w:t>
      </w:r>
      <w:r>
        <w:rPr>
          <w:rFonts w:ascii="Cambria" w:hAnsi="Cambria" w:cs="Cambria"/>
          <w:lang w:val="en-GB"/>
        </w:rPr>
        <w:t>to help persons with disabilities achieve the highest level of physical, psychological, social, and economic sufficiency of which persons with disabilities are capable within the bounds of their capacities and limitations. The programme includes social rehabilitation, vocational rehabilitation, on-the-job training, and school placement. This programme is supposed to serve the needs of persons with disabilities to access the open job market. Nevertheless, the curriculum of the training may be specific to vocational skills, thus to enable PWDs to access equal opportunity in the open job market, the education system is necessarily needed. The Department of Social Welfare and Development also provides a gratuity to a person with disability trainees to subsidise transportation expenses, meals, training materials, and other expenses to be incurred by persons with disabilities while undergoing training covering working days, Saturday, Sunday and holidays (DSWD, 2019).</w:t>
      </w:r>
    </w:p>
    <w:p w14:paraId="51C68A2F" w14:textId="77777777" w:rsidR="00622BC0" w:rsidRDefault="00622BC0">
      <w:pPr>
        <w:widowControl w:val="0"/>
        <w:autoSpaceDE w:val="0"/>
        <w:autoSpaceDN w:val="0"/>
        <w:adjustRightInd w:val="0"/>
        <w:spacing w:after="49"/>
        <w:ind w:right="-6"/>
        <w:jc w:val="both"/>
        <w:rPr>
          <w:rFonts w:ascii="Cambria" w:hAnsi="Cambria" w:cs="Cambria"/>
          <w:lang w:val="en-GB"/>
        </w:rPr>
      </w:pPr>
    </w:p>
    <w:p w14:paraId="48B0203D" w14:textId="77777777" w:rsidR="00622BC0" w:rsidRDefault="00826C5A">
      <w:pPr>
        <w:widowControl w:val="0"/>
        <w:autoSpaceDE w:val="0"/>
        <w:autoSpaceDN w:val="0"/>
        <w:adjustRightInd w:val="0"/>
        <w:spacing w:after="49"/>
        <w:ind w:right="-6"/>
        <w:jc w:val="both"/>
        <w:rPr>
          <w:rFonts w:ascii="Cambria" w:hAnsi="Cambria" w:cs="Cambria"/>
          <w:lang w:val="en-GB"/>
        </w:rPr>
      </w:pPr>
      <w:r>
        <w:rPr>
          <w:rFonts w:ascii="Cambria" w:hAnsi="Cambria" w:cs="Cambria"/>
          <w:lang w:val="en-GB"/>
        </w:rPr>
        <w:t>The NCDA looks at the opportunities presented by developments in information and communications technology to spur the economic productivity of persons with disabilities. For instance, the NCDA worked with a local animation studio company to train persons with disabilities on 2-D animation, so they can be digital animators and use their talents on drawing. The programme also develops them as a group of animators capable of accepting contracts and projects from animation companies (NCDA, 2019).</w:t>
      </w:r>
    </w:p>
    <w:p w14:paraId="27D1A4F8" w14:textId="77777777" w:rsidR="00622BC0" w:rsidRDefault="00622BC0">
      <w:pPr>
        <w:widowControl w:val="0"/>
        <w:autoSpaceDE w:val="0"/>
        <w:autoSpaceDN w:val="0"/>
        <w:adjustRightInd w:val="0"/>
        <w:spacing w:after="49"/>
        <w:ind w:right="-6"/>
        <w:jc w:val="both"/>
        <w:rPr>
          <w:rFonts w:ascii="Cambria" w:hAnsi="Cambria" w:cs="Cambria"/>
          <w:lang w:val="en-GB"/>
        </w:rPr>
      </w:pPr>
    </w:p>
    <w:p w14:paraId="30B28BA5"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DOLE Integrated Livelihood Programme (DILP) or </w:t>
      </w:r>
      <w:proofErr w:type="spellStart"/>
      <w:r>
        <w:rPr>
          <w:rFonts w:ascii="Cambria" w:hAnsi="Cambria" w:cs="Cambria"/>
          <w:lang w:val="en-GB"/>
        </w:rPr>
        <w:t>Kabuhayan</w:t>
      </w:r>
      <w:proofErr w:type="spellEnd"/>
      <w:r>
        <w:rPr>
          <w:rFonts w:ascii="Cambria" w:hAnsi="Cambria" w:cs="Cambria"/>
          <w:lang w:val="en-GB"/>
        </w:rPr>
        <w:t xml:space="preserve"> Programme provides its priority beneficiaries, including persons with disabilities, access to productive resources such as working capital in the form of raw materials, equipment, tools, and jigs, which could help them to either start, enhance or restore their lost livelihood undertakings. They are also provided with capacity building training on business planning, productivity, safety, and health, and entrepreneurship, among others, to develop and or further enhance their skills and competencies in managing their livelihood projects.</w:t>
      </w:r>
    </w:p>
    <w:p w14:paraId="4CA412B4"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beneficiaries are also covered under the Group Personal Accident Insurance of the Government Service Insurance System for risk protection and relief against various hazards at work. A total of 17,357 persons with disabilities have been provided with livelihood assistance from 2008 up to 2017.</w:t>
      </w:r>
    </w:p>
    <w:p w14:paraId="4D6E7475"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Another programme is the </w:t>
      </w:r>
      <w:proofErr w:type="spellStart"/>
      <w:r>
        <w:rPr>
          <w:rFonts w:ascii="Cambria" w:hAnsi="Cambria" w:cs="Cambria"/>
          <w:lang w:val="en-GB"/>
        </w:rPr>
        <w:t>Katulong</w:t>
      </w:r>
      <w:proofErr w:type="spellEnd"/>
      <w:r>
        <w:rPr>
          <w:rFonts w:ascii="Cambria" w:hAnsi="Cambria" w:cs="Cambria"/>
          <w:lang w:val="en-GB"/>
        </w:rPr>
        <w:t xml:space="preserve"> at </w:t>
      </w:r>
      <w:proofErr w:type="spellStart"/>
      <w:r>
        <w:rPr>
          <w:rFonts w:ascii="Cambria" w:hAnsi="Cambria" w:cs="Cambria"/>
          <w:lang w:val="en-GB"/>
        </w:rPr>
        <w:t>Gabay</w:t>
      </w:r>
      <w:proofErr w:type="spellEnd"/>
      <w:r>
        <w:rPr>
          <w:rFonts w:ascii="Cambria" w:hAnsi="Cambria" w:cs="Cambria"/>
          <w:lang w:val="en-GB"/>
        </w:rPr>
        <w:t xml:space="preserve"> </w:t>
      </w:r>
      <w:proofErr w:type="spellStart"/>
      <w:r>
        <w:rPr>
          <w:rFonts w:ascii="Cambria" w:hAnsi="Cambria" w:cs="Cambria"/>
          <w:lang w:val="en-GB"/>
        </w:rPr>
        <w:t>sa</w:t>
      </w:r>
      <w:proofErr w:type="spellEnd"/>
      <w:r>
        <w:rPr>
          <w:rFonts w:ascii="Cambria" w:hAnsi="Cambria" w:cs="Cambria"/>
          <w:lang w:val="en-GB"/>
        </w:rPr>
        <w:t xml:space="preserve"> </w:t>
      </w:r>
      <w:proofErr w:type="spellStart"/>
      <w:r>
        <w:rPr>
          <w:rFonts w:ascii="Cambria" w:hAnsi="Cambria" w:cs="Cambria"/>
          <w:lang w:val="en-GB"/>
        </w:rPr>
        <w:t>Manggagawang</w:t>
      </w:r>
      <w:proofErr w:type="spellEnd"/>
      <w:r>
        <w:rPr>
          <w:rFonts w:ascii="Cambria" w:hAnsi="Cambria" w:cs="Cambria"/>
          <w:lang w:val="en-GB"/>
        </w:rPr>
        <w:t xml:space="preserve"> may </w:t>
      </w:r>
      <w:proofErr w:type="spellStart"/>
      <w:r>
        <w:rPr>
          <w:rFonts w:ascii="Cambria" w:hAnsi="Cambria" w:cs="Cambria"/>
          <w:lang w:val="en-GB"/>
        </w:rPr>
        <w:t>Kapansanan</w:t>
      </w:r>
      <w:proofErr w:type="spellEnd"/>
      <w:r>
        <w:rPr>
          <w:rFonts w:ascii="Cambria" w:hAnsi="Cambria" w:cs="Cambria"/>
          <w:lang w:val="en-GB"/>
        </w:rPr>
        <w:t xml:space="preserve"> (KAGABAY) that focuses on rehabilitation with physical or medical components and economic assistance programmes. That programme aims to facilitate the reintegration of persons with work-related disabilities (PWRDs) into the economic mainstream through the provision of free vocational or entrepreneurial training in coordination with training organisations nationwide as well as to assist the persons with disabilities in setting up micro-enterprises (DOLE, 2018).</w:t>
      </w:r>
    </w:p>
    <w:p w14:paraId="21768A04" w14:textId="77777777" w:rsidR="00622BC0" w:rsidRDefault="00826C5A">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The Department of Trade and Industry (DTI) formulated the Economic Empowerment Framework, which guides supporting economic inclusivity of persons with disabilities by coming up with three types of interventions, enterprise-level, policy advocacy, and enabling environment. The programmes or services from Department of Trade and Industry are mainstreamed and meaningful as it is accessible to all regardless of abilities, citizenship, and vulnerable sectors; thus, there is no specific budget per sector but lumped together per programme. For instance, the programmes and services are Small and Medium-Sized Enterprises (SMEs) Roving Academy, Shared Service Facilities Programme, Mentor Me Programme business counselling services including coaching and advisory services through the Negosyo Centres, for entrepreneurship development of all. </w:t>
      </w:r>
    </w:p>
    <w:p w14:paraId="5B99894D"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Data in 2015 and 2016 only reflects persons with disabilities as beneficiaries or clients, and it is only in 2017 that the report included total beneficiaries. As of 2017, persons with disabilities represent 3.41% of total beneficiaries or clients of the Department of Trade and Industry’s programmes and services. Persons with disabilities successfully gained benefits and services from DTI with 4,949 people in 2015. The number went to the peak amount of 7,195 people with disabilities as beneficiaries, but it declined in 2017 to be 6,090 people as described in Table 7 below:</w:t>
      </w:r>
    </w:p>
    <w:p w14:paraId="2C35449D"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Table 7 Beneficiaries Programmes for Persons with Disabilities from the Department of Trade and Industry</w:t>
      </w:r>
    </w:p>
    <w:tbl>
      <w:tblPr>
        <w:tblW w:w="8076"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2407"/>
        <w:gridCol w:w="1389"/>
        <w:gridCol w:w="1360"/>
        <w:gridCol w:w="1440"/>
        <w:gridCol w:w="1480"/>
      </w:tblGrid>
      <w:tr w:rsidR="00622BC0" w14:paraId="619C50F0" w14:textId="77777777">
        <w:tc>
          <w:tcPr>
            <w:tcW w:w="240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295F542" w14:textId="77777777" w:rsidR="00622BC0" w:rsidRDefault="00826C5A">
            <w:pPr>
              <w:widowControl w:val="0"/>
              <w:autoSpaceDE w:val="0"/>
              <w:autoSpaceDN w:val="0"/>
              <w:adjustRightInd w:val="0"/>
              <w:spacing w:after="200"/>
              <w:ind w:right="-6"/>
              <w:rPr>
                <w:rFonts w:ascii="Cambria" w:hAnsi="Cambria" w:cs="Cambria"/>
                <w:b/>
                <w:bCs/>
                <w:lang w:val="en-GB"/>
              </w:rPr>
            </w:pPr>
            <w:r>
              <w:rPr>
                <w:rFonts w:ascii="Cambria" w:hAnsi="Cambria" w:cs="Cambria"/>
                <w:b/>
                <w:bCs/>
                <w:lang w:val="en-GB"/>
              </w:rPr>
              <w:t xml:space="preserve">DTI Programme Beneficiaries, 2015-2017 </w:t>
            </w:r>
          </w:p>
          <w:p w14:paraId="1DEE9DA0" w14:textId="77777777" w:rsidR="00622BC0" w:rsidRDefault="00826C5A">
            <w:pPr>
              <w:widowControl w:val="0"/>
              <w:autoSpaceDE w:val="0"/>
              <w:autoSpaceDN w:val="0"/>
              <w:adjustRightInd w:val="0"/>
              <w:spacing w:after="200"/>
              <w:ind w:right="-6"/>
              <w:rPr>
                <w:rFonts w:ascii="Cambria" w:hAnsi="Cambria" w:cs="Cambria"/>
                <w:b/>
                <w:bCs/>
                <w:lang w:val="en-GB"/>
              </w:rPr>
            </w:pPr>
            <w:r>
              <w:rPr>
                <w:rFonts w:ascii="Cambria" w:hAnsi="Cambria" w:cs="Cambria"/>
                <w:b/>
                <w:bCs/>
                <w:lang w:val="en-GB"/>
              </w:rPr>
              <w:t xml:space="preserve">Year </w:t>
            </w:r>
          </w:p>
        </w:tc>
        <w:tc>
          <w:tcPr>
            <w:tcW w:w="138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621C2E3"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2015</w:t>
            </w:r>
          </w:p>
        </w:tc>
        <w:tc>
          <w:tcPr>
            <w:tcW w:w="136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83E6E69"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2016</w:t>
            </w:r>
          </w:p>
        </w:tc>
        <w:tc>
          <w:tcPr>
            <w:tcW w:w="144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E1E73DB"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2017</w:t>
            </w:r>
          </w:p>
        </w:tc>
        <w:tc>
          <w:tcPr>
            <w:tcW w:w="148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4F7DDE"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Total</w:t>
            </w:r>
          </w:p>
        </w:tc>
      </w:tr>
      <w:tr w:rsidR="00622BC0" w14:paraId="4387845B" w14:textId="77777777">
        <w:tblPrEx>
          <w:tblBorders>
            <w:top w:val="none" w:sz="0" w:space="0" w:color="auto"/>
          </w:tblBorders>
        </w:tblPrEx>
        <w:tc>
          <w:tcPr>
            <w:tcW w:w="240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4D9F63C"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 xml:space="preserve">Total Beneficiaries </w:t>
            </w:r>
          </w:p>
        </w:tc>
        <w:tc>
          <w:tcPr>
            <w:tcW w:w="138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8C82214"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No data</w:t>
            </w:r>
          </w:p>
        </w:tc>
        <w:tc>
          <w:tcPr>
            <w:tcW w:w="136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0D041A4"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No data</w:t>
            </w:r>
          </w:p>
        </w:tc>
        <w:tc>
          <w:tcPr>
            <w:tcW w:w="144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0730B77"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178,776</w:t>
            </w:r>
          </w:p>
        </w:tc>
        <w:tc>
          <w:tcPr>
            <w:tcW w:w="148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88BBABC"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178,776</w:t>
            </w:r>
          </w:p>
        </w:tc>
      </w:tr>
      <w:tr w:rsidR="00622BC0" w14:paraId="70762AE2" w14:textId="77777777">
        <w:tblPrEx>
          <w:tblBorders>
            <w:top w:val="none" w:sz="0" w:space="0" w:color="auto"/>
            <w:bottom w:val="single" w:sz="4" w:space="0" w:color="auto"/>
          </w:tblBorders>
        </w:tblPrEx>
        <w:tc>
          <w:tcPr>
            <w:tcW w:w="240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0ED6A87" w14:textId="77777777" w:rsidR="00622BC0" w:rsidRDefault="00826C5A">
            <w:pPr>
              <w:widowControl w:val="0"/>
              <w:autoSpaceDE w:val="0"/>
              <w:autoSpaceDN w:val="0"/>
              <w:adjustRightInd w:val="0"/>
              <w:spacing w:after="200"/>
              <w:ind w:right="-6"/>
              <w:rPr>
                <w:rFonts w:ascii="Cambria" w:hAnsi="Cambria" w:cs="Cambria"/>
                <w:b/>
                <w:bCs/>
                <w:lang w:val="en-GB"/>
              </w:rPr>
            </w:pPr>
            <w:r>
              <w:rPr>
                <w:rFonts w:ascii="Cambria" w:hAnsi="Cambria" w:cs="Cambria"/>
                <w:b/>
                <w:bCs/>
                <w:lang w:val="en-GB"/>
              </w:rPr>
              <w:t xml:space="preserve">persons with disabilities Beneficiaries </w:t>
            </w:r>
          </w:p>
        </w:tc>
        <w:tc>
          <w:tcPr>
            <w:tcW w:w="138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F1CA437"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4,949</w:t>
            </w:r>
          </w:p>
        </w:tc>
        <w:tc>
          <w:tcPr>
            <w:tcW w:w="136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8D4D6C1"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7,195</w:t>
            </w:r>
          </w:p>
        </w:tc>
        <w:tc>
          <w:tcPr>
            <w:tcW w:w="144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83F7EDB"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6,090</w:t>
            </w:r>
          </w:p>
        </w:tc>
        <w:tc>
          <w:tcPr>
            <w:tcW w:w="148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F2821C"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18,234</w:t>
            </w:r>
          </w:p>
        </w:tc>
      </w:tr>
    </w:tbl>
    <w:p w14:paraId="00582195" w14:textId="77777777" w:rsidR="00622BC0" w:rsidRDefault="00622BC0">
      <w:pPr>
        <w:widowControl w:val="0"/>
        <w:autoSpaceDE w:val="0"/>
        <w:autoSpaceDN w:val="0"/>
        <w:adjustRightInd w:val="0"/>
        <w:spacing w:after="200"/>
        <w:ind w:right="-6"/>
        <w:jc w:val="both"/>
        <w:rPr>
          <w:rFonts w:ascii="Cambria" w:hAnsi="Cambria" w:cs="Cambria"/>
          <w:lang w:val="en-GB"/>
        </w:rPr>
      </w:pPr>
    </w:p>
    <w:p w14:paraId="500CFFCF" w14:textId="780ED4F4"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Participation of Civil Society and OPD</w:t>
      </w:r>
      <w:r w:rsidR="0067025E">
        <w:rPr>
          <w:rFonts w:ascii="Cambria" w:hAnsi="Cambria" w:cs="Cambria"/>
          <w:b/>
          <w:bCs/>
          <w:lang w:val="en-GB"/>
        </w:rPr>
        <w:t>s</w:t>
      </w:r>
    </w:p>
    <w:p w14:paraId="1DBE8843" w14:textId="77777777" w:rsidR="00622BC0" w:rsidRDefault="00826C5A">
      <w:pPr>
        <w:widowControl w:val="0"/>
        <w:autoSpaceDE w:val="0"/>
        <w:autoSpaceDN w:val="0"/>
        <w:adjustRightInd w:val="0"/>
        <w:spacing w:after="200"/>
        <w:ind w:right="-6"/>
        <w:jc w:val="both"/>
        <w:rPr>
          <w:rFonts w:ascii="Cambria" w:hAnsi="Cambria" w:cs="Cambria"/>
          <w:color w:val="1C1E29"/>
          <w:lang w:val="en-GB"/>
        </w:rPr>
      </w:pPr>
      <w:r>
        <w:rPr>
          <w:rFonts w:ascii="Cambria" w:hAnsi="Cambria" w:cs="Cambria"/>
          <w:color w:val="1C1E29"/>
          <w:lang w:val="en-GB"/>
        </w:rPr>
        <w:t>In 2016, Department of Trade and Industry coordinated the conduct of persons with disabilities Sensitivity Workshops for 170 Negosyo Centre Business Counsellors so that they would gain knowledge, skills, and attitude on how to attend to persons with disabilities clients and facilitate their adequate access to Department of Trade and Industry programmes and services. A year before that, 85 persons with disabilities focal persons from the Department of Trade and Industry in regional/provincial offices and head office bureaus and attached agencies were also provided with sensitivity seminars (DTI, 2018).</w:t>
      </w:r>
    </w:p>
    <w:p w14:paraId="317E2EF5" w14:textId="77777777" w:rsidR="00622BC0" w:rsidRDefault="00826C5A">
      <w:pPr>
        <w:widowControl w:val="0"/>
        <w:autoSpaceDE w:val="0"/>
        <w:autoSpaceDN w:val="0"/>
        <w:adjustRightInd w:val="0"/>
        <w:spacing w:after="200"/>
        <w:ind w:right="-6"/>
        <w:jc w:val="both"/>
        <w:rPr>
          <w:rFonts w:ascii="Cambria" w:hAnsi="Cambria" w:cs="Cambria"/>
          <w:color w:val="1C1E29"/>
          <w:lang w:val="en-GB"/>
        </w:rPr>
      </w:pPr>
      <w:r>
        <w:rPr>
          <w:rFonts w:ascii="Cambria" w:hAnsi="Cambria" w:cs="Cambria"/>
          <w:color w:val="1C1E29"/>
          <w:lang w:val="en-GB"/>
        </w:rPr>
        <w:t xml:space="preserve">Other services include trade fairs wherein persons with disabilities participated such as the 2017 </w:t>
      </w:r>
      <w:proofErr w:type="spellStart"/>
      <w:r>
        <w:rPr>
          <w:rFonts w:ascii="Cambria" w:hAnsi="Cambria" w:cs="Cambria"/>
          <w:color w:val="1C1E29"/>
          <w:lang w:val="en-GB"/>
        </w:rPr>
        <w:t>Likhang</w:t>
      </w:r>
      <w:proofErr w:type="spellEnd"/>
      <w:r>
        <w:rPr>
          <w:rFonts w:ascii="Cambria" w:hAnsi="Cambria" w:cs="Cambria"/>
          <w:color w:val="1C1E29"/>
          <w:lang w:val="en-GB"/>
        </w:rPr>
        <w:t xml:space="preserve"> Central Luzon Regional Trade Fair (</w:t>
      </w:r>
      <w:proofErr w:type="spellStart"/>
      <w:r>
        <w:rPr>
          <w:rFonts w:ascii="Cambria" w:hAnsi="Cambria" w:cs="Cambria"/>
          <w:color w:val="1C1E29"/>
          <w:lang w:val="en-GB"/>
        </w:rPr>
        <w:t>Ugat</w:t>
      </w:r>
      <w:proofErr w:type="spellEnd"/>
      <w:r>
        <w:rPr>
          <w:rFonts w:ascii="Cambria" w:hAnsi="Cambria" w:cs="Cambria"/>
          <w:color w:val="1C1E29"/>
          <w:lang w:val="en-GB"/>
        </w:rPr>
        <w:t xml:space="preserve"> Enterprises and </w:t>
      </w:r>
      <w:proofErr w:type="spellStart"/>
      <w:r>
        <w:rPr>
          <w:rFonts w:ascii="Cambria" w:hAnsi="Cambria" w:cs="Cambria"/>
          <w:color w:val="1C1E29"/>
          <w:lang w:val="en-GB"/>
        </w:rPr>
        <w:t>Chokulet</w:t>
      </w:r>
      <w:proofErr w:type="spellEnd"/>
      <w:r>
        <w:rPr>
          <w:rFonts w:ascii="Cambria" w:hAnsi="Cambria" w:cs="Cambria"/>
          <w:color w:val="1C1E29"/>
          <w:lang w:val="en-GB"/>
        </w:rPr>
        <w:t xml:space="preserve"> Enterprises); </w:t>
      </w:r>
      <w:proofErr w:type="spellStart"/>
      <w:r>
        <w:rPr>
          <w:rFonts w:ascii="Cambria" w:hAnsi="Cambria" w:cs="Cambria"/>
          <w:color w:val="1C1E29"/>
          <w:lang w:val="en-GB"/>
        </w:rPr>
        <w:t>Pinyasan</w:t>
      </w:r>
      <w:proofErr w:type="spellEnd"/>
      <w:r>
        <w:rPr>
          <w:rFonts w:ascii="Cambria" w:hAnsi="Cambria" w:cs="Cambria"/>
          <w:color w:val="1C1E29"/>
          <w:lang w:val="en-GB"/>
        </w:rPr>
        <w:t xml:space="preserve"> Trade Fair in Bicol with participation from the Autism Recovery Network of the Philippines; and </w:t>
      </w:r>
      <w:proofErr w:type="spellStart"/>
      <w:r>
        <w:rPr>
          <w:rFonts w:ascii="Cambria" w:hAnsi="Cambria" w:cs="Cambria"/>
          <w:color w:val="1C1E29"/>
          <w:lang w:val="en-GB"/>
        </w:rPr>
        <w:t>Zampex</w:t>
      </w:r>
      <w:proofErr w:type="spellEnd"/>
      <w:r>
        <w:rPr>
          <w:rFonts w:ascii="Cambria" w:hAnsi="Cambria" w:cs="Cambria"/>
          <w:color w:val="1C1E29"/>
          <w:lang w:val="en-GB"/>
        </w:rPr>
        <w:t xml:space="preserve"> 2017 Trade Fair in Zamboanga City wherein the AVRC Sheltered Workshop Workers' Association showcased their manufactured bags. </w:t>
      </w:r>
    </w:p>
    <w:p w14:paraId="50DC44D2" w14:textId="77777777" w:rsidR="00622BC0" w:rsidRDefault="00622BC0">
      <w:pPr>
        <w:widowControl w:val="0"/>
        <w:autoSpaceDE w:val="0"/>
        <w:autoSpaceDN w:val="0"/>
        <w:adjustRightInd w:val="0"/>
        <w:spacing w:after="200"/>
        <w:ind w:right="-6"/>
        <w:jc w:val="both"/>
        <w:rPr>
          <w:rFonts w:ascii="Cambria" w:hAnsi="Cambria" w:cs="Cambria"/>
          <w:color w:val="1C1E29"/>
          <w:lang w:val="en-GB"/>
        </w:rPr>
      </w:pPr>
    </w:p>
    <w:p w14:paraId="2D4901A2"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 xml:space="preserve">7. </w:t>
      </w:r>
      <w:r>
        <w:rPr>
          <w:rFonts w:ascii="Cambria" w:hAnsi="Cambria" w:cs="Cambria"/>
          <w:b/>
          <w:bCs/>
          <w:lang w:val="en-GB"/>
        </w:rPr>
        <w:tab/>
        <w:t>SDG Goal 11 - Sustainable Cities and Communities</w:t>
      </w:r>
    </w:p>
    <w:p w14:paraId="64D0796B"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Policy and Regulations</w:t>
      </w:r>
    </w:p>
    <w:p w14:paraId="2CCEE858"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Persons with disabilities are involved in making policies on transportation, for example, are the available transportation policies right now. As of today, 10% of all new buses are required to be accessible because of the consultations between persons with disabilities and civil society organisations in the local government (Jaime Silva, 2019).</w:t>
      </w:r>
    </w:p>
    <w:p w14:paraId="18B45615" w14:textId="77777777" w:rsidR="00622BC0" w:rsidRDefault="00826C5A">
      <w:pPr>
        <w:widowControl w:val="0"/>
        <w:autoSpaceDE w:val="0"/>
        <w:autoSpaceDN w:val="0"/>
        <w:adjustRightInd w:val="0"/>
        <w:spacing w:after="200"/>
        <w:ind w:right="-6"/>
        <w:jc w:val="both"/>
        <w:rPr>
          <w:rFonts w:ascii="Cambria" w:hAnsi="Cambria" w:cs="Cambria"/>
          <w:color w:val="1C1E29"/>
          <w:lang w:val="en-GB"/>
        </w:rPr>
      </w:pPr>
      <w:r>
        <w:rPr>
          <w:rFonts w:ascii="Cambria" w:hAnsi="Cambria" w:cs="Cambria"/>
          <w:color w:val="1C1E29"/>
          <w:lang w:val="en-GB"/>
        </w:rPr>
        <w:t xml:space="preserve">Batas Pambansa </w:t>
      </w:r>
      <w:proofErr w:type="spellStart"/>
      <w:r>
        <w:rPr>
          <w:rFonts w:ascii="Cambria" w:hAnsi="Cambria" w:cs="Cambria"/>
          <w:color w:val="1C1E29"/>
          <w:lang w:val="en-GB"/>
        </w:rPr>
        <w:t>bilang</w:t>
      </w:r>
      <w:proofErr w:type="spellEnd"/>
      <w:r>
        <w:rPr>
          <w:rFonts w:ascii="Cambria" w:hAnsi="Cambria" w:cs="Cambria"/>
          <w:color w:val="1C1E29"/>
          <w:lang w:val="en-GB"/>
        </w:rPr>
        <w:t xml:space="preserve"> 344 (1983) or called "The Accessibility Law," aims to enhance the mobility and social participation of persons with disabilities by ensuring the accessibility of roads and buildings. The five minimum requirements for making establishments accessible to persons with disabilities are the presence of signages, toilet/washroom, non-skid flooring, ramps, and parking area/slot for persons with disabilities.</w:t>
      </w:r>
    </w:p>
    <w:p w14:paraId="59571C80" w14:textId="77777777" w:rsidR="00622BC0" w:rsidRDefault="00826C5A">
      <w:pPr>
        <w:widowControl w:val="0"/>
        <w:autoSpaceDE w:val="0"/>
        <w:autoSpaceDN w:val="0"/>
        <w:adjustRightInd w:val="0"/>
        <w:spacing w:after="200"/>
        <w:ind w:right="-6"/>
        <w:jc w:val="both"/>
        <w:rPr>
          <w:rFonts w:ascii="Cambria" w:hAnsi="Cambria" w:cs="Cambria"/>
          <w:color w:val="1C1E29"/>
          <w:lang w:val="en-GB"/>
        </w:rPr>
      </w:pPr>
      <w:r>
        <w:rPr>
          <w:rFonts w:ascii="Cambria" w:hAnsi="Cambria" w:cs="Cambria"/>
          <w:color w:val="1C1E29"/>
          <w:lang w:val="en-GB"/>
        </w:rPr>
        <w:t xml:space="preserve">The Department of Transportation and Communication Special Order 2007-77 created the </w:t>
      </w:r>
      <w:proofErr w:type="spellStart"/>
      <w:r>
        <w:rPr>
          <w:rFonts w:ascii="Cambria" w:hAnsi="Cambria" w:cs="Cambria"/>
          <w:color w:val="1C1E29"/>
          <w:lang w:val="en-GB"/>
        </w:rPr>
        <w:t>DOTr</w:t>
      </w:r>
      <w:proofErr w:type="spellEnd"/>
      <w:r>
        <w:rPr>
          <w:rFonts w:ascii="Cambria" w:hAnsi="Cambria" w:cs="Cambria"/>
          <w:color w:val="1C1E29"/>
          <w:lang w:val="en-GB"/>
        </w:rPr>
        <w:t xml:space="preserve"> Task Force (TF) on accessibility, whose members include officials and personnel from the various transport sector offices under the department. The Task Force checks the accessibility of roads, rail, air, and maritime transportation facilities and services.</w:t>
      </w:r>
    </w:p>
    <w:p w14:paraId="7DED2F2A" w14:textId="77777777" w:rsidR="00622BC0" w:rsidRDefault="00826C5A">
      <w:pPr>
        <w:widowControl w:val="0"/>
        <w:autoSpaceDE w:val="0"/>
        <w:autoSpaceDN w:val="0"/>
        <w:adjustRightInd w:val="0"/>
        <w:spacing w:after="200"/>
        <w:ind w:right="-6"/>
        <w:jc w:val="both"/>
        <w:rPr>
          <w:rFonts w:ascii="Cambria" w:hAnsi="Cambria" w:cs="Cambria"/>
          <w:color w:val="1C1E29"/>
          <w:lang w:val="en-GB"/>
        </w:rPr>
      </w:pPr>
      <w:r>
        <w:rPr>
          <w:rFonts w:ascii="Cambria" w:hAnsi="Cambria" w:cs="Cambria"/>
          <w:color w:val="1C1E29"/>
          <w:lang w:val="en-GB"/>
        </w:rPr>
        <w:t>The laws and regulations on sustainable cities and communities for persons with disabilities are as follows (Department of Transportation, 2019):</w:t>
      </w:r>
    </w:p>
    <w:p w14:paraId="0F376834" w14:textId="77777777" w:rsidR="00622BC0" w:rsidRDefault="00826C5A">
      <w:pPr>
        <w:widowControl w:val="0"/>
        <w:autoSpaceDE w:val="0"/>
        <w:autoSpaceDN w:val="0"/>
        <w:adjustRightInd w:val="0"/>
        <w:ind w:leftChars="100" w:left="715" w:right="-6" w:hangingChars="198" w:hanging="475"/>
        <w:jc w:val="both"/>
        <w:rPr>
          <w:rFonts w:ascii="Calibri" w:hAnsi="Calibri" w:cs="Calibri"/>
          <w:lang w:val="en-GB"/>
        </w:rPr>
      </w:pPr>
      <w:r>
        <w:rPr>
          <w:rFonts w:ascii="Helvetica" w:hAnsi="Helvetica" w:cs="Helvetica"/>
          <w:lang w:val="en-GB"/>
        </w:rPr>
        <w:t>●</w:t>
      </w:r>
      <w:r>
        <w:rPr>
          <w:rFonts w:ascii="Helvetica" w:hAnsi="Helvetica" w:cs="Helvetica"/>
          <w:lang w:val="en-GB"/>
        </w:rPr>
        <w:tab/>
      </w:r>
      <w:r>
        <w:rPr>
          <w:rFonts w:ascii="Cambria" w:hAnsi="Cambria" w:cs="Cambria"/>
          <w:lang w:val="en-GB"/>
        </w:rPr>
        <w:t>Item 2.1.3 of the Accessibility, and Item 5.2. Modernisation of Public Transport following the Philippines National Standards of Department of Trade and Industry of Department of Transportation Department Order No. 2017-011, "Omnibus Guidelines on the Planning and Identification of Public Road Transportation Services and Franchise Issuance or known as Omnibus Franchising Guidelines (OFG);</w:t>
      </w:r>
    </w:p>
    <w:p w14:paraId="5BA555CD" w14:textId="77777777" w:rsidR="00622BC0" w:rsidRDefault="00826C5A">
      <w:pPr>
        <w:widowControl w:val="0"/>
        <w:autoSpaceDE w:val="0"/>
        <w:autoSpaceDN w:val="0"/>
        <w:adjustRightInd w:val="0"/>
        <w:ind w:leftChars="100" w:left="715" w:right="-6" w:hangingChars="198" w:hanging="475"/>
        <w:jc w:val="both"/>
        <w:rPr>
          <w:rFonts w:ascii="Calibri" w:hAnsi="Calibri" w:cs="Calibri"/>
          <w:lang w:val="en-GB"/>
        </w:rPr>
      </w:pPr>
      <w:r>
        <w:rPr>
          <w:rFonts w:ascii="Helvetica" w:hAnsi="Helvetica" w:cs="Helvetica"/>
          <w:lang w:val="en-GB"/>
        </w:rPr>
        <w:t>●</w:t>
      </w:r>
      <w:r>
        <w:rPr>
          <w:rFonts w:ascii="Helvetica" w:hAnsi="Helvetica" w:cs="Helvetica"/>
          <w:lang w:val="en-GB"/>
        </w:rPr>
        <w:tab/>
      </w:r>
      <w:r>
        <w:rPr>
          <w:rFonts w:ascii="Cambria" w:hAnsi="Cambria" w:cs="Cambria"/>
          <w:lang w:val="en-GB"/>
        </w:rPr>
        <w:t>Department Order No. 2018 Establishment of Programme Management Offices for the Implementation of the Public Utility Vehicle Modernisation Programme (PUVMP);</w:t>
      </w:r>
    </w:p>
    <w:p w14:paraId="70D97B2D" w14:textId="77777777" w:rsidR="00622BC0" w:rsidRDefault="00826C5A">
      <w:pPr>
        <w:widowControl w:val="0"/>
        <w:autoSpaceDE w:val="0"/>
        <w:autoSpaceDN w:val="0"/>
        <w:adjustRightInd w:val="0"/>
        <w:ind w:leftChars="100" w:left="715" w:right="-6" w:hangingChars="198" w:hanging="475"/>
        <w:jc w:val="both"/>
        <w:rPr>
          <w:rFonts w:ascii="Calibri" w:hAnsi="Calibri" w:cs="Calibri"/>
          <w:lang w:val="en-GB"/>
        </w:rPr>
      </w:pPr>
      <w:r>
        <w:rPr>
          <w:rFonts w:ascii="Helvetica" w:hAnsi="Helvetica" w:cs="Helvetica"/>
          <w:lang w:val="en-GB"/>
        </w:rPr>
        <w:t>●</w:t>
      </w:r>
      <w:r>
        <w:rPr>
          <w:rFonts w:ascii="Helvetica" w:hAnsi="Helvetica" w:cs="Helvetica"/>
          <w:lang w:val="en-GB"/>
        </w:rPr>
        <w:tab/>
      </w:r>
      <w:r>
        <w:rPr>
          <w:rFonts w:ascii="Cambria" w:hAnsi="Cambria" w:cs="Cambria"/>
          <w:lang w:val="en-GB"/>
        </w:rPr>
        <w:t>Department of Transportation - LTFRB Memorandum Circular No. 2018-006 Guidelines for the PUVMP Initial Implementation under Department Order 2017- 011;</w:t>
      </w:r>
    </w:p>
    <w:p w14:paraId="62576827" w14:textId="77777777" w:rsidR="00622BC0" w:rsidRDefault="00826C5A">
      <w:pPr>
        <w:widowControl w:val="0"/>
        <w:autoSpaceDE w:val="0"/>
        <w:autoSpaceDN w:val="0"/>
        <w:adjustRightInd w:val="0"/>
        <w:ind w:leftChars="100" w:left="715" w:right="-6" w:hangingChars="198" w:hanging="475"/>
        <w:jc w:val="both"/>
        <w:rPr>
          <w:rFonts w:ascii="Calibri" w:hAnsi="Calibri" w:cs="Calibri"/>
          <w:lang w:val="en-GB"/>
        </w:rPr>
      </w:pPr>
      <w:r>
        <w:rPr>
          <w:rFonts w:ascii="Helvetica" w:hAnsi="Helvetica" w:cs="Helvetica"/>
          <w:lang w:val="en-GB"/>
        </w:rPr>
        <w:t>●</w:t>
      </w:r>
      <w:r>
        <w:rPr>
          <w:rFonts w:ascii="Helvetica" w:hAnsi="Helvetica" w:cs="Helvetica"/>
          <w:lang w:val="en-GB"/>
        </w:rPr>
        <w:tab/>
      </w:r>
      <w:r>
        <w:rPr>
          <w:rFonts w:ascii="Cambria" w:hAnsi="Cambria" w:cs="Cambria"/>
          <w:lang w:val="en-GB"/>
        </w:rPr>
        <w:t>Department Order No. 2014-013 Policies on Transport Accessibility;</w:t>
      </w:r>
    </w:p>
    <w:p w14:paraId="4E439548" w14:textId="77777777" w:rsidR="00622BC0" w:rsidRDefault="00826C5A">
      <w:pPr>
        <w:widowControl w:val="0"/>
        <w:autoSpaceDE w:val="0"/>
        <w:autoSpaceDN w:val="0"/>
        <w:adjustRightInd w:val="0"/>
        <w:ind w:leftChars="100" w:left="715" w:right="-6" w:hangingChars="198" w:hanging="475"/>
        <w:jc w:val="both"/>
        <w:rPr>
          <w:rFonts w:ascii="Calibri" w:hAnsi="Calibri" w:cs="Calibri"/>
          <w:lang w:val="en-GB"/>
        </w:rPr>
      </w:pPr>
      <w:r>
        <w:rPr>
          <w:rFonts w:ascii="Helvetica" w:hAnsi="Helvetica" w:cs="Helvetica"/>
          <w:lang w:val="en-GB"/>
        </w:rPr>
        <w:t>●</w:t>
      </w:r>
      <w:r>
        <w:rPr>
          <w:rFonts w:ascii="Helvetica" w:hAnsi="Helvetica" w:cs="Helvetica"/>
          <w:lang w:val="en-GB"/>
        </w:rPr>
        <w:tab/>
      </w:r>
      <w:r>
        <w:rPr>
          <w:rFonts w:ascii="Cambria" w:hAnsi="Cambria" w:cs="Cambria"/>
          <w:lang w:val="en-GB"/>
        </w:rPr>
        <w:t>Amended Department of Transportation Task Force on Accessibility (May 16, 2019);</w:t>
      </w:r>
    </w:p>
    <w:p w14:paraId="11C2C154" w14:textId="77777777" w:rsidR="00622BC0" w:rsidRDefault="00826C5A">
      <w:pPr>
        <w:widowControl w:val="0"/>
        <w:autoSpaceDE w:val="0"/>
        <w:autoSpaceDN w:val="0"/>
        <w:adjustRightInd w:val="0"/>
        <w:ind w:leftChars="100" w:left="715" w:right="-6" w:hangingChars="198" w:hanging="475"/>
        <w:jc w:val="both"/>
        <w:rPr>
          <w:rFonts w:ascii="Calibri" w:hAnsi="Calibri" w:cs="Calibri"/>
          <w:lang w:val="en-GB"/>
        </w:rPr>
      </w:pPr>
      <w:r>
        <w:rPr>
          <w:rFonts w:ascii="Helvetica" w:hAnsi="Helvetica" w:cs="Helvetica"/>
          <w:lang w:val="en-GB"/>
        </w:rPr>
        <w:t>●</w:t>
      </w:r>
      <w:r>
        <w:rPr>
          <w:rFonts w:ascii="Helvetica" w:hAnsi="Helvetica" w:cs="Helvetica"/>
          <w:lang w:val="en-GB"/>
        </w:rPr>
        <w:tab/>
      </w:r>
      <w:r>
        <w:rPr>
          <w:rFonts w:ascii="Cambria" w:hAnsi="Cambria" w:cs="Cambria"/>
          <w:lang w:val="en-GB"/>
        </w:rPr>
        <w:t>Department of Transportation - LTFRB Memorandum Circular 2017 - 030 Guidelines for Off-Street Terminal Operations, Section III, Standard Requirements;</w:t>
      </w:r>
    </w:p>
    <w:p w14:paraId="777F62A4" w14:textId="77777777" w:rsidR="00622BC0" w:rsidRDefault="00826C5A">
      <w:pPr>
        <w:widowControl w:val="0"/>
        <w:autoSpaceDE w:val="0"/>
        <w:autoSpaceDN w:val="0"/>
        <w:adjustRightInd w:val="0"/>
        <w:ind w:leftChars="100" w:left="715" w:right="-6" w:hangingChars="198" w:hanging="475"/>
        <w:jc w:val="both"/>
        <w:rPr>
          <w:rFonts w:ascii="Calibri" w:hAnsi="Calibri" w:cs="Calibri"/>
          <w:lang w:val="en-GB"/>
        </w:rPr>
      </w:pPr>
      <w:r>
        <w:rPr>
          <w:rFonts w:ascii="Helvetica" w:hAnsi="Helvetica" w:cs="Helvetica"/>
          <w:color w:val="1C1E29"/>
          <w:lang w:val="en-GB"/>
        </w:rPr>
        <w:t>●</w:t>
      </w:r>
      <w:r>
        <w:rPr>
          <w:rFonts w:ascii="Helvetica" w:hAnsi="Helvetica" w:cs="Helvetica"/>
          <w:color w:val="1C1E29"/>
          <w:lang w:val="en-GB"/>
        </w:rPr>
        <w:tab/>
      </w:r>
      <w:r>
        <w:rPr>
          <w:rFonts w:ascii="Cambria" w:hAnsi="Cambria" w:cs="Cambria"/>
          <w:color w:val="1C1E29"/>
          <w:lang w:val="en-GB"/>
        </w:rPr>
        <w:t>Philippines Road Safety Action Plan 2017 - 2022 (First 5 years);</w:t>
      </w:r>
    </w:p>
    <w:p w14:paraId="6CF83772" w14:textId="77777777" w:rsidR="00622BC0" w:rsidRDefault="00826C5A">
      <w:pPr>
        <w:widowControl w:val="0"/>
        <w:autoSpaceDE w:val="0"/>
        <w:autoSpaceDN w:val="0"/>
        <w:adjustRightInd w:val="0"/>
        <w:ind w:leftChars="100" w:left="715" w:right="-6" w:hangingChars="198" w:hanging="475"/>
        <w:jc w:val="both"/>
        <w:rPr>
          <w:rFonts w:ascii="Calibri" w:hAnsi="Calibri" w:cs="Calibri"/>
          <w:lang w:val="en-GB"/>
        </w:rPr>
      </w:pPr>
      <w:r>
        <w:rPr>
          <w:rFonts w:ascii="Helvetica" w:hAnsi="Helvetica" w:cs="Helvetica"/>
          <w:color w:val="1C1E29"/>
          <w:lang w:val="en-GB"/>
        </w:rPr>
        <w:t>●</w:t>
      </w:r>
      <w:r>
        <w:rPr>
          <w:rFonts w:ascii="Helvetica" w:hAnsi="Helvetica" w:cs="Helvetica"/>
          <w:color w:val="1C1E29"/>
          <w:lang w:val="en-GB"/>
        </w:rPr>
        <w:tab/>
      </w:r>
      <w:r>
        <w:rPr>
          <w:rFonts w:ascii="Cambria" w:hAnsi="Cambria" w:cs="Cambria"/>
          <w:color w:val="1C1E29"/>
          <w:lang w:val="en-GB"/>
        </w:rPr>
        <w:t>The Philippines Road Safety Action Plan 2017 – 2022 that by of 2030, provides access to the safe, affordable, accessible and sustainable transport system for all, improving road safety, notably by expanding public transport, with particular attention to the needs of those in vulnerable situations, women, children, persons with disabilities and older persons;</w:t>
      </w:r>
    </w:p>
    <w:p w14:paraId="0973F2A6" w14:textId="77777777" w:rsidR="00622BC0" w:rsidRPr="00826C5A" w:rsidRDefault="00826C5A">
      <w:pPr>
        <w:widowControl w:val="0"/>
        <w:autoSpaceDE w:val="0"/>
        <w:autoSpaceDN w:val="0"/>
        <w:adjustRightInd w:val="0"/>
        <w:ind w:leftChars="100" w:left="715" w:right="-6" w:hangingChars="198" w:hanging="475"/>
        <w:jc w:val="both"/>
        <w:rPr>
          <w:rFonts w:ascii="Calibri" w:hAnsi="Calibri" w:cs="Calibri"/>
          <w:lang w:val="en-GB"/>
        </w:rPr>
      </w:pPr>
      <w:r>
        <w:rPr>
          <w:rFonts w:ascii="Helvetica" w:hAnsi="Helvetica" w:cs="Helvetica"/>
          <w:color w:val="1C1E29"/>
          <w:lang w:val="en-GB"/>
        </w:rPr>
        <w:t>●</w:t>
      </w:r>
      <w:r>
        <w:rPr>
          <w:rFonts w:ascii="Helvetica" w:hAnsi="Helvetica" w:cs="Helvetica"/>
          <w:color w:val="1C1E29"/>
          <w:lang w:val="en-GB"/>
        </w:rPr>
        <w:tab/>
      </w:r>
      <w:r>
        <w:rPr>
          <w:rFonts w:ascii="Cambria" w:hAnsi="Cambria" w:cs="Cambria"/>
          <w:color w:val="1C1E29"/>
          <w:lang w:val="en-GB"/>
        </w:rPr>
        <w:t xml:space="preserve">Department of </w:t>
      </w:r>
      <w:r w:rsidRPr="00826C5A">
        <w:rPr>
          <w:rFonts w:ascii="Cambria" w:hAnsi="Cambria" w:cs="Cambria"/>
          <w:color w:val="1C1E29"/>
          <w:lang w:val="en-GB"/>
        </w:rPr>
        <w:t>Transportation Order no.37 Series of 2009 was issued for the Enforcement of the Accessibility Law BP 344 along National Roads.</w:t>
      </w:r>
    </w:p>
    <w:p w14:paraId="403082E0" w14:textId="77777777" w:rsidR="00622BC0" w:rsidRPr="00826C5A" w:rsidRDefault="00622BC0">
      <w:pPr>
        <w:widowControl w:val="0"/>
        <w:autoSpaceDE w:val="0"/>
        <w:autoSpaceDN w:val="0"/>
        <w:adjustRightInd w:val="0"/>
        <w:spacing w:after="200"/>
        <w:ind w:right="-6"/>
        <w:jc w:val="both"/>
        <w:rPr>
          <w:rFonts w:ascii="Cambria" w:hAnsi="Cambria" w:cs="Cambria"/>
          <w:color w:val="1C1E29"/>
          <w:lang w:val="en-GB"/>
        </w:rPr>
      </w:pPr>
    </w:p>
    <w:p w14:paraId="2019AA89" w14:textId="77777777" w:rsidR="00622BC0" w:rsidRPr="00826C5A" w:rsidRDefault="00826C5A">
      <w:pPr>
        <w:widowControl w:val="0"/>
        <w:autoSpaceDE w:val="0"/>
        <w:autoSpaceDN w:val="0"/>
        <w:adjustRightInd w:val="0"/>
        <w:spacing w:after="200"/>
        <w:ind w:right="-6"/>
        <w:rPr>
          <w:rFonts w:ascii="Cambria" w:hAnsi="Cambria" w:cs="Cambria"/>
          <w:b/>
          <w:bCs/>
          <w:lang w:val="en-GB"/>
        </w:rPr>
      </w:pPr>
      <w:r w:rsidRPr="00826C5A">
        <w:rPr>
          <w:rFonts w:ascii="Cambria" w:hAnsi="Cambria" w:cs="Cambria"/>
          <w:b/>
          <w:bCs/>
          <w:lang w:val="en-GB"/>
        </w:rPr>
        <w:t>Implementation and Programmes</w:t>
      </w:r>
    </w:p>
    <w:p w14:paraId="13B01779" w14:textId="77777777" w:rsidR="00622BC0" w:rsidRDefault="00826C5A">
      <w:pPr>
        <w:widowControl w:val="0"/>
        <w:autoSpaceDE w:val="0"/>
        <w:autoSpaceDN w:val="0"/>
        <w:adjustRightInd w:val="0"/>
        <w:spacing w:after="200"/>
        <w:ind w:right="-6"/>
        <w:jc w:val="both"/>
        <w:rPr>
          <w:rFonts w:ascii="Cambria" w:hAnsi="Cambria" w:cs="Cambria"/>
          <w:color w:val="1C1E29"/>
          <w:lang w:val="en-GB"/>
        </w:rPr>
      </w:pPr>
      <w:r w:rsidRPr="00826C5A">
        <w:rPr>
          <w:rFonts w:ascii="Cambria" w:hAnsi="Cambria" w:cs="Cambria"/>
          <w:color w:val="1C1E29"/>
          <w:lang w:val="en-GB"/>
        </w:rPr>
        <w:t>Led by the NCDA, the Non-Handicapping Environment for Persons with Disabilities Project intends to address the</w:t>
      </w:r>
      <w:r>
        <w:rPr>
          <w:rFonts w:ascii="Cambria" w:hAnsi="Cambria" w:cs="Cambria"/>
          <w:color w:val="1C1E29"/>
          <w:lang w:val="en-GB"/>
        </w:rPr>
        <w:t xml:space="preserve"> issue of accessibility of persons with disabilities by eliminating the barriers present in the society. The project looks at the physical environment, information and communication, regulation and systems, thoughts, and attitudes. It has five components implementing mechanism, profiling (includes data gathering), capacity development (training), advocacy (addressing attitudinal barriers and community awareness), and networking (with other stakeholders including LGUs). </w:t>
      </w:r>
    </w:p>
    <w:p w14:paraId="65813E4B"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color w:val="1C1E29"/>
          <w:lang w:val="en-GB"/>
        </w:rPr>
        <w:t>On the other hand, the Department of Public Works and highways (DPWH) measures to implement legislation and policies on measurable accommodation and universal design and outcome measures. The state, through the DPWH, directs local buildings to strictly enforce the provisions of The Accessibility Law and other measures necessary to effect the persons with disabilities Accessibility Standards.</w:t>
      </w:r>
    </w:p>
    <w:p w14:paraId="2A3FAC13" w14:textId="77777777" w:rsidR="00622BC0" w:rsidRDefault="00826C5A">
      <w:pPr>
        <w:widowControl w:val="0"/>
        <w:autoSpaceDE w:val="0"/>
        <w:autoSpaceDN w:val="0"/>
        <w:adjustRightInd w:val="0"/>
        <w:spacing w:before="240" w:after="240"/>
        <w:ind w:right="-6"/>
        <w:jc w:val="both"/>
        <w:rPr>
          <w:rFonts w:ascii="Cambria" w:hAnsi="Cambria" w:cs="Cambria"/>
          <w:color w:val="1C1E29"/>
          <w:lang w:val="en-GB"/>
        </w:rPr>
      </w:pPr>
      <w:r>
        <w:rPr>
          <w:rFonts w:ascii="Cambria" w:hAnsi="Cambria" w:cs="Cambria"/>
          <w:color w:val="1C1E29"/>
          <w:lang w:val="en-GB"/>
        </w:rPr>
        <w:t xml:space="preserve">The Department of Interior and Local Government has a Seal of Local Governance programme that rates the degree of implementation of the Accessibility Law based on the Universal Design Concept. In 2017, DILG awarded the Seal to 306 Local Government Units (LGUs) composed of 43 provinces, 51 cities, and 212 municipalities out of the 1,715 LGUs in the country that met the standards of accessibility and reasonable accommodation to persons with disabilities on 2016 </w:t>
      </w:r>
      <w:r>
        <w:rPr>
          <w:rFonts w:ascii="Cambria" w:hAnsi="Cambria" w:cs="Cambria"/>
          <w:lang w:val="en-GB"/>
        </w:rPr>
        <w:t>(List of Issue CRPD, 2018)</w:t>
      </w:r>
      <w:r>
        <w:rPr>
          <w:rFonts w:ascii="Cambria" w:hAnsi="Cambria" w:cs="Cambria"/>
          <w:color w:val="1C1E29"/>
          <w:lang w:val="en-GB"/>
        </w:rPr>
        <w:t>.</w:t>
      </w:r>
    </w:p>
    <w:p w14:paraId="67B90CCC" w14:textId="77777777" w:rsidR="00622BC0" w:rsidRDefault="00826C5A">
      <w:pPr>
        <w:widowControl w:val="0"/>
        <w:autoSpaceDE w:val="0"/>
        <w:autoSpaceDN w:val="0"/>
        <w:adjustRightInd w:val="0"/>
        <w:spacing w:before="240" w:after="240"/>
        <w:ind w:right="-6"/>
        <w:jc w:val="both"/>
        <w:rPr>
          <w:rFonts w:ascii="Cambria" w:hAnsi="Cambria" w:cs="Cambria"/>
          <w:color w:val="1C1E29"/>
          <w:lang w:val="en-GB"/>
        </w:rPr>
      </w:pPr>
      <w:r>
        <w:rPr>
          <w:rFonts w:ascii="Cambria" w:hAnsi="Cambria" w:cs="Cambria"/>
          <w:color w:val="1C1E29"/>
          <w:lang w:val="en-GB"/>
        </w:rPr>
        <w:t xml:space="preserve">Overall, the buildings, facilitation, communication, and other means of lives independently for persons with disabilities might not have been implemented thoroughly. Building audit was undertaken in 2010 by The Department of Public Works and Highways (DPWH), with a result only 1291 out of 6285 monitored buildings were found to be accessibility compliant (Philippines CRPD State Report, 2014). Also, in 2011, the DPWH instructed all City and Municipal Building Officials to implement the provisions of B.P 344, which stipulates the building permits and certificate of the building shall be evaluated based on the Accessibility Law. </w:t>
      </w:r>
    </w:p>
    <w:p w14:paraId="412CDB48" w14:textId="6C0C978A"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Participation of Civil Society and OPD</w:t>
      </w:r>
      <w:r w:rsidR="0067025E">
        <w:rPr>
          <w:rFonts w:ascii="Cambria" w:hAnsi="Cambria" w:cs="Cambria"/>
          <w:b/>
          <w:bCs/>
          <w:lang w:val="en-GB"/>
        </w:rPr>
        <w:t>s</w:t>
      </w:r>
    </w:p>
    <w:p w14:paraId="70E52595" w14:textId="77777777" w:rsidR="00622BC0" w:rsidRDefault="00826C5A">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Private individuals and persons with disabilities are invited to consultation meetings, but the place of meeting is always inaccessible. Persons with disabilities are invited, especially in Manila, but some of them cannot attend meetings because of financial constraints and other difficulties. Even more, the single entrance for wheelchairs is not available in hotels or public buildings (CRPD Convenor, Benjamin Jun </w:t>
      </w:r>
      <w:proofErr w:type="spellStart"/>
      <w:r>
        <w:rPr>
          <w:rFonts w:ascii="Cambria" w:hAnsi="Cambria" w:cs="Cambria"/>
          <w:lang w:val="en-GB"/>
        </w:rPr>
        <w:t>Bernandino</w:t>
      </w:r>
      <w:proofErr w:type="spellEnd"/>
      <w:r>
        <w:rPr>
          <w:rFonts w:ascii="Cambria" w:hAnsi="Cambria" w:cs="Cambria"/>
          <w:lang w:val="en-GB"/>
        </w:rPr>
        <w:t>, 2019).</w:t>
      </w:r>
    </w:p>
    <w:p w14:paraId="21DFA976" w14:textId="79C174E0" w:rsidR="00622BC0" w:rsidRDefault="00826C5A">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The organisations of disabilities have the Alternative Budget Initiative, where many of those organisations are clustered into Education, Health, Social Protection, Environment, and Agriculture. At least the OPD</w:t>
      </w:r>
      <w:r w:rsidR="0067025E">
        <w:rPr>
          <w:rFonts w:ascii="Cambria" w:hAnsi="Cambria" w:cs="Cambria"/>
          <w:lang w:val="en-GB"/>
        </w:rPr>
        <w:t>s</w:t>
      </w:r>
      <w:r>
        <w:rPr>
          <w:rFonts w:ascii="Cambria" w:hAnsi="Cambria" w:cs="Cambria"/>
          <w:lang w:val="en-GB"/>
        </w:rPr>
        <w:t xml:space="preserve"> have five clusters, and many of the organisations focus on these five thematic areas. Regularly the OPD</w:t>
      </w:r>
      <w:r w:rsidR="0067025E">
        <w:rPr>
          <w:rFonts w:ascii="Cambria" w:hAnsi="Cambria" w:cs="Cambria"/>
          <w:lang w:val="en-GB"/>
        </w:rPr>
        <w:t>s</w:t>
      </w:r>
      <w:r>
        <w:rPr>
          <w:rFonts w:ascii="Cambria" w:hAnsi="Cambria" w:cs="Cambria"/>
          <w:lang w:val="en-GB"/>
        </w:rPr>
        <w:t xml:space="preserve"> scrutinise as well as analysis the budget of the agencies of Department of Social Welfare and Development (DSWD), Department of Education, Department of Health (DOH), Department of Agriculture (DA), and Department of Natural Resources (DENR) about the needs of people with disabilities. In addition to that, the OPD</w:t>
      </w:r>
      <w:r w:rsidR="0067025E">
        <w:rPr>
          <w:rFonts w:ascii="Cambria" w:hAnsi="Cambria" w:cs="Cambria"/>
          <w:lang w:val="en-GB"/>
        </w:rPr>
        <w:t>s</w:t>
      </w:r>
      <w:r>
        <w:rPr>
          <w:rFonts w:ascii="Cambria" w:hAnsi="Cambria" w:cs="Cambria"/>
          <w:lang w:val="en-GB"/>
        </w:rPr>
        <w:t xml:space="preserve"> also point out a weak point and what items and purposes they would like the budgets to go up for (Social Watch Philippines, 2019).</w:t>
      </w:r>
    </w:p>
    <w:p w14:paraId="1C74CFBD" w14:textId="77777777" w:rsidR="00622BC0" w:rsidRDefault="00622BC0">
      <w:pPr>
        <w:widowControl w:val="0"/>
        <w:autoSpaceDE w:val="0"/>
        <w:autoSpaceDN w:val="0"/>
        <w:adjustRightInd w:val="0"/>
        <w:spacing w:before="240" w:after="240"/>
        <w:ind w:right="-6"/>
        <w:jc w:val="both"/>
        <w:rPr>
          <w:rFonts w:ascii="Cambria" w:hAnsi="Cambria" w:cs="Cambria"/>
          <w:lang w:val="en-GB"/>
        </w:rPr>
      </w:pPr>
    </w:p>
    <w:p w14:paraId="48523E28" w14:textId="77777777" w:rsidR="00622BC0" w:rsidRDefault="00826C5A">
      <w:pPr>
        <w:widowControl w:val="0"/>
        <w:numPr>
          <w:ilvl w:val="0"/>
          <w:numId w:val="14"/>
        </w:numPr>
        <w:autoSpaceDE w:val="0"/>
        <w:autoSpaceDN w:val="0"/>
        <w:adjustRightInd w:val="0"/>
        <w:spacing w:after="200"/>
        <w:ind w:left="399" w:right="-6" w:hanging="399"/>
        <w:jc w:val="both"/>
        <w:rPr>
          <w:rFonts w:ascii="Cambria" w:hAnsi="Cambria" w:cs="Cambria"/>
          <w:b/>
          <w:bCs/>
          <w:lang w:val="en-GB"/>
        </w:rPr>
      </w:pPr>
      <w:r>
        <w:rPr>
          <w:rFonts w:ascii="Cambria" w:hAnsi="Cambria" w:cs="Cambria"/>
          <w:b/>
          <w:bCs/>
          <w:lang w:val="en-GB"/>
        </w:rPr>
        <w:t>Challenges and Recommendations for the Implementation of CRPD and SDGs in the Philippines</w:t>
      </w:r>
    </w:p>
    <w:p w14:paraId="16275CBA" w14:textId="77777777" w:rsidR="00622BC0" w:rsidRDefault="00826C5A">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There are many sub-agencies in the Philippines, and each agency has its role, and some may function other rules. Each department is part of a committee focusing on different assignments and focuses on each own service, such as services in the Department of Health, Department of Education, and department of transportation are similar.</w:t>
      </w:r>
    </w:p>
    <w:p w14:paraId="7F1CF706" w14:textId="77777777" w:rsidR="00622BC0" w:rsidRDefault="00826C5A">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It goes the same to persons with disabilities whose separate advocacy like accessibility, health, mental health, children, and others. In the Philippines, there are various groups and organisations, and each one may be focused on different advocacy. </w:t>
      </w:r>
    </w:p>
    <w:p w14:paraId="153DAEDF" w14:textId="77777777" w:rsidR="00622BC0" w:rsidRDefault="00826C5A">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The available resources and data of persons with disabilities are also vast and very difficult to prioritise. The 2019 Voluntary National Review (VNR) is a big help, but some SDGs were not evaluated in contrast to the Shadow Report, which is a very detailed representation. </w:t>
      </w:r>
    </w:p>
    <w:p w14:paraId="7A6A6711" w14:textId="77777777" w:rsidR="00622BC0" w:rsidRDefault="00826C5A">
      <w:pPr>
        <w:widowControl w:val="0"/>
        <w:autoSpaceDE w:val="0"/>
        <w:autoSpaceDN w:val="0"/>
        <w:adjustRightInd w:val="0"/>
        <w:ind w:right="-6"/>
        <w:jc w:val="both"/>
        <w:rPr>
          <w:rFonts w:ascii="Cambria" w:hAnsi="Cambria" w:cs="Cambria"/>
          <w:color w:val="1C1E29"/>
          <w:lang w:val="en-GB"/>
        </w:rPr>
      </w:pPr>
      <w:r>
        <w:rPr>
          <w:rFonts w:ascii="Cambria" w:hAnsi="Cambria" w:cs="Cambria"/>
          <w:color w:val="1C1E29"/>
          <w:lang w:val="en-GB"/>
        </w:rPr>
        <w:t>The UN High-Level Panel has called for a data revolution. The world's population should be counted, measured, weighed, and evaluated. This information should be collected, compiled, aggregated, and presented in such a form that it can usefully inform policymakers and citizens in aggregated forms, and disaggregated according to region, village, and gender and population group.</w:t>
      </w:r>
    </w:p>
    <w:p w14:paraId="5F00F102" w14:textId="77777777" w:rsidR="00622BC0" w:rsidRDefault="00826C5A">
      <w:pPr>
        <w:widowControl w:val="0"/>
        <w:autoSpaceDE w:val="0"/>
        <w:autoSpaceDN w:val="0"/>
        <w:adjustRightInd w:val="0"/>
        <w:ind w:right="-6"/>
        <w:jc w:val="both"/>
        <w:rPr>
          <w:rFonts w:ascii="Cambria" w:hAnsi="Cambria" w:cs="Cambria"/>
          <w:color w:val="1C1E29"/>
          <w:lang w:val="en-GB"/>
        </w:rPr>
      </w:pPr>
      <w:r>
        <w:rPr>
          <w:rFonts w:ascii="Cambria" w:hAnsi="Cambria" w:cs="Cambria"/>
          <w:color w:val="1C1E29"/>
          <w:lang w:val="en-GB"/>
        </w:rPr>
        <w:t>In that sense, collaboration with the academic institution to ensure that direct research involving persons with disabilities is conducted to address data necessary, resources, the as well as eradication of the inequalities faced by persons with disabilities.</w:t>
      </w:r>
    </w:p>
    <w:p w14:paraId="422AC10E" w14:textId="77777777" w:rsidR="00622BC0" w:rsidRDefault="00826C5A">
      <w:pPr>
        <w:widowControl w:val="0"/>
        <w:autoSpaceDE w:val="0"/>
        <w:autoSpaceDN w:val="0"/>
        <w:adjustRightInd w:val="0"/>
        <w:ind w:right="-6"/>
        <w:jc w:val="both"/>
        <w:rPr>
          <w:rFonts w:ascii="Cambria" w:hAnsi="Cambria" w:cs="Cambria"/>
          <w:color w:val="1C1E29"/>
          <w:lang w:val="en-GB"/>
        </w:rPr>
      </w:pPr>
      <w:r>
        <w:rPr>
          <w:rFonts w:ascii="Cambria" w:hAnsi="Cambria" w:cs="Cambria"/>
          <w:color w:val="1C1E29"/>
          <w:lang w:val="en-GB"/>
        </w:rPr>
        <w:t>Regarding UNCRPD, it appears that people have been analysing their viability. The three pillars of sustainability framework is a multidisciplinary implementation, and a solutions-oriented approach that recognises the most successful and scale-able sustainability solutions require the presence of and are driven by all three pillars simultaneously; namely,</w:t>
      </w:r>
    </w:p>
    <w:p w14:paraId="7D3CFC11" w14:textId="77777777" w:rsidR="00622BC0" w:rsidRDefault="00826C5A">
      <w:pPr>
        <w:widowControl w:val="0"/>
        <w:autoSpaceDE w:val="0"/>
        <w:autoSpaceDN w:val="0"/>
        <w:adjustRightInd w:val="0"/>
        <w:ind w:left="400" w:right="-6"/>
        <w:jc w:val="both"/>
        <w:rPr>
          <w:rFonts w:ascii="Cambria" w:hAnsi="Cambria" w:cs="Cambria"/>
          <w:color w:val="1C1E29"/>
          <w:lang w:val="en-GB"/>
        </w:rPr>
      </w:pPr>
      <w:r>
        <w:rPr>
          <w:rFonts w:ascii="Cambria" w:hAnsi="Cambria" w:cs="Cambria"/>
          <w:color w:val="1C1E29"/>
          <w:lang w:val="en-GB"/>
        </w:rPr>
        <w:t>1)</w:t>
      </w:r>
      <w:r>
        <w:rPr>
          <w:rFonts w:ascii="Cambria" w:hAnsi="Cambria" w:cs="Cambria"/>
          <w:color w:val="1C1E29"/>
          <w:lang w:val="en-GB"/>
        </w:rPr>
        <w:tab/>
        <w:t xml:space="preserve">technology and innovation; </w:t>
      </w:r>
    </w:p>
    <w:p w14:paraId="279F0B0B" w14:textId="77777777" w:rsidR="00622BC0" w:rsidRDefault="00826C5A">
      <w:pPr>
        <w:widowControl w:val="0"/>
        <w:autoSpaceDE w:val="0"/>
        <w:autoSpaceDN w:val="0"/>
        <w:adjustRightInd w:val="0"/>
        <w:ind w:left="400" w:right="-6"/>
        <w:jc w:val="both"/>
        <w:rPr>
          <w:rFonts w:ascii="Cambria" w:hAnsi="Cambria" w:cs="Cambria"/>
          <w:color w:val="1C1E29"/>
          <w:lang w:val="en-GB"/>
        </w:rPr>
      </w:pPr>
      <w:r>
        <w:rPr>
          <w:rFonts w:ascii="Cambria" w:hAnsi="Cambria" w:cs="Cambria"/>
          <w:color w:val="1C1E29"/>
          <w:lang w:val="en-GB"/>
        </w:rPr>
        <w:t>2)</w:t>
      </w:r>
      <w:r>
        <w:rPr>
          <w:rFonts w:ascii="Cambria" w:hAnsi="Cambria" w:cs="Cambria"/>
          <w:color w:val="1C1E29"/>
          <w:lang w:val="en-GB"/>
        </w:rPr>
        <w:tab/>
        <w:t>laws and governance; and</w:t>
      </w:r>
    </w:p>
    <w:p w14:paraId="1B776A02" w14:textId="77777777" w:rsidR="00622BC0" w:rsidRDefault="00826C5A">
      <w:pPr>
        <w:widowControl w:val="0"/>
        <w:autoSpaceDE w:val="0"/>
        <w:autoSpaceDN w:val="0"/>
        <w:adjustRightInd w:val="0"/>
        <w:ind w:left="400" w:right="-6"/>
        <w:jc w:val="both"/>
        <w:rPr>
          <w:rFonts w:ascii="Cambria" w:hAnsi="Cambria" w:cs="Cambria"/>
          <w:color w:val="1C1E29"/>
          <w:lang w:val="en-GB"/>
        </w:rPr>
      </w:pPr>
      <w:r>
        <w:rPr>
          <w:rFonts w:ascii="Cambria" w:hAnsi="Cambria" w:cs="Cambria"/>
          <w:color w:val="1C1E29"/>
          <w:lang w:val="en-GB"/>
        </w:rPr>
        <w:t>3)</w:t>
      </w:r>
      <w:r>
        <w:rPr>
          <w:rFonts w:ascii="Cambria" w:hAnsi="Cambria" w:cs="Cambria"/>
          <w:color w:val="1C1E29"/>
          <w:lang w:val="en-GB"/>
        </w:rPr>
        <w:tab/>
        <w:t>economics, and financial incentives.</w:t>
      </w:r>
    </w:p>
    <w:p w14:paraId="4F2A8D5E" w14:textId="77777777" w:rsidR="00622BC0" w:rsidRDefault="00826C5A">
      <w:pPr>
        <w:widowControl w:val="0"/>
        <w:autoSpaceDE w:val="0"/>
        <w:autoSpaceDN w:val="0"/>
        <w:adjustRightInd w:val="0"/>
        <w:ind w:right="-6"/>
        <w:jc w:val="both"/>
        <w:rPr>
          <w:rFonts w:ascii="Cambria" w:hAnsi="Cambria" w:cs="Cambria"/>
          <w:color w:val="1C1E29"/>
          <w:lang w:val="en-GB"/>
        </w:rPr>
      </w:pPr>
      <w:r>
        <w:rPr>
          <w:rFonts w:ascii="Cambria" w:hAnsi="Cambria" w:cs="Cambria"/>
          <w:color w:val="1C1E29"/>
          <w:lang w:val="en-GB"/>
        </w:rPr>
        <w:t>The three pillars framework is strategic because it often reveals or describes specific and feasible changes that advance sustainability solutions within markets and institutional settings (Clune and Zehnder, 2018). The government is expected to formulate policies that support all persons with disabilities to involve in research, education, health, well-being, and many other fields. Through these, all persons with disabilities must be counted and registered equally in development, policy-making, and monitoring-evaluation processes.</w:t>
      </w:r>
    </w:p>
    <w:p w14:paraId="2E7E234B" w14:textId="77777777" w:rsidR="00622BC0" w:rsidRDefault="00826C5A">
      <w:pPr>
        <w:widowControl w:val="0"/>
        <w:autoSpaceDE w:val="0"/>
        <w:autoSpaceDN w:val="0"/>
        <w:adjustRightInd w:val="0"/>
        <w:spacing w:after="200"/>
        <w:ind w:right="-6"/>
        <w:rPr>
          <w:rFonts w:ascii="Cambria" w:hAnsi="Cambria" w:cs="Cambria"/>
          <w:color w:val="1C1E29"/>
          <w:lang w:val="en-GB"/>
        </w:rPr>
      </w:pPr>
      <w:r>
        <w:rPr>
          <w:rFonts w:ascii="Calibri" w:hAnsi="Calibri" w:cs="Calibri"/>
          <w:lang w:val="en-GB"/>
        </w:rPr>
        <w:br w:type="page"/>
      </w:r>
    </w:p>
    <w:p w14:paraId="381CCD69" w14:textId="77777777" w:rsidR="00622BC0" w:rsidRDefault="00826C5A">
      <w:pPr>
        <w:widowControl w:val="0"/>
        <w:autoSpaceDE w:val="0"/>
        <w:autoSpaceDN w:val="0"/>
        <w:adjustRightInd w:val="0"/>
        <w:spacing w:after="200" w:line="276" w:lineRule="auto"/>
        <w:ind w:right="-6"/>
        <w:jc w:val="center"/>
        <w:rPr>
          <w:rFonts w:ascii="Cambria" w:hAnsi="Cambria" w:cs="Cambria"/>
          <w:b/>
          <w:bCs/>
          <w:lang w:val="en-GB"/>
        </w:rPr>
      </w:pPr>
      <w:r>
        <w:rPr>
          <w:rFonts w:ascii="Cambria" w:hAnsi="Cambria" w:cs="Cambria"/>
          <w:b/>
          <w:bCs/>
          <w:lang w:val="en-GB"/>
        </w:rPr>
        <w:t>Chapter 4. Singapore’s Enabling Masterplan: No Persons with Disabilities Are Left Behind</w:t>
      </w:r>
    </w:p>
    <w:p w14:paraId="440114D4" w14:textId="77777777" w:rsidR="00622BC0" w:rsidRDefault="00826C5A">
      <w:pPr>
        <w:widowControl w:val="0"/>
        <w:autoSpaceDE w:val="0"/>
        <w:autoSpaceDN w:val="0"/>
        <w:adjustRightInd w:val="0"/>
        <w:spacing w:after="200" w:line="276" w:lineRule="auto"/>
        <w:ind w:right="-6"/>
        <w:jc w:val="center"/>
        <w:rPr>
          <w:rFonts w:ascii="Cambria" w:hAnsi="Cambria" w:cs="Cambria"/>
          <w:b/>
          <w:bCs/>
          <w:lang w:val="en-GB"/>
        </w:rPr>
      </w:pPr>
      <w:r>
        <w:rPr>
          <w:rFonts w:ascii="Cambria" w:hAnsi="Cambria" w:cs="Cambria"/>
          <w:b/>
          <w:bCs/>
          <w:lang w:val="en-GB"/>
        </w:rPr>
        <w:t>By Lim Chao Thong</w:t>
      </w:r>
    </w:p>
    <w:p w14:paraId="7888E121" w14:textId="77777777" w:rsidR="00622BC0" w:rsidRDefault="00622BC0">
      <w:pPr>
        <w:widowControl w:val="0"/>
        <w:autoSpaceDE w:val="0"/>
        <w:autoSpaceDN w:val="0"/>
        <w:adjustRightInd w:val="0"/>
        <w:spacing w:after="200"/>
        <w:ind w:right="-6"/>
        <w:jc w:val="both"/>
        <w:rPr>
          <w:rFonts w:ascii="Cambria" w:hAnsi="Cambria" w:cs="Cambria"/>
          <w:b/>
          <w:bCs/>
          <w:lang w:val="en-GB"/>
        </w:rPr>
      </w:pPr>
    </w:p>
    <w:p w14:paraId="3631A035"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1.</w:t>
      </w:r>
      <w:r>
        <w:rPr>
          <w:rFonts w:ascii="Cambria" w:hAnsi="Cambria" w:cs="Cambria"/>
          <w:b/>
          <w:bCs/>
          <w:lang w:val="en-GB"/>
        </w:rPr>
        <w:tab/>
        <w:t>Introduction</w:t>
      </w:r>
    </w:p>
    <w:p w14:paraId="28DBD66A" w14:textId="77777777" w:rsidR="00622BC0" w:rsidRDefault="00622BC0">
      <w:pPr>
        <w:widowControl w:val="0"/>
        <w:autoSpaceDE w:val="0"/>
        <w:autoSpaceDN w:val="0"/>
        <w:adjustRightInd w:val="0"/>
        <w:spacing w:after="200"/>
        <w:ind w:right="-6"/>
        <w:jc w:val="both"/>
        <w:rPr>
          <w:rFonts w:ascii="Cambria" w:hAnsi="Cambria" w:cs="Cambria"/>
          <w:b/>
          <w:bCs/>
          <w:lang w:val="en-GB"/>
        </w:rPr>
      </w:pPr>
    </w:p>
    <w:p w14:paraId="14BD6D16"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rPr>
        <w:t>A</w:t>
      </w:r>
      <w:proofErr w:type="spellStart"/>
      <w:r>
        <w:rPr>
          <w:rFonts w:ascii="Cambria" w:hAnsi="Cambria" w:cs="Cambria"/>
          <w:lang w:val="en-GB"/>
        </w:rPr>
        <w:t>ccording</w:t>
      </w:r>
      <w:proofErr w:type="spellEnd"/>
      <w:r>
        <w:rPr>
          <w:rFonts w:ascii="Cambria" w:hAnsi="Cambria" w:cs="Cambria"/>
          <w:lang w:val="en-GB"/>
        </w:rPr>
        <w:t xml:space="preserve"> to existing data from government agencies, it is estimated that approximately 3% of the resident population of Singapore has some form of disability, which fewer than the global disability percentage at 15% collected by the World Health Organisation (WHO). Persons with disabilities relating to sensory (hearing or visual) impairments and physical disabilities would constitute half of the disability group. The remainder would comprise of those with intellectual disabilities and autism spectrum disorder. The United Nations CRPD was signed by the Singapore Government on 30 November 2012 and ratified on 18 July 2013, with it coming into effect on 18 August 2013. Sustainable development has been one of the foundations for the policies on Singapore when Singapore became independent. </w:t>
      </w:r>
    </w:p>
    <w:p w14:paraId="420EB0E5" w14:textId="77777777" w:rsidR="00622BC0" w:rsidRDefault="00622BC0">
      <w:pPr>
        <w:widowControl w:val="0"/>
        <w:autoSpaceDE w:val="0"/>
        <w:autoSpaceDN w:val="0"/>
        <w:adjustRightInd w:val="0"/>
        <w:spacing w:after="200"/>
        <w:ind w:right="-6"/>
        <w:jc w:val="both"/>
        <w:rPr>
          <w:rFonts w:ascii="Cambria" w:hAnsi="Cambria" w:cs="Cambria"/>
          <w:lang w:val="en-GB"/>
        </w:rPr>
      </w:pPr>
    </w:p>
    <w:p w14:paraId="48A51B1B"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2.</w:t>
      </w:r>
      <w:r>
        <w:rPr>
          <w:rFonts w:ascii="Cambria" w:hAnsi="Cambria" w:cs="Cambria"/>
          <w:b/>
          <w:bCs/>
          <w:lang w:val="en-GB"/>
        </w:rPr>
        <w:tab/>
        <w:t>Preview Situation of Persons with Disabilities in Singapore</w:t>
      </w:r>
    </w:p>
    <w:p w14:paraId="010DB374"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Existing data from government agencies estimated that approximately 3% of the resident population has some form of disabilities. With Singaporeans living longer, it is estimated that those aged 60 and above will spend 3-8 years of their lives with some form of disabilities.</w:t>
      </w:r>
    </w:p>
    <w:p w14:paraId="05AA180D"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Ministry of Education estimated that 2.1% of the total student population of approximately 460,000 has a disability. Persons with disabilities make up just 0.55% of the resident labour force or 12,000 out of 2.26 million in 2016. Around 4,000 children were diagnosed with special developmental needs every year in 2015 (SPD, 2018).</w:t>
      </w:r>
    </w:p>
    <w:p w14:paraId="696952F5"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To ensure and promote the full realisation of all human rights and fundamental freedoms for all persons with disabilities, The Singapore Government would have to modify or abolish existing laws, regulations, customs and practices that discriminate against persons with disabilities. </w:t>
      </w:r>
    </w:p>
    <w:p w14:paraId="08A07B19"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In light of this purpose, the Singapore government adopted the first Enabling Masterplan in 2007 to ensure an inclusive society. It was set up by the joint steering committee consisting of government agencies and civil society organisations in Singapore. </w:t>
      </w:r>
    </w:p>
    <w:p w14:paraId="0F9F2C80"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To achieve the vision of an inclusive society, the Singapore government underlines the principle approach of a life stage in disability and multi-sector cooperation with the persons with disabilities, families, volunteer welfare organisations (VWO), practitioners, professionals in the fields. The life stages, as conceptualised in the Enabling Masterplan Singapore are phases of developmental that people are come through in their lives with each biological, psychological, and social characteristics such as, infancy, childhood, and adulthood.</w:t>
      </w:r>
    </w:p>
    <w:p w14:paraId="687AE9BD"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3</w:t>
      </w:r>
      <w:r>
        <w:rPr>
          <w:rFonts w:ascii="Cambria" w:hAnsi="Cambria" w:cs="Cambria"/>
          <w:vertAlign w:val="superscript"/>
          <w:lang w:val="en-GB"/>
        </w:rPr>
        <w:t>rd</w:t>
      </w:r>
      <w:r>
        <w:rPr>
          <w:rFonts w:ascii="Cambria" w:hAnsi="Cambria" w:cs="Cambria"/>
          <w:lang w:val="en-GB"/>
        </w:rPr>
        <w:t xml:space="preserve"> Enabling Masterplan was adopted by the Singapore government that strengthens the progress and overcome challenges for 2017 to 2021. The new generation of the masterplan has four key trust areas to accelerate the establishment of inclusive society especially in the sector of the quality of life of persons with disabilities, community building, caregiver support system, and inclusive society itself as the core objective (3</w:t>
      </w:r>
      <w:r>
        <w:rPr>
          <w:rFonts w:ascii="Cambria" w:hAnsi="Cambria" w:cs="Cambria"/>
          <w:vertAlign w:val="superscript"/>
          <w:lang w:val="en-GB"/>
        </w:rPr>
        <w:t>rd</w:t>
      </w:r>
      <w:r>
        <w:rPr>
          <w:rFonts w:ascii="Cambria" w:hAnsi="Cambria" w:cs="Cambria"/>
          <w:lang w:val="en-GB"/>
        </w:rPr>
        <w:t xml:space="preserve"> Enabling Masterplan, 2017).</w:t>
      </w:r>
    </w:p>
    <w:p w14:paraId="4E65DD30"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According to Wong and Wong (2015), there has been a mindset change in the way the Singapore Government and society as a whole views persons with disabilities, transitioning from viewing persons with disabilities as unfortunate economic liabilities on society and state, to viewing them as human beings deserving of dignity and state support. </w:t>
      </w:r>
    </w:p>
    <w:p w14:paraId="34E358FF" w14:textId="77777777" w:rsidR="00622BC0" w:rsidRPr="00826C5A"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A Voluntary National Review was presented at the UN High-Level Political Forum on Sustainable Development in 2018, with a focus on striking a balance between </w:t>
      </w:r>
      <w:r w:rsidRPr="00826C5A">
        <w:rPr>
          <w:rFonts w:ascii="Cambria" w:hAnsi="Cambria" w:cs="Cambria"/>
          <w:lang w:val="en-GB"/>
        </w:rPr>
        <w:t xml:space="preserve">developing the economy, protecting the environment, and social inclusion (Singapore’s Voluntary National Review Report, 2018). </w:t>
      </w:r>
    </w:p>
    <w:p w14:paraId="10DA1152" w14:textId="77777777" w:rsidR="00622BC0" w:rsidRPr="00826C5A" w:rsidRDefault="00826C5A">
      <w:pPr>
        <w:widowControl w:val="0"/>
        <w:autoSpaceDE w:val="0"/>
        <w:autoSpaceDN w:val="0"/>
        <w:adjustRightInd w:val="0"/>
        <w:spacing w:after="200"/>
        <w:ind w:right="-6"/>
        <w:jc w:val="both"/>
        <w:rPr>
          <w:rFonts w:ascii="Cambria" w:hAnsi="Cambria" w:cs="Cambria"/>
          <w:lang w:val="en-GB"/>
        </w:rPr>
      </w:pPr>
      <w:r w:rsidRPr="00826C5A">
        <w:rPr>
          <w:rFonts w:ascii="Cambria" w:hAnsi="Cambria" w:cs="Cambria"/>
          <w:lang w:val="en-GB"/>
        </w:rPr>
        <w:t>The state report of Singapore for CRPD implementation highlighted the progress of accessibility and quality of life of persons with disabilities. Despite some challenges, the government of Singapore commits to continue the realisation of the CRPD by adopting the recent 3</w:t>
      </w:r>
      <w:r w:rsidRPr="00826C5A">
        <w:rPr>
          <w:rFonts w:ascii="Cambria" w:hAnsi="Cambria" w:cs="Cambria"/>
          <w:vertAlign w:val="superscript"/>
          <w:lang w:val="en-GB"/>
        </w:rPr>
        <w:t>rd</w:t>
      </w:r>
      <w:r w:rsidRPr="00826C5A">
        <w:rPr>
          <w:rFonts w:ascii="Cambria" w:hAnsi="Cambria" w:cs="Cambria"/>
          <w:lang w:val="en-GB"/>
        </w:rPr>
        <w:t xml:space="preserve"> Enabling Masterplan. </w:t>
      </w:r>
    </w:p>
    <w:p w14:paraId="18D732BC" w14:textId="77777777" w:rsidR="00622BC0" w:rsidRDefault="00826C5A">
      <w:pPr>
        <w:widowControl w:val="0"/>
        <w:autoSpaceDE w:val="0"/>
        <w:autoSpaceDN w:val="0"/>
        <w:adjustRightInd w:val="0"/>
        <w:spacing w:after="200"/>
        <w:ind w:right="-6"/>
        <w:jc w:val="both"/>
        <w:rPr>
          <w:rFonts w:ascii="Cambria" w:hAnsi="Cambria" w:cs="Cambria"/>
          <w:lang w:val="en-GB"/>
        </w:rPr>
      </w:pPr>
      <w:r w:rsidRPr="00826C5A">
        <w:rPr>
          <w:rFonts w:ascii="Cambria" w:hAnsi="Cambria" w:cs="Cambria"/>
          <w:lang w:val="en-GB"/>
        </w:rPr>
        <w:t>Disabled People's Association (DPA) Singapore has also done a parallel report on the CRPD, with focus placed towards the systemic challenges that may contribute to the low employment rate of a person with disabilities about the articles of the CRPD, at the same time the report</w:t>
      </w:r>
      <w:r>
        <w:rPr>
          <w:rFonts w:ascii="Cambria" w:hAnsi="Cambria" w:cs="Cambria"/>
          <w:lang w:val="en-GB"/>
        </w:rPr>
        <w:t xml:space="preserve"> also offers solutions that the Singapore Government can adopt (DPA, 2019).</w:t>
      </w:r>
    </w:p>
    <w:p w14:paraId="12C215C4" w14:textId="77777777" w:rsidR="00622BC0" w:rsidRDefault="00622BC0">
      <w:pPr>
        <w:widowControl w:val="0"/>
        <w:autoSpaceDE w:val="0"/>
        <w:autoSpaceDN w:val="0"/>
        <w:adjustRightInd w:val="0"/>
        <w:spacing w:after="200"/>
        <w:ind w:right="-6"/>
        <w:jc w:val="both"/>
        <w:rPr>
          <w:rFonts w:ascii="Cambria" w:hAnsi="Cambria" w:cs="Cambria"/>
          <w:lang w:val="en-GB"/>
        </w:rPr>
      </w:pPr>
    </w:p>
    <w:p w14:paraId="3AC9ADE9"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rPr>
        <w:t>3.   S</w:t>
      </w:r>
      <w:r>
        <w:rPr>
          <w:rFonts w:ascii="Cambria" w:hAnsi="Cambria" w:cs="Cambria"/>
          <w:b/>
          <w:bCs/>
          <w:lang w:val="en-GB"/>
        </w:rPr>
        <w:t>DG Goal 3 - Health and Well-being</w:t>
      </w:r>
    </w:p>
    <w:p w14:paraId="662195D7"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Policy and Regulations</w:t>
      </w:r>
    </w:p>
    <w:p w14:paraId="317E3CE9"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government of Singapore does not enact specific law or regulation to administer the rights of the health of persons with disabilities. Instead, the rights to health ensured and enshrined in the inclusive laws and Enabling Masterplan that applicable for all Singaporeans, including persons with disabilities. However, there is a national medical savings mechanism called Medisave, where individuals put aside part of their income into personal Medisave accounts to meet their future personal or immediate family's hospitalisation, day surgery, and certain outpatient expenses. All Singaporeans can withdraw monies from their own or their family members' Medisave accounts to pay for their health-care needs (Singapore CRPD State Report, 2016).</w:t>
      </w:r>
    </w:p>
    <w:p w14:paraId="52F38E62"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lang w:val="en-GB"/>
        </w:rPr>
        <w:t xml:space="preserve">Beside Medisave, the Singapore government also applied two other schemes for ensuring the rights of health for all Singaporean, including persons with disabilities universal coverage under the MediShield Life Insurance, </w:t>
      </w:r>
      <w:proofErr w:type="spellStart"/>
      <w:r>
        <w:rPr>
          <w:rFonts w:ascii="Cambria" w:hAnsi="Cambria" w:cs="Cambria"/>
          <w:lang w:val="en-GB"/>
        </w:rPr>
        <w:t>ElderShield</w:t>
      </w:r>
      <w:proofErr w:type="spellEnd"/>
      <w:r>
        <w:rPr>
          <w:rFonts w:ascii="Cambria" w:hAnsi="Cambria" w:cs="Cambria"/>
          <w:lang w:val="en-GB"/>
        </w:rPr>
        <w:t xml:space="preserve">, and </w:t>
      </w:r>
      <w:proofErr w:type="spellStart"/>
      <w:r>
        <w:rPr>
          <w:rFonts w:ascii="Cambria" w:hAnsi="Cambria" w:cs="Cambria"/>
          <w:lang w:val="en-GB"/>
        </w:rPr>
        <w:t>Medifund</w:t>
      </w:r>
      <w:proofErr w:type="spellEnd"/>
      <w:r>
        <w:rPr>
          <w:rFonts w:ascii="Cambria" w:hAnsi="Cambria" w:cs="Cambria"/>
          <w:lang w:val="en-GB"/>
        </w:rPr>
        <w:t xml:space="preserve">. The first two schemes are provided and supported by the MediShield to all Singaporeans to subsided treatments in public hospitals regardless of any pre-existing conditions or types of disabilities that might be possessed (Singapore CRPD State Report, 2016). The </w:t>
      </w:r>
      <w:proofErr w:type="spellStart"/>
      <w:r>
        <w:rPr>
          <w:rFonts w:ascii="Cambria" w:hAnsi="Cambria" w:cs="Cambria"/>
          <w:lang w:val="en-GB"/>
        </w:rPr>
        <w:t>Medifund</w:t>
      </w:r>
      <w:proofErr w:type="spellEnd"/>
      <w:r>
        <w:rPr>
          <w:rFonts w:ascii="Cambria" w:hAnsi="Cambria" w:cs="Cambria"/>
          <w:lang w:val="en-GB"/>
        </w:rPr>
        <w:t xml:space="preserve"> provides an endowment for needy Singaporeans that cannot afford subsided medical expenses, excluding the two previous mechanisms above.</w:t>
      </w:r>
    </w:p>
    <w:p w14:paraId="64AA3A57"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Implementation and Programmes</w:t>
      </w:r>
    </w:p>
    <w:p w14:paraId="718CF54B"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Singapore Government has implemented policies and regulations with regards to the well-being of persons with disabilities. An example of this would be the National Childhood Immunisation Programme in which vaccinations will be administered from birth until the child is 11 years old. There are also optional vaccinations that the parents can opt for their child. Such steps were taken to ensure that the spread of communicable diseases is controlled (</w:t>
      </w:r>
      <w:proofErr w:type="spellStart"/>
      <w:r>
        <w:rPr>
          <w:rFonts w:ascii="Cambria" w:hAnsi="Cambria" w:cs="Cambria"/>
          <w:lang w:val="en-GB"/>
        </w:rPr>
        <w:t>Kunashakaran</w:t>
      </w:r>
      <w:proofErr w:type="spellEnd"/>
      <w:r>
        <w:rPr>
          <w:rFonts w:ascii="Cambria" w:hAnsi="Cambria" w:cs="Cambria"/>
          <w:lang w:val="en-GB"/>
        </w:rPr>
        <w:t xml:space="preserve">, Interview, 2019). Private providers, such as Serving People with Disabilities, offer the Early Intervention Programme for Infants and Children (EIPIC), which caters to children with moderate to severe needs in specialised centres, health-care units provided by non-state institutions to persons with disabilities. (from 1,600 children in 2012 to 2,600 in 2015). From 2012 to 2016, about 6,500 children were referred to as EIPIC centres (SPD, 2018). </w:t>
      </w:r>
    </w:p>
    <w:p w14:paraId="47AB2858"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Furthermore, the Singapore government ensures that health services integrated and available in the hospitals and community levels are accessible for persons with disabilities by utilizing Medisave and other programmes mentioned earlier. Other than that, there are programmes to early identification and timely intervention for child developmental issues on disabilities provided by </w:t>
      </w:r>
      <w:proofErr w:type="spellStart"/>
      <w:r>
        <w:rPr>
          <w:rFonts w:ascii="Cambria" w:hAnsi="Cambria" w:cs="Cambria"/>
          <w:lang w:val="en-GB"/>
        </w:rPr>
        <w:t>MoH</w:t>
      </w:r>
      <w:proofErr w:type="spellEnd"/>
      <w:r>
        <w:rPr>
          <w:rFonts w:ascii="Cambria" w:hAnsi="Cambria" w:cs="Cambria"/>
          <w:lang w:val="en-GB"/>
        </w:rPr>
        <w:t xml:space="preserve"> with supplemented by training to health-care providers and nurses, awareness-raising to all citizens, and structured development assessment framework at the polyclinic. Overall, the standardised implementation has been taken place in Singapore with a provided accessible physical and communication facilitation in the health-care units and hospitals. Nonetheless, rehabilitation centres, assistive devices, and extra costs for the living of persons with disabilities are necessary to be addressed further to fulfil their rights to health.</w:t>
      </w:r>
    </w:p>
    <w:p w14:paraId="0C37999B" w14:textId="0DADBE6C"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Participation of Civil Society and OPD</w:t>
      </w:r>
      <w:r w:rsidR="0067025E">
        <w:rPr>
          <w:rFonts w:ascii="Cambria" w:hAnsi="Cambria" w:cs="Cambria"/>
          <w:b/>
          <w:bCs/>
          <w:lang w:val="en-GB"/>
        </w:rPr>
        <w:t>s</w:t>
      </w:r>
    </w:p>
    <w:p w14:paraId="4C0C766C"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Child Development Programme is a programme funded by the government that provides new surveillance, diagnosis, and interim intervention for pre-school children with developmental needs, at the critical period of 0 – 6 years of age. Parents whose children are suspected of having developmental issues are referred by paediatricians and doctors from outpatient private and public clinics offering primary health-care services to the Child Development Units in KKH (Department of Child Development) Women's and Children's Hospital or National University Hospital (NUH) for a detailed assessment and diagnosis of the condition (Singapore CRPD State Report, 2016).</w:t>
      </w:r>
    </w:p>
    <w:p w14:paraId="1527E008" w14:textId="77777777" w:rsidR="00622BC0" w:rsidRDefault="00622BC0">
      <w:pPr>
        <w:widowControl w:val="0"/>
        <w:autoSpaceDE w:val="0"/>
        <w:autoSpaceDN w:val="0"/>
        <w:adjustRightInd w:val="0"/>
        <w:spacing w:after="200"/>
        <w:ind w:right="-6"/>
        <w:jc w:val="both"/>
        <w:rPr>
          <w:rFonts w:ascii="Cambria" w:hAnsi="Cambria" w:cs="Cambria"/>
          <w:lang w:val="en-GB"/>
        </w:rPr>
      </w:pPr>
    </w:p>
    <w:p w14:paraId="35CA61BB" w14:textId="77777777" w:rsidR="00622BC0" w:rsidRDefault="00826C5A">
      <w:pPr>
        <w:widowControl w:val="0"/>
        <w:autoSpaceDE w:val="0"/>
        <w:autoSpaceDN w:val="0"/>
        <w:adjustRightInd w:val="0"/>
        <w:spacing w:after="200"/>
        <w:ind w:right="-6"/>
        <w:rPr>
          <w:rFonts w:ascii="Cambria" w:hAnsi="Cambria" w:cs="Cambria"/>
          <w:b/>
          <w:bCs/>
          <w:lang w:val="en-GB"/>
        </w:rPr>
      </w:pPr>
      <w:r>
        <w:rPr>
          <w:rFonts w:ascii="Cambria" w:hAnsi="Cambria" w:cs="Cambria"/>
          <w:b/>
          <w:bCs/>
        </w:rPr>
        <w:t>4.   S</w:t>
      </w:r>
      <w:r>
        <w:rPr>
          <w:rFonts w:ascii="Cambria" w:hAnsi="Cambria" w:cs="Cambria"/>
          <w:b/>
          <w:bCs/>
          <w:lang w:val="en-GB"/>
        </w:rPr>
        <w:t>DG Goal 4 - Quality of Education</w:t>
      </w:r>
    </w:p>
    <w:p w14:paraId="30142012"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Policy and Regulations</w:t>
      </w:r>
    </w:p>
    <w:p w14:paraId="0F1F23EA"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Singapore has enacted several regulations to ensure the rights and implementation of education for children from the early stage of life to the higher education level, which can be referred by persons with disabilities, as seen in the Table 8 below. The table shows four main principle regulations on rights to education in Singapore. </w:t>
      </w:r>
    </w:p>
    <w:p w14:paraId="38B18586"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Table 8 Laws on Education in Singapore</w:t>
      </w:r>
    </w:p>
    <w:tbl>
      <w:tblPr>
        <w:tblW w:w="8432"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3568"/>
        <w:gridCol w:w="4864"/>
      </w:tblGrid>
      <w:tr w:rsidR="00622BC0" w14:paraId="6B438031" w14:textId="77777777">
        <w:tc>
          <w:tcPr>
            <w:tcW w:w="3568" w:type="dxa"/>
            <w:vMerge w:val="restart"/>
            <w:tcBorders>
              <w:top w:val="single" w:sz="4" w:space="0" w:color="auto"/>
              <w:left w:val="single" w:sz="4" w:space="0" w:color="auto"/>
              <w:right w:val="single" w:sz="4" w:space="0" w:color="auto"/>
            </w:tcBorders>
            <w:shd w:val="clear" w:color="auto" w:fill="auto"/>
            <w:tcMar>
              <w:left w:w="0" w:type="dxa"/>
              <w:right w:w="0" w:type="dxa"/>
            </w:tcMar>
            <w:vAlign w:val="center"/>
          </w:tcPr>
          <w:p w14:paraId="0D5C4464"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Laws</w:t>
            </w:r>
          </w:p>
        </w:tc>
        <w:tc>
          <w:tcPr>
            <w:tcW w:w="486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7B87A95"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Compulsory Education Act 27 of 2000, revised in 2001</w:t>
            </w:r>
          </w:p>
        </w:tc>
      </w:tr>
      <w:tr w:rsidR="00622BC0" w14:paraId="4DC84BEC" w14:textId="77777777">
        <w:tblPrEx>
          <w:tblBorders>
            <w:top w:val="none" w:sz="0" w:space="0" w:color="auto"/>
          </w:tblBorders>
        </w:tblPrEx>
        <w:tc>
          <w:tcPr>
            <w:tcW w:w="3568" w:type="dxa"/>
            <w:vMerge/>
            <w:tcBorders>
              <w:left w:val="single" w:sz="4" w:space="0" w:color="auto"/>
              <w:right w:val="single" w:sz="4" w:space="0" w:color="auto"/>
            </w:tcBorders>
            <w:shd w:val="clear" w:color="auto" w:fill="auto"/>
            <w:tcMar>
              <w:left w:w="0" w:type="dxa"/>
              <w:right w:w="0" w:type="dxa"/>
            </w:tcMar>
            <w:vAlign w:val="center"/>
          </w:tcPr>
          <w:p w14:paraId="1799BE61" w14:textId="77777777" w:rsidR="00622BC0" w:rsidRDefault="00622BC0">
            <w:pPr>
              <w:widowControl w:val="0"/>
              <w:autoSpaceDE w:val="0"/>
              <w:autoSpaceDN w:val="0"/>
              <w:adjustRightInd w:val="0"/>
              <w:rPr>
                <w:rFonts w:ascii="Cambria" w:hAnsi="Cambria" w:cs="Cambria"/>
                <w:lang w:val="en-GB"/>
              </w:rPr>
            </w:pPr>
          </w:p>
        </w:tc>
        <w:tc>
          <w:tcPr>
            <w:tcW w:w="486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0295C58"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Private Education Act of 2009</w:t>
            </w:r>
          </w:p>
        </w:tc>
      </w:tr>
      <w:tr w:rsidR="00622BC0" w14:paraId="13430678" w14:textId="77777777">
        <w:tblPrEx>
          <w:tblBorders>
            <w:top w:val="none" w:sz="0" w:space="0" w:color="auto"/>
          </w:tblBorders>
        </w:tblPrEx>
        <w:tc>
          <w:tcPr>
            <w:tcW w:w="3568" w:type="dxa"/>
            <w:vMerge/>
            <w:tcBorders>
              <w:left w:val="single" w:sz="4" w:space="0" w:color="auto"/>
              <w:right w:val="single" w:sz="4" w:space="0" w:color="auto"/>
            </w:tcBorders>
            <w:shd w:val="clear" w:color="auto" w:fill="auto"/>
            <w:tcMar>
              <w:top w:w="0" w:type="dxa"/>
              <w:right w:w="0" w:type="dxa"/>
            </w:tcMar>
            <w:vAlign w:val="center"/>
          </w:tcPr>
          <w:p w14:paraId="1815802B" w14:textId="77777777" w:rsidR="00622BC0" w:rsidRDefault="00622BC0">
            <w:pPr>
              <w:widowControl w:val="0"/>
              <w:autoSpaceDE w:val="0"/>
              <w:autoSpaceDN w:val="0"/>
              <w:adjustRightInd w:val="0"/>
              <w:spacing w:line="276" w:lineRule="auto"/>
              <w:ind w:right="-6"/>
              <w:rPr>
                <w:rFonts w:ascii="Cambria" w:hAnsi="Cambria" w:cs="Cambria"/>
                <w:lang w:val="en-GB"/>
              </w:rPr>
            </w:pPr>
          </w:p>
        </w:tc>
        <w:tc>
          <w:tcPr>
            <w:tcW w:w="486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BE2B4E9"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Early Childhood Development Centres Act of 2017</w:t>
            </w:r>
          </w:p>
        </w:tc>
      </w:tr>
      <w:tr w:rsidR="00622BC0" w14:paraId="02FBA9F8" w14:textId="77777777">
        <w:tblPrEx>
          <w:tblBorders>
            <w:top w:val="none" w:sz="0" w:space="0" w:color="auto"/>
            <w:bottom w:val="single" w:sz="4" w:space="0" w:color="auto"/>
          </w:tblBorders>
        </w:tblPrEx>
        <w:tc>
          <w:tcPr>
            <w:tcW w:w="3568" w:type="dxa"/>
            <w:vMerge/>
            <w:tcBorders>
              <w:left w:val="single" w:sz="4" w:space="0" w:color="auto"/>
              <w:bottom w:val="single" w:sz="4" w:space="0" w:color="auto"/>
              <w:right w:val="single" w:sz="4" w:space="0" w:color="auto"/>
            </w:tcBorders>
            <w:shd w:val="clear" w:color="auto" w:fill="auto"/>
            <w:tcMar>
              <w:top w:w="0" w:type="dxa"/>
              <w:right w:w="0" w:type="dxa"/>
            </w:tcMar>
            <w:vAlign w:val="center"/>
          </w:tcPr>
          <w:p w14:paraId="0D5BE970" w14:textId="77777777" w:rsidR="00622BC0" w:rsidRDefault="00622BC0">
            <w:pPr>
              <w:widowControl w:val="0"/>
              <w:autoSpaceDE w:val="0"/>
              <w:autoSpaceDN w:val="0"/>
              <w:adjustRightInd w:val="0"/>
              <w:spacing w:line="276" w:lineRule="auto"/>
              <w:ind w:right="-6"/>
              <w:rPr>
                <w:rFonts w:ascii="Cambria" w:hAnsi="Cambria" w:cs="Cambria"/>
                <w:lang w:val="en-GB"/>
              </w:rPr>
            </w:pPr>
          </w:p>
        </w:tc>
        <w:tc>
          <w:tcPr>
            <w:tcW w:w="486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A1717E0"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Institute of Technical Education Act 2020</w:t>
            </w:r>
          </w:p>
        </w:tc>
      </w:tr>
    </w:tbl>
    <w:p w14:paraId="0BB44E69" w14:textId="77777777" w:rsidR="00622BC0" w:rsidRDefault="00622BC0">
      <w:pPr>
        <w:widowControl w:val="0"/>
        <w:autoSpaceDE w:val="0"/>
        <w:autoSpaceDN w:val="0"/>
        <w:adjustRightInd w:val="0"/>
        <w:spacing w:after="200"/>
        <w:ind w:right="-6"/>
        <w:jc w:val="both"/>
        <w:rPr>
          <w:rFonts w:ascii="Cambria" w:hAnsi="Cambria" w:cs="Cambria"/>
          <w:lang w:val="en-GB"/>
        </w:rPr>
      </w:pPr>
    </w:p>
    <w:p w14:paraId="1F30D848"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Compulsory Education Act and Private Education Act do not intend to regulate explicitly the rights to education for children with disabilities as the government of Singapore enacted laws that belong and relevant to all Singaporeans, including persons with disabilities. However, the Singapore governments address the rights of education to children with disabilities through several programmes which regulated in derivative regulations such as special education and early intervention programmes for infants and children with disabilities. </w:t>
      </w:r>
    </w:p>
    <w:p w14:paraId="2FE60D3A"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Singapore Government enacted and brought into action the Compulsory Education Act, which states that all children, who are above the age of 6 to below the age of 15, with moderate to severe special educational needs, can access education in various special education schools (</w:t>
      </w:r>
      <w:proofErr w:type="spellStart"/>
      <w:r>
        <w:rPr>
          <w:rFonts w:ascii="Cambria" w:hAnsi="Cambria" w:cs="Cambria"/>
          <w:lang w:val="en-GB"/>
        </w:rPr>
        <w:t>Kunashakaran</w:t>
      </w:r>
      <w:proofErr w:type="spellEnd"/>
      <w:r>
        <w:rPr>
          <w:rFonts w:ascii="Cambria" w:hAnsi="Cambria" w:cs="Cambria"/>
          <w:lang w:val="en-GB"/>
        </w:rPr>
        <w:t xml:space="preserve">, Interview, 2019). </w:t>
      </w:r>
    </w:p>
    <w:p w14:paraId="279634D0"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lang w:val="en-GB"/>
        </w:rPr>
        <w:t xml:space="preserve">Reflecting from those regulations, the Ministry of Education stated that there are a total 1,770 children per cohort with special education needs, with about 75% of those children having mild special needs like Attention Deficit Hyperactivity </w:t>
      </w:r>
      <w:r>
        <w:rPr>
          <w:rFonts w:ascii="Cambria" w:hAnsi="Cambria" w:cs="Cambria"/>
          <w:highlight w:val="yellow"/>
          <w:lang w:val="en-GB"/>
        </w:rPr>
        <w:t>Disorder</w:t>
      </w:r>
      <w:r>
        <w:rPr>
          <w:rFonts w:ascii="Cambria" w:hAnsi="Cambria" w:cs="Cambria"/>
          <w:lang w:val="en-GB"/>
        </w:rPr>
        <w:t xml:space="preserve"> (ADHD) and dyslexia, and attend mainstream schools. The remaining 25% or about 400 children per cohort have moderate to severe conditions like visual impairment, autism or multiple disabilities, and are exempted under the Compulsory Education Act. The substantive reform to ensure children with moderate and severe disabilities to be enrolled in mainstream schools are yet established or taken place as the existing mechanism and practice remain to rely on the special education.</w:t>
      </w:r>
    </w:p>
    <w:p w14:paraId="4874DD60"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Implementation and Programmes</w:t>
      </w:r>
    </w:p>
    <w:p w14:paraId="465D8AD9"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majority of children of disabilities attend Government-funded special education (SPED) schools run by voluntary welfare organisations like Association for Persons with Special Needs (APSN), and Movement for the Intellectually Disabled of Singapore (MINDS). Funding resources, curriculum framework, vocational education programmes, equal opportunities, and other integrated channels to mainstream schools have been supported to SPED by the Ministry of Education. Furthermore, teachers require a standardised skill and capacity through training, certification, and scholarship for specialised education on disability-specific courses. However, 10% of the 400 students, or about 40 children, do not go to SPED schools for various reasons. They could either be home-schooled, enrolled in private education institutions, or are unable to attend due to physical or intellectual disabilities (Chia, 2016).</w:t>
      </w:r>
      <w:r>
        <w:rPr>
          <w:rFonts w:ascii="Calibri" w:hAnsi="Calibri" w:cs="Calibri"/>
          <w:lang w:val="en-GB"/>
        </w:rPr>
        <w:t xml:space="preserve"> </w:t>
      </w:r>
      <w:r>
        <w:rPr>
          <w:rFonts w:ascii="Cambria" w:hAnsi="Cambria" w:cs="Cambria"/>
          <w:lang w:val="en-GB"/>
        </w:rPr>
        <w:t xml:space="preserve">The intellectual and physical disabilities are identified to encounter challenges in social barriers to attend SPED as they might spend extra costs to attend schools and less support or knowledge from their own families than dedicated trained educators and teachers in SPED. </w:t>
      </w:r>
    </w:p>
    <w:p w14:paraId="0DA47642"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Now with a need for a spectrum of support for special educational needs, various programmes have been initiated. Development Support Progress, which provides learning support and therapy for children with mild developmental needs in mainstream pre-schools to ensure a smooth transition to primary school. There has since been a six-fold increase in the number of children served (from 200 children in 2012 to 1,200 in 2015). The government also set up an Integrated Pre-school programme, which is a fully inclusive pre-school at the Enabling Village catering to children with developmental needs as well as typically developing children (</w:t>
      </w:r>
      <w:proofErr w:type="spellStart"/>
      <w:r>
        <w:rPr>
          <w:rFonts w:ascii="Cambria" w:hAnsi="Cambria" w:cs="Cambria"/>
          <w:lang w:val="en-GB"/>
        </w:rPr>
        <w:t>Kunashakaran</w:t>
      </w:r>
      <w:proofErr w:type="spellEnd"/>
      <w:r>
        <w:rPr>
          <w:rFonts w:ascii="Cambria" w:hAnsi="Cambria" w:cs="Cambria"/>
          <w:lang w:val="en-GB"/>
        </w:rPr>
        <w:t xml:space="preserve">, Interview, 2019). </w:t>
      </w:r>
    </w:p>
    <w:p w14:paraId="79598A21"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Support from the mainstream schools includes the Ministry of Education’s (MOE) Special Educational Needs (SEN) Fund, which helps students with special needs in Institutes of Higher Learning to buy Assistive Technology devices to support their learning. More training and learning platforms at Institutes of Higher Learning to build up the capabilities of Allied Educators (</w:t>
      </w:r>
      <w:proofErr w:type="spellStart"/>
      <w:r>
        <w:rPr>
          <w:rFonts w:ascii="Cambria" w:hAnsi="Cambria" w:cs="Cambria"/>
          <w:lang w:val="en-GB"/>
        </w:rPr>
        <w:t>Kunashakaran</w:t>
      </w:r>
      <w:proofErr w:type="spellEnd"/>
      <w:r>
        <w:rPr>
          <w:rFonts w:ascii="Cambria" w:hAnsi="Cambria" w:cs="Cambria"/>
          <w:lang w:val="en-GB"/>
        </w:rPr>
        <w:t xml:space="preserve">, Interview, 2019). </w:t>
      </w:r>
    </w:p>
    <w:p w14:paraId="7B15111E"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Singapore's publicly-funded universities, polytechnics, and Institute of Technical Educations (ITEs) have set up Special Educational Needs Support Offices on their campuses. It aims to ensure holistic and continual support to students with disabilities from pre-matriculation to graduation, which includes helping them tap on MOE's Special Educational Needs Fund as needed (Singapore CRPD State Report, 2016). The funds are allocated to the educational structures; physical and non-physical such as educational providers, learning centres, technologies, learning methodologies, and accessible devices, and many more. </w:t>
      </w:r>
    </w:p>
    <w:p w14:paraId="723E92EC"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government also has an Early Intervention Programme for Infants and Children (EIPIC) provides social, learning, and therapy services. Each child's progress is monitored through an Individual Education Plan. Intervention is conducted by a trans-disciplinary team of EIPIC teachers, therapists, psychologists, and social workers (Singapore CRPD State Report, 2016).</w:t>
      </w:r>
    </w:p>
    <w:p w14:paraId="65975EA5"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Ministry of Education provides training for all teachers in mainstream schools to ensure that they have a basic understanding and awareness of disabilities. Besides, every school has a group of teachers who undergo more extensive training to equip them with more profound knowledge and better skills to support students with disabilities in their respective schools. All primary schools are also provided with specially trained Allied Educators (Learning and Behavioural Support), who work closely with teachers to identify and provide additional learning support to students with mild disabilities (Singapore CRPD State Report, 2016).</w:t>
      </w:r>
    </w:p>
    <w:p w14:paraId="7B16C3F8"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Some schools are specially resourced to cater to the needs of students with visual and hearing impairments and have specially-trained teachers, signing interpreters, and Braille production units to support the needs of these students (Singapore CRPD State Report, 2016).</w:t>
      </w:r>
    </w:p>
    <w:p w14:paraId="3368EDBE" w14:textId="5D6EF140"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Participation of Civil Society and OPD</w:t>
      </w:r>
      <w:r w:rsidR="0067025E">
        <w:rPr>
          <w:rFonts w:ascii="Cambria" w:hAnsi="Cambria" w:cs="Cambria"/>
          <w:b/>
          <w:bCs/>
          <w:lang w:val="en-GB"/>
        </w:rPr>
        <w:t>s</w:t>
      </w:r>
    </w:p>
    <w:p w14:paraId="5B75542F" w14:textId="1D23AE46"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To better support children with mild Autism in mainstream pre-schools, VWOs such as AWWA (formerly known as Asian Women's Welfare Association) and Rainbow Centre, launched the Temasek Cares–Integration Support Programme for Pre-schoolers with Autism in January 2014. This 2-year pilot project helped children with mild ASD develop skills and strategies to integrate into mainstream pre-school centres, thereby easing their transition into mainstream primary schools. The project was administered by the National Council of Social Services (NCSS) and supported with a grant from Temasek Cares (Singapore CRPD State Report, 2016).</w:t>
      </w:r>
    </w:p>
    <w:p w14:paraId="3F2B77D3" w14:textId="77777777" w:rsidR="00622BC0" w:rsidRPr="00826C5A"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Further, MOE provides grants to and works with VWOs such as </w:t>
      </w:r>
      <w:proofErr w:type="spellStart"/>
      <w:r>
        <w:rPr>
          <w:rFonts w:ascii="Cambria" w:hAnsi="Cambria" w:cs="Cambria"/>
          <w:lang w:val="en-GB"/>
        </w:rPr>
        <w:t>SADeaf</w:t>
      </w:r>
      <w:proofErr w:type="spellEnd"/>
      <w:r>
        <w:rPr>
          <w:rFonts w:ascii="Cambria" w:hAnsi="Cambria" w:cs="Cambria"/>
          <w:lang w:val="en-GB"/>
        </w:rPr>
        <w:t xml:space="preserve">, AWWA, and Dyslexia Association of Singapore to provide educational support services for students with mild disabilities in mainstream schools. These services include dyslexia remediation and consultation with occupational therapists on assistive technology, which help </w:t>
      </w:r>
      <w:r w:rsidRPr="00826C5A">
        <w:rPr>
          <w:rFonts w:ascii="Cambria" w:hAnsi="Cambria" w:cs="Cambria"/>
          <w:lang w:val="en-GB"/>
        </w:rPr>
        <w:t>mainstream schools better accommodate and support the learning needs of students with mild special educational needs (Singapore CRPD State Report, 2016).</w:t>
      </w:r>
    </w:p>
    <w:p w14:paraId="01A0B0F3" w14:textId="77777777" w:rsidR="00622BC0" w:rsidRDefault="00826C5A">
      <w:pPr>
        <w:widowControl w:val="0"/>
        <w:autoSpaceDE w:val="0"/>
        <w:autoSpaceDN w:val="0"/>
        <w:adjustRightInd w:val="0"/>
        <w:spacing w:after="200"/>
        <w:ind w:right="-6"/>
        <w:jc w:val="both"/>
        <w:rPr>
          <w:rFonts w:ascii="Cambria" w:hAnsi="Cambria" w:cs="Cambria"/>
          <w:lang w:val="en-GB"/>
        </w:rPr>
      </w:pPr>
      <w:r w:rsidRPr="00826C5A">
        <w:rPr>
          <w:rFonts w:ascii="Cambria" w:hAnsi="Cambria" w:cs="Cambria"/>
          <w:lang w:val="en-GB"/>
        </w:rPr>
        <w:t>An shadow report of the CRPD from the Working Group of CRPD Parallel Report that prepared by Disabled People's Association (DPA) stated that the Government of Singapore should open and set up upgrading skill courses for persons with disabilities is available and accessible (DPA CRPD</w:t>
      </w:r>
      <w:r>
        <w:rPr>
          <w:rFonts w:ascii="Cambria" w:hAnsi="Cambria" w:cs="Cambria"/>
          <w:lang w:val="en-GB"/>
        </w:rPr>
        <w:t xml:space="preserve"> Parallel Report, 2019). This recommendation is mindfully related to the connection of persons with disabilities to the just and equitable access to job opportunities and career after completing the education.</w:t>
      </w:r>
    </w:p>
    <w:p w14:paraId="0CB0FED9" w14:textId="77777777" w:rsidR="00622BC0" w:rsidRDefault="00622BC0">
      <w:pPr>
        <w:widowControl w:val="0"/>
        <w:autoSpaceDE w:val="0"/>
        <w:autoSpaceDN w:val="0"/>
        <w:adjustRightInd w:val="0"/>
        <w:spacing w:after="200"/>
        <w:ind w:right="-6"/>
        <w:jc w:val="both"/>
        <w:rPr>
          <w:rFonts w:ascii="Cambria" w:hAnsi="Cambria" w:cs="Cambria"/>
          <w:lang w:val="en-GB"/>
        </w:rPr>
      </w:pPr>
    </w:p>
    <w:p w14:paraId="7D2D7085"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5.</w:t>
      </w:r>
      <w:r>
        <w:rPr>
          <w:rFonts w:ascii="Cambria" w:hAnsi="Cambria" w:cs="Cambria"/>
          <w:b/>
          <w:bCs/>
          <w:lang w:val="en-GB"/>
        </w:rPr>
        <w:tab/>
        <w:t>SDG Goal 5 - Gender Equality</w:t>
      </w:r>
    </w:p>
    <w:p w14:paraId="534291AB"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Policy and Regulations</w:t>
      </w:r>
    </w:p>
    <w:p w14:paraId="3BDB2C35"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lang w:val="en-GB"/>
        </w:rPr>
        <w:t xml:space="preserve">Article 12 of the Constitution of the Republic of Singapore guarantees to all persons equality before the law and equal protection of the law. It covers the principle of equality for women (Singapore CRPD State Report, 2016). </w:t>
      </w:r>
    </w:p>
    <w:p w14:paraId="623BB3FC"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With regards to gender equality, the Women's Charter codifies protection, which the Government states covers women with disabilities such as, victims may make criminal sanctions against persons who permit the sexual exploitation of women and girls with intellectual disabilities on their premises, and judicial applications for protection orders of family violence. Relatives, caregivers, or appointed persons can make the application on behalf of an 'incapacitated victim.' As of 19 December 2018, the Vulnerable Adults Act (VAA) came into force. As it indicates stark and inappropriate implementation of the protection of the rights of women and girls with disabilities, yet, substantive reforms are not happening though the disability movement has been addressing this issue through policy advocacy and reporting of CRPD implementation. </w:t>
      </w:r>
    </w:p>
    <w:p w14:paraId="2774B65F"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Enacted by the Parliament of Singapore, that act is intended to protect adults, including women with physical and intellectual disabilities, by granting the officials from the Ministry of Social and Family Development more power to intervene in cases of suspected abuse and neglect by family members and caregivers. Additionally, it also confers protection from legal liability to whistle-blowers who report cases of suspected abuse and neglect in good faith. Additionally, on 6 May 2019, the Singapore Parliament passed the Criminal Law Reform Bill, which revised the Penal Code to introduce new offenses for causing or allowing the severe injury or death of vulnerable groups, such as persons with disabilities (</w:t>
      </w:r>
      <w:proofErr w:type="spellStart"/>
      <w:r>
        <w:rPr>
          <w:rFonts w:ascii="Cambria" w:hAnsi="Cambria" w:cs="Cambria"/>
          <w:lang w:val="en-GB"/>
        </w:rPr>
        <w:t>Kunashakaran</w:t>
      </w:r>
      <w:proofErr w:type="spellEnd"/>
      <w:r>
        <w:rPr>
          <w:rFonts w:ascii="Cambria" w:hAnsi="Cambria" w:cs="Cambria"/>
          <w:lang w:val="en-GB"/>
        </w:rPr>
        <w:t xml:space="preserve">, Interview, 2019). </w:t>
      </w:r>
    </w:p>
    <w:p w14:paraId="43851C99"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Implementation and Programmes</w:t>
      </w:r>
    </w:p>
    <w:p w14:paraId="64A6FB5D"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Singapore Government has initiated programmes to educate students on Sex Education provided in the schools for all children, including children with disabilities. Such programmes start when the child enters Primary 5 at age 11 through to when the student is in Junior College level at age 17-18. These programmes ensure that students are provided with sexual and reproductive care education by the schools and approved external trainers (Ministry of Education, 2018). </w:t>
      </w:r>
    </w:p>
    <w:p w14:paraId="7505FA32"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An example of such external trainers would be </w:t>
      </w:r>
      <w:proofErr w:type="spellStart"/>
      <w:r>
        <w:rPr>
          <w:rFonts w:ascii="Cambria" w:hAnsi="Cambria" w:cs="Cambria"/>
          <w:lang w:val="en-GB"/>
        </w:rPr>
        <w:t>SuChi</w:t>
      </w:r>
      <w:proofErr w:type="spellEnd"/>
      <w:r>
        <w:rPr>
          <w:rFonts w:ascii="Cambria" w:hAnsi="Cambria" w:cs="Cambria"/>
          <w:lang w:val="en-GB"/>
        </w:rPr>
        <w:t xml:space="preserve"> Success Initiatives Pte Ltd; they have also been working closely with partners to raise awareness on Sexually Transmitted Infections (STIs) and HIV in Singapore through various programme platforms such as a series of sexual health seminars for married couples, annual parenting seminars, and roadshows. Its Directors have appeared on many TV and radio talk shows as well as public forums as resource persons in Singapore to address the issue of teenage sexuality, STI/HIV and sexual health. However, as these programmes are not standardised, not all the information is accurately disseminated out to the public (</w:t>
      </w:r>
      <w:proofErr w:type="spellStart"/>
      <w:r>
        <w:rPr>
          <w:rFonts w:ascii="Cambria" w:hAnsi="Cambria" w:cs="Cambria"/>
          <w:lang w:val="en-GB"/>
        </w:rPr>
        <w:t>SuChi</w:t>
      </w:r>
      <w:proofErr w:type="spellEnd"/>
      <w:r>
        <w:rPr>
          <w:rFonts w:ascii="Cambria" w:hAnsi="Cambria" w:cs="Cambria"/>
          <w:lang w:val="en-GB"/>
        </w:rPr>
        <w:t xml:space="preserve"> Success Initiatives, 2020). </w:t>
      </w:r>
    </w:p>
    <w:p w14:paraId="015C4116" w14:textId="77777777" w:rsidR="00622BC0" w:rsidRDefault="00622BC0">
      <w:pPr>
        <w:widowControl w:val="0"/>
        <w:autoSpaceDE w:val="0"/>
        <w:autoSpaceDN w:val="0"/>
        <w:adjustRightInd w:val="0"/>
        <w:spacing w:after="200"/>
        <w:ind w:right="-6"/>
        <w:jc w:val="both"/>
        <w:rPr>
          <w:rFonts w:ascii="Cambria" w:hAnsi="Cambria" w:cs="Cambria"/>
          <w:lang w:val="en-GB"/>
        </w:rPr>
      </w:pPr>
    </w:p>
    <w:p w14:paraId="4B399247" w14:textId="77777777" w:rsidR="00622BC0" w:rsidRDefault="00826C5A">
      <w:pPr>
        <w:widowControl w:val="0"/>
        <w:numPr>
          <w:ilvl w:val="0"/>
          <w:numId w:val="12"/>
        </w:numPr>
        <w:autoSpaceDE w:val="0"/>
        <w:autoSpaceDN w:val="0"/>
        <w:adjustRightInd w:val="0"/>
        <w:spacing w:after="200"/>
        <w:ind w:left="425" w:right="-6" w:hanging="425"/>
        <w:jc w:val="both"/>
        <w:rPr>
          <w:rFonts w:ascii="Cambria" w:hAnsi="Cambria" w:cs="Cambria"/>
          <w:b/>
          <w:bCs/>
          <w:lang w:val="en-GB"/>
        </w:rPr>
      </w:pPr>
      <w:r>
        <w:rPr>
          <w:rFonts w:ascii="Cambria" w:hAnsi="Cambria" w:cs="Cambria"/>
          <w:b/>
          <w:bCs/>
        </w:rPr>
        <w:t xml:space="preserve"> </w:t>
      </w:r>
      <w:r>
        <w:rPr>
          <w:rFonts w:ascii="Cambria" w:hAnsi="Cambria" w:cs="Cambria"/>
          <w:b/>
          <w:bCs/>
          <w:lang w:val="en-GB"/>
        </w:rPr>
        <w:t>SDG Goal 8 - Decent Work and Economic Growth</w:t>
      </w:r>
    </w:p>
    <w:p w14:paraId="7AAD8ADA"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Policy and Regulations</w:t>
      </w:r>
    </w:p>
    <w:p w14:paraId="6EB4C96D"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As reported in the Government of Singapore’s CRPD state report, laws are in place for the protection of employees apply to persons with disabilities. That includes the restrictions on dismissal of employees before and after their delivery of a child under the Employment Act (Cap. 91) and the Child Development Co-Savings Act (Cap. 38A), as well as the termination of employees on the grounds of old age under the Retirement and Re-employment Act (Cap. 274A) (Singapore CRPD State Report, 2016).</w:t>
      </w:r>
    </w:p>
    <w:p w14:paraId="28A03ABB"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3</w:t>
      </w:r>
      <w:r>
        <w:rPr>
          <w:rFonts w:ascii="Cambria" w:hAnsi="Cambria" w:cs="Cambria"/>
          <w:vertAlign w:val="superscript"/>
          <w:lang w:val="en-GB"/>
        </w:rPr>
        <w:t>rd</w:t>
      </w:r>
      <w:r>
        <w:rPr>
          <w:rFonts w:ascii="Cambria" w:hAnsi="Cambria" w:cs="Cambria"/>
          <w:lang w:val="en-GB"/>
        </w:rPr>
        <w:t xml:space="preserve"> Enabling Masterplan recommends ways forward to provide an inclusive environment and accessible opportunities to persons with disabilities for seeking employment in Singapore. As Stated from the masterplan, these following pathways will be implemented into programmes (3</w:t>
      </w:r>
      <w:r>
        <w:rPr>
          <w:rFonts w:ascii="Cambria" w:hAnsi="Cambria" w:cs="Cambria"/>
          <w:vertAlign w:val="superscript"/>
          <w:lang w:val="en-GB"/>
        </w:rPr>
        <w:t>rd</w:t>
      </w:r>
      <w:r>
        <w:rPr>
          <w:rFonts w:ascii="Cambria" w:hAnsi="Cambria" w:cs="Cambria"/>
          <w:lang w:val="en-GB"/>
        </w:rPr>
        <w:t xml:space="preserve"> Enabling Masterplan, 2016):</w:t>
      </w:r>
    </w:p>
    <w:p w14:paraId="25F9F393" w14:textId="77777777" w:rsidR="00622BC0" w:rsidRDefault="00826C5A">
      <w:pPr>
        <w:widowControl w:val="0"/>
        <w:autoSpaceDE w:val="0"/>
        <w:autoSpaceDN w:val="0"/>
        <w:adjustRightInd w:val="0"/>
        <w:spacing w:after="200"/>
        <w:ind w:leftChars="200" w:left="720" w:right="-6" w:hangingChars="100" w:hanging="240"/>
        <w:jc w:val="both"/>
        <w:rPr>
          <w:rFonts w:ascii="Cambria" w:hAnsi="Cambria" w:cs="Cambria"/>
          <w:lang w:val="en-GB"/>
        </w:rPr>
      </w:pPr>
      <w:r>
        <w:rPr>
          <w:rFonts w:ascii="Cambria" w:hAnsi="Cambria" w:cs="Cambria"/>
          <w:lang w:val="en-GB"/>
        </w:rPr>
        <w:t>1.</w:t>
      </w:r>
      <w:r>
        <w:rPr>
          <w:rFonts w:ascii="Cambria" w:hAnsi="Cambria" w:cs="Cambria"/>
          <w:lang w:val="en-GB"/>
        </w:rPr>
        <w:tab/>
        <w:t>To develop and enhance vocational preparation pathways to better cater to persons with disabilities with diverse support needs.</w:t>
      </w:r>
    </w:p>
    <w:p w14:paraId="01020780" w14:textId="77777777" w:rsidR="00622BC0" w:rsidRDefault="00826C5A">
      <w:pPr>
        <w:widowControl w:val="0"/>
        <w:autoSpaceDE w:val="0"/>
        <w:autoSpaceDN w:val="0"/>
        <w:adjustRightInd w:val="0"/>
        <w:spacing w:after="200"/>
        <w:ind w:leftChars="200" w:left="720" w:right="-6" w:hangingChars="100" w:hanging="240"/>
        <w:jc w:val="both"/>
        <w:rPr>
          <w:rFonts w:ascii="Cambria" w:hAnsi="Cambria" w:cs="Cambria"/>
          <w:lang w:val="en-GB"/>
        </w:rPr>
      </w:pPr>
      <w:r>
        <w:rPr>
          <w:rFonts w:ascii="Cambria" w:hAnsi="Cambria" w:cs="Cambria"/>
          <w:lang w:val="en-GB"/>
        </w:rPr>
        <w:t>2.</w:t>
      </w:r>
      <w:r>
        <w:rPr>
          <w:rFonts w:ascii="Cambria" w:hAnsi="Cambria" w:cs="Cambria"/>
          <w:lang w:val="en-GB"/>
        </w:rPr>
        <w:tab/>
        <w:t>To develop a spectrum of open, supported, and customised employment models to provide more pathways to employment.</w:t>
      </w:r>
    </w:p>
    <w:p w14:paraId="45E67CB6" w14:textId="77777777" w:rsidR="00622BC0" w:rsidRDefault="00826C5A">
      <w:pPr>
        <w:widowControl w:val="0"/>
        <w:autoSpaceDE w:val="0"/>
        <w:autoSpaceDN w:val="0"/>
        <w:adjustRightInd w:val="0"/>
        <w:spacing w:after="200"/>
        <w:ind w:leftChars="200" w:left="720" w:right="-6" w:hangingChars="100" w:hanging="240"/>
        <w:jc w:val="both"/>
        <w:rPr>
          <w:rFonts w:ascii="Cambria" w:hAnsi="Cambria" w:cs="Cambria"/>
          <w:lang w:val="en-GB"/>
        </w:rPr>
      </w:pPr>
      <w:r>
        <w:rPr>
          <w:rFonts w:ascii="Cambria" w:hAnsi="Cambria" w:cs="Cambria"/>
          <w:lang w:val="en-GB"/>
        </w:rPr>
        <w:t>3.</w:t>
      </w:r>
      <w:r>
        <w:rPr>
          <w:rFonts w:ascii="Cambria" w:hAnsi="Cambria" w:cs="Cambria"/>
          <w:lang w:val="en-GB"/>
        </w:rPr>
        <w:tab/>
        <w:t xml:space="preserve">To strengthen efforts to provide lifelong learning opportunities for persons with disabilities. </w:t>
      </w:r>
    </w:p>
    <w:p w14:paraId="364B2956" w14:textId="77777777" w:rsidR="00622BC0" w:rsidRDefault="00826C5A">
      <w:pPr>
        <w:widowControl w:val="0"/>
        <w:autoSpaceDE w:val="0"/>
        <w:autoSpaceDN w:val="0"/>
        <w:adjustRightInd w:val="0"/>
        <w:spacing w:after="200"/>
        <w:ind w:leftChars="200" w:left="720" w:right="-6" w:hangingChars="100" w:hanging="240"/>
        <w:jc w:val="both"/>
        <w:rPr>
          <w:rFonts w:ascii="Cambria" w:hAnsi="Cambria" w:cs="Cambria"/>
          <w:lang w:val="en-GB"/>
        </w:rPr>
      </w:pPr>
      <w:r>
        <w:rPr>
          <w:rFonts w:ascii="Cambria" w:hAnsi="Cambria" w:cs="Cambria"/>
          <w:lang w:val="en-GB"/>
        </w:rPr>
        <w:t>4.</w:t>
      </w:r>
      <w:r>
        <w:rPr>
          <w:rFonts w:ascii="Cambria" w:hAnsi="Cambria" w:cs="Cambria"/>
          <w:lang w:val="en-GB"/>
        </w:rPr>
        <w:tab/>
        <w:t>To scale up efforts to build employers’ capabilities in hiring and managing employees with disabilities.</w:t>
      </w:r>
    </w:p>
    <w:p w14:paraId="7C7D97AA"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Implementation and Programmes</w:t>
      </w:r>
    </w:p>
    <w:p w14:paraId="79304346"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With regards to the goal of promoting, sustained, and inclusive economic growth, full and productive employment and decent work for all, the Singapore Government set up the agency, SG Enable which provided support by providing an offline platform of accessible and equal opportunities to self-employment, open job market information, skill training, and other programmes to persons with disabilities. Also, the government has worked closely with other social service agencies to assist in helping seek employment for persons with disabilities. The government has also launched initiatives such as the Special Employment Credit (SEC) and the Open Door Programme(ODP), which helped to promote the employment of persons with disabilities by providing financial incentives and encouraging employers to hire, train and integrate persons with disabilities. The ODP assists with job redesign, assistive technology purchases of equipment, workplace modification, as well as recruitment and job placement services (</w:t>
      </w:r>
      <w:proofErr w:type="spellStart"/>
      <w:r>
        <w:rPr>
          <w:rFonts w:ascii="Cambria" w:hAnsi="Cambria" w:cs="Cambria"/>
          <w:lang w:val="en-GB"/>
        </w:rPr>
        <w:t>Kunashakaran</w:t>
      </w:r>
      <w:proofErr w:type="spellEnd"/>
      <w:r>
        <w:rPr>
          <w:rFonts w:ascii="Cambria" w:hAnsi="Cambria" w:cs="Cambria"/>
          <w:lang w:val="en-GB"/>
        </w:rPr>
        <w:t xml:space="preserve">, Interview, 2019). </w:t>
      </w:r>
    </w:p>
    <w:p w14:paraId="4B91D1A2"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Job seekers can tap on the employment support programmes under Workforce Singapore's Adapt and Grow initiative that is initiated by the Singapore Government. The Institute of Mental Health and NCSS has also developed a Peer Support Specialist programme were persons in recovery can be trained and employed as Peer Support Specialists to provide support to other persons with mental health conditions. Also, the Health Promotion Board provides management training workshops that equip managers and human resource personnel with the skills to foster a supportive workplace environment, recognise common mental health issues, and encourage help-seeking behaviour (</w:t>
      </w:r>
      <w:proofErr w:type="spellStart"/>
      <w:r>
        <w:rPr>
          <w:rFonts w:ascii="Cambria" w:hAnsi="Cambria" w:cs="Cambria"/>
          <w:lang w:val="en-GB"/>
        </w:rPr>
        <w:t>Kunashakaran</w:t>
      </w:r>
      <w:proofErr w:type="spellEnd"/>
      <w:r>
        <w:rPr>
          <w:rFonts w:ascii="Cambria" w:hAnsi="Cambria" w:cs="Cambria"/>
          <w:lang w:val="en-GB"/>
        </w:rPr>
        <w:t>, Interview, 2019).</w:t>
      </w:r>
    </w:p>
    <w:p w14:paraId="342421C6" w14:textId="77777777" w:rsidR="00622BC0" w:rsidRDefault="00826C5A">
      <w:pPr>
        <w:widowControl w:val="0"/>
        <w:autoSpaceDE w:val="0"/>
        <w:autoSpaceDN w:val="0"/>
        <w:adjustRightInd w:val="0"/>
        <w:spacing w:after="200"/>
        <w:ind w:right="-6"/>
        <w:jc w:val="both"/>
        <w:rPr>
          <w:rFonts w:ascii="Calibri" w:hAnsi="Calibri" w:cs="Calibri"/>
          <w:lang w:val="en-GB"/>
        </w:rPr>
      </w:pPr>
      <w:r>
        <w:rPr>
          <w:rFonts w:ascii="Cambria" w:hAnsi="Cambria" w:cs="Cambria"/>
          <w:lang w:val="en-GB"/>
        </w:rPr>
        <w:t>Persons with disabilities are also included in the Workfare Income Supplement Scheme, which aims to supplement the wages and retirement savings of older low-wage workers and persons with disabilities, as well as to encourage them to stay employed. As of August 2015, more than 10,300 persons with disabilities have benefitted from the Workfare Income Supplement Scheme (Singapore CRPD State Report, 2016).</w:t>
      </w:r>
      <w:r>
        <w:rPr>
          <w:rFonts w:ascii="Calibri" w:hAnsi="Calibri" w:cs="Calibri"/>
          <w:lang w:val="en-GB"/>
        </w:rPr>
        <w:t xml:space="preserve"> </w:t>
      </w:r>
    </w:p>
    <w:p w14:paraId="69306E50"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Employment Act and other related laws on labour and employment do not generously mention persons with disabilities. However, it ensures the rights to employment for persons with disabilities in non-discrimination principles the same as other citizens. Tripartite Alliance for Fair and Progressive Employment Practices (TAFEP) also sets a guideline for fair employment practices to be adopted and implemented by employers. Other measures have been undertaking by the Singapore government, such as establish a pilot project of transferring children with disabilities from SPED to higher education or vocational schools to access the open job market. </w:t>
      </w:r>
    </w:p>
    <w:p w14:paraId="0204D48C" w14:textId="7CE16D59"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Participation of Civil Society and OPD</w:t>
      </w:r>
      <w:r w:rsidR="0067025E">
        <w:rPr>
          <w:rFonts w:ascii="Cambria" w:hAnsi="Cambria" w:cs="Cambria"/>
          <w:b/>
          <w:bCs/>
          <w:lang w:val="en-GB"/>
        </w:rPr>
        <w:t>s</w:t>
      </w:r>
    </w:p>
    <w:p w14:paraId="0E5ABE67" w14:textId="6F2CD8D4"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government of Singapore has undertaken several measures both in policies and programmes to ensure and protect the rights to employment for persons with disabilities. Nevertheless, policy advocacy conducted by OPD</w:t>
      </w:r>
      <w:r w:rsidR="0067025E">
        <w:rPr>
          <w:rFonts w:ascii="Cambria" w:hAnsi="Cambria" w:cs="Cambria"/>
          <w:lang w:val="en-GB"/>
        </w:rPr>
        <w:t>s</w:t>
      </w:r>
      <w:r>
        <w:rPr>
          <w:rFonts w:ascii="Cambria" w:hAnsi="Cambria" w:cs="Cambria"/>
          <w:lang w:val="en-GB"/>
        </w:rPr>
        <w:t xml:space="preserve"> and disability movement in this sector is less popular and familiar than other sectors such as legal capacity, women with disabilities, health, or education. Job seekers with mental health conditions who require employment assistance can approach the Job Club under the Institute of Mental Health, as well as the Singapore Anglican Community Services' Employment Support Services. Despite this opportunity, the Working Group or CRPD Parallel report requested the government to eliminate the discrimination of persons with disabilities amid various working environment, increase the effectiveness of job-matching programme between persons with disabilities and employees, as well as take immediate action to redetermine or expand the definition of disabilities that were used in the Enabling Masterplan and other references. The existing definition has led to the barrier for persons with disabilities in the workforce sectors.</w:t>
      </w:r>
    </w:p>
    <w:p w14:paraId="4A472A18" w14:textId="77777777" w:rsidR="00622BC0" w:rsidRDefault="00622BC0">
      <w:pPr>
        <w:widowControl w:val="0"/>
        <w:autoSpaceDE w:val="0"/>
        <w:autoSpaceDN w:val="0"/>
        <w:adjustRightInd w:val="0"/>
        <w:spacing w:after="200"/>
        <w:ind w:right="-6"/>
        <w:jc w:val="both"/>
        <w:rPr>
          <w:rFonts w:ascii="Cambria" w:hAnsi="Cambria" w:cs="Cambria"/>
          <w:lang w:val="en-GB"/>
        </w:rPr>
      </w:pPr>
    </w:p>
    <w:p w14:paraId="2726BFCD" w14:textId="77777777" w:rsidR="00622BC0" w:rsidRDefault="00826C5A">
      <w:pPr>
        <w:widowControl w:val="0"/>
        <w:numPr>
          <w:ilvl w:val="0"/>
          <w:numId w:val="12"/>
        </w:numPr>
        <w:autoSpaceDE w:val="0"/>
        <w:autoSpaceDN w:val="0"/>
        <w:adjustRightInd w:val="0"/>
        <w:spacing w:after="200"/>
        <w:ind w:left="425" w:right="-6" w:hanging="425"/>
        <w:jc w:val="both"/>
        <w:rPr>
          <w:rFonts w:ascii="Cambria" w:hAnsi="Cambria" w:cs="Cambria"/>
          <w:b/>
          <w:bCs/>
          <w:lang w:val="en-GB"/>
        </w:rPr>
      </w:pPr>
      <w:r>
        <w:rPr>
          <w:rFonts w:ascii="Cambria" w:hAnsi="Cambria" w:cs="Cambria"/>
          <w:b/>
          <w:bCs/>
        </w:rPr>
        <w:t xml:space="preserve">  </w:t>
      </w:r>
      <w:r>
        <w:rPr>
          <w:rFonts w:ascii="Cambria" w:hAnsi="Cambria" w:cs="Cambria"/>
          <w:b/>
          <w:bCs/>
          <w:lang w:val="en-GB"/>
        </w:rPr>
        <w:t>SDG Goal 11 - Sustainable Cities and Communities</w:t>
      </w:r>
    </w:p>
    <w:p w14:paraId="1498D03A"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Policy and Regulations</w:t>
      </w:r>
    </w:p>
    <w:p w14:paraId="4578EFC0"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Figure 6 Laws on Accessibility in Singapore</w:t>
      </w:r>
    </w:p>
    <w:p w14:paraId="4B9278CF"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bCs/>
          <w:noProof/>
          <w:lang w:val="en-GB"/>
        </w:rPr>
        <w:drawing>
          <wp:inline distT="0" distB="0" distL="114300" distR="114300" wp14:anchorId="438E9DA0" wp14:editId="5141E1FC">
            <wp:extent cx="4922520" cy="1950720"/>
            <wp:effectExtent l="0" t="0" r="11430" b="0"/>
            <wp:docPr id="2" name="Diagram 2"/>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7CE7555B"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Aside from the laws listed in the Figure 6 above, the Urban Redevelopment Authority (URA) enacted by the government of Singapore regulates land use and oversees conservation efforts. Guidelines to use of building gazetted as conservation areas as well as planning land use help to preserve local cultures in the face of rapid development in land-scarce Singapore (Department of Statistics Singapore, 2020). </w:t>
      </w:r>
    </w:p>
    <w:p w14:paraId="51C27161"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Relatively affordable housing has achieved milestones through the public housing schemes provided by the Housing Development Board (HDB) and founded in the early years of nation-building. HDB has introduced various schemes through the years, from providing housing for people relocating from the land acquisition of kampong villages to the rejuvenation of mature estates through the Selective </w:t>
      </w:r>
      <w:proofErr w:type="spellStart"/>
      <w:r>
        <w:rPr>
          <w:rFonts w:ascii="Cambria" w:hAnsi="Cambria" w:cs="Cambria"/>
          <w:lang w:val="en-GB"/>
        </w:rPr>
        <w:t>En</w:t>
      </w:r>
      <w:proofErr w:type="spellEnd"/>
      <w:r>
        <w:rPr>
          <w:rFonts w:ascii="Cambria" w:hAnsi="Cambria" w:cs="Cambria"/>
          <w:lang w:val="en-GB"/>
        </w:rPr>
        <w:t xml:space="preserve"> bloc Redevelopment Scheme (SERS), as well as Built To Order (BTO) apartments. Construction of projects has also been evolving to achieve completion faster with better results, such as the fabrication of modules off-site and its subsequent assembly, giving less waste in a shorter time-span (Department of Statistics Singapore, 2020). The number of registered persons with disabilities in housing credits is not collected yet in this section, yet, the housing developer seems reluctant to provide accessible schemes for them as there are not dedicated and mandatory codes for this matter.</w:t>
      </w:r>
    </w:p>
    <w:p w14:paraId="2B8470AE"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Implementation and Programmes</w:t>
      </w:r>
    </w:p>
    <w:p w14:paraId="12E37FE8"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In the issue of making cities and settlements safe, inclusive, and sustainable, the Singapore Government has made efforts to ensure that public spaces and access to these public spaces via an accessible transport system are inclusive. Singapore's public transport system is almost 100% accessible for people with disabilities. </w:t>
      </w:r>
    </w:p>
    <w:p w14:paraId="3CAE9FB4"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Physical accessibility in Singapore is consistently upgraded and is inclusive for people with disabilities. An example of this would be the adjustment in the timing of traffic lights to be longer in areas where persons with disabilities are found to frequent to allow them to be able to cross as they might require more time (Tan, Interview, 2019). Moreover, the government undertakes various measures to facilitate the participation of persons with disabilities in all spheres of life. </w:t>
      </w:r>
    </w:p>
    <w:p w14:paraId="12318D9E"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politics, special accommodations at polling stations and booths are made available for persons with disabilities in enabling them to vote. In the arts, the government encourages persons with disabilities to showcase talents at national events and organises the annual Arts &amp; Disability Forum. In sports, the government collaborates with Singapore Disability Sports Council (SDSC) to reach out to groups with various disabilities and offers a wide range of sports at both the professional and non-professional levels (</w:t>
      </w:r>
      <w:proofErr w:type="spellStart"/>
      <w:r>
        <w:rPr>
          <w:rFonts w:ascii="Cambria" w:hAnsi="Cambria" w:cs="Cambria"/>
          <w:lang w:val="en-GB"/>
        </w:rPr>
        <w:t>Kunashakaran</w:t>
      </w:r>
      <w:proofErr w:type="spellEnd"/>
      <w:r>
        <w:rPr>
          <w:rFonts w:ascii="Cambria" w:hAnsi="Cambria" w:cs="Cambria"/>
          <w:lang w:val="en-GB"/>
        </w:rPr>
        <w:t>, Interview, 2019).</w:t>
      </w:r>
    </w:p>
    <w:p w14:paraId="121295FB"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To provide access to accessible transport systems, the government has retrofitted all public buildings and facilities to provide essential accessibility, including community clubs, libraries, sports facilities, market and food centres, and National Heritage Board (NHB) museums. It has, moreover, upgraded public transportation and road infrastructure with barrier-free features. In addition to public infrastructure, the government has also encouraged private entities to upgrade their premises through its Barrier-Free Accessibility Upgrading Programme from 2007 to 2016 (</w:t>
      </w:r>
      <w:proofErr w:type="spellStart"/>
      <w:r>
        <w:rPr>
          <w:rFonts w:ascii="Cambria" w:hAnsi="Cambria" w:cs="Cambria"/>
          <w:lang w:val="en-GB"/>
        </w:rPr>
        <w:t>Kunashakaran</w:t>
      </w:r>
      <w:proofErr w:type="spellEnd"/>
      <w:r>
        <w:rPr>
          <w:rFonts w:ascii="Cambria" w:hAnsi="Cambria" w:cs="Cambria"/>
          <w:lang w:val="en-GB"/>
        </w:rPr>
        <w:t>, Interview, 2019).</w:t>
      </w:r>
    </w:p>
    <w:p w14:paraId="6E107EC5"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Code on Accessibility in the Built Environment by the Building and Construction Authority (BCA) applies to new buildings that were constructed after it came into effect. The initial version of the Code in 1990 has been enhanced every few years, with the latest version coming into effect in 2013. However, when public buildings undergo significant renovations, the latest version of the Code is applied retroactively. As of 2017, only 12 hotels and resorts received at least a four-star accessibility rating for user-friendliness levels according to BCA's Friendly Building Portal. Additionally, where retrofitting is not possible such as with historical buildings that have protected status, it is recommended that accessible facilities be added to these buildings to make them more accessible (</w:t>
      </w:r>
      <w:proofErr w:type="spellStart"/>
      <w:r>
        <w:rPr>
          <w:rFonts w:ascii="Cambria" w:hAnsi="Cambria" w:cs="Cambria"/>
          <w:lang w:val="en-GB"/>
        </w:rPr>
        <w:t>Kunashakaran</w:t>
      </w:r>
      <w:proofErr w:type="spellEnd"/>
      <w:r>
        <w:rPr>
          <w:rFonts w:ascii="Cambria" w:hAnsi="Cambria" w:cs="Cambria"/>
          <w:lang w:val="en-GB"/>
        </w:rPr>
        <w:t xml:space="preserve">, Interview, 2019). Schools have also become more accessible with lifts to cater to students with disabilities that have issues with mobility (Tan, Interview, 2019). </w:t>
      </w:r>
    </w:p>
    <w:p w14:paraId="09DC3B70"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Singapore is currently undergoing a Smart Nation Initiative (</w:t>
      </w:r>
      <w:proofErr w:type="spellStart"/>
      <w:r>
        <w:rPr>
          <w:rFonts w:ascii="Cambria" w:hAnsi="Cambria" w:cs="Cambria"/>
          <w:lang w:val="en-GB"/>
        </w:rPr>
        <w:t>Kunashakaran</w:t>
      </w:r>
      <w:proofErr w:type="spellEnd"/>
      <w:r>
        <w:rPr>
          <w:rFonts w:ascii="Cambria" w:hAnsi="Cambria" w:cs="Cambria"/>
          <w:lang w:val="en-GB"/>
        </w:rPr>
        <w:t>, Interview, 2019). Such initiatives are conducted by using autonomous vehicles to ensure that persons with disabilities can travel safely and efficiently on their own as the vehicles can be programmed to follow the traffic rules, which makes traveling safer (Smart Nation Singapore, 2019). Another initiative is the usage of Radio Frequency Identification (RFID) technology and hands-free fare gates to detect a commuter's fare card and deduct fares automatically. The technology passes a sensor and allows a person with disabilities to enter and exit the train stations quickly, without the need to tap their fare cards at the gates (Smart Nation Singapore, 2018).</w:t>
      </w:r>
    </w:p>
    <w:p w14:paraId="60E0F281"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Many public parks in Singapore are accessible to people with disabilities. Additionally, the NCSS has built several Inclusive Playgrounds in various regions of Singapore. Such playgrounds give greater access to outdoor play for children with special needs in the community and provide interaction between children with and without special needs. Equipment that will be available like the wheelchair-accessible merry-go-round allows for both children with and without disabilities to play together (</w:t>
      </w:r>
      <w:proofErr w:type="spellStart"/>
      <w:r>
        <w:rPr>
          <w:rFonts w:ascii="Cambria" w:hAnsi="Cambria" w:cs="Cambria"/>
          <w:lang w:val="en-GB"/>
        </w:rPr>
        <w:t>Kunashakaran</w:t>
      </w:r>
      <w:proofErr w:type="spellEnd"/>
      <w:r>
        <w:rPr>
          <w:rFonts w:ascii="Cambria" w:hAnsi="Cambria" w:cs="Cambria"/>
          <w:lang w:val="en-GB"/>
        </w:rPr>
        <w:t>, Interview, 2019).</w:t>
      </w:r>
    </w:p>
    <w:p w14:paraId="30C42F42"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To ensure the management of disasters, the Singapore Government has made efforts to include persons with disabilities in their emergency evacuation plans. For instance, the Emergency Short Messaging Service (SMS) Helpline introduced by the joint efforts of the NCSS, the Singapore Police Force (SPF), and the Singapore Civil Defence Force (SCDF). The programme offers an alternative means of contacting services for persons with disabilities whose disabilities make it difficult for them to make an emergency call to the Police or Civil Defence Force (</w:t>
      </w:r>
      <w:proofErr w:type="spellStart"/>
      <w:r>
        <w:rPr>
          <w:rFonts w:ascii="Cambria" w:hAnsi="Cambria" w:cs="Cambria"/>
          <w:lang w:val="en-GB"/>
        </w:rPr>
        <w:t>Kunashakaran</w:t>
      </w:r>
      <w:proofErr w:type="spellEnd"/>
      <w:r>
        <w:rPr>
          <w:rFonts w:ascii="Cambria" w:hAnsi="Cambria" w:cs="Cambria"/>
          <w:lang w:val="en-GB"/>
        </w:rPr>
        <w:t xml:space="preserve">, Interview, 2019). </w:t>
      </w:r>
    </w:p>
    <w:p w14:paraId="7155BC22"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There are existing provisions to assist and manage the evacuation of persons with disabilities during an emergency in the latest Fire Code, which most buildings in Singapore are required to comply with such a code. These provisions include design requirements to ensure persons with disabilities can access exit routes such as wheelchair accessibility and visual accessibility as well as fire lifts. There are also visual alarms, which are designed to alert people who are deaf or hard of hearing, as well as marked designated holding points on each floor to serve as temporary safe spaces for persons with disabilities to await assistance. </w:t>
      </w:r>
    </w:p>
    <w:p w14:paraId="011F574C"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lang w:val="en-GB"/>
        </w:rPr>
        <w:t>The government has also guaranteed temporary shelter and food as well as financial and psychological support during disaster-induced displacement events with additional accessible space for persons with disabilities. Closed Captioning (CC) is also available during emergencies on television for people who are deaf or hard of hearing. Traffic Marshalls have also been trained to assist persons with disabilities to evacuate from emergencies within the road tunnels (</w:t>
      </w:r>
      <w:proofErr w:type="spellStart"/>
      <w:r>
        <w:rPr>
          <w:rFonts w:ascii="Cambria" w:hAnsi="Cambria" w:cs="Cambria"/>
          <w:lang w:val="en-GB"/>
        </w:rPr>
        <w:t>Kunashakaran</w:t>
      </w:r>
      <w:proofErr w:type="spellEnd"/>
      <w:r>
        <w:rPr>
          <w:rFonts w:ascii="Cambria" w:hAnsi="Cambria" w:cs="Cambria"/>
          <w:lang w:val="en-GB"/>
        </w:rPr>
        <w:t>, Interview, 2019).</w:t>
      </w:r>
    </w:p>
    <w:p w14:paraId="2A64A44D" w14:textId="77777777" w:rsidR="00622BC0" w:rsidRDefault="00622BC0">
      <w:pPr>
        <w:widowControl w:val="0"/>
        <w:autoSpaceDE w:val="0"/>
        <w:autoSpaceDN w:val="0"/>
        <w:adjustRightInd w:val="0"/>
        <w:spacing w:after="200"/>
        <w:ind w:right="-6"/>
        <w:jc w:val="both"/>
        <w:rPr>
          <w:rFonts w:ascii="Cambria" w:hAnsi="Cambria" w:cs="Cambria"/>
          <w:b/>
          <w:bCs/>
          <w:lang w:val="en-GB"/>
        </w:rPr>
      </w:pPr>
    </w:p>
    <w:p w14:paraId="71FFDF75" w14:textId="268733A1"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Participation of Civil Society and OPD</w:t>
      </w:r>
      <w:r w:rsidR="0067025E">
        <w:rPr>
          <w:rFonts w:ascii="Cambria" w:hAnsi="Cambria" w:cs="Cambria"/>
          <w:b/>
          <w:bCs/>
          <w:lang w:val="en-GB"/>
        </w:rPr>
        <w:t>s</w:t>
      </w:r>
    </w:p>
    <w:p w14:paraId="002C8DC5" w14:textId="1BEB7DA2"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Accessibility advocacy has demonstrated progressive results in Singapore with support from OPD</w:t>
      </w:r>
      <w:r w:rsidR="0067025E">
        <w:rPr>
          <w:rFonts w:ascii="Cambria" w:hAnsi="Cambria" w:cs="Cambria"/>
          <w:lang w:val="en-GB"/>
        </w:rPr>
        <w:t xml:space="preserve">s </w:t>
      </w:r>
      <w:r>
        <w:rPr>
          <w:rFonts w:ascii="Cambria" w:hAnsi="Cambria" w:cs="Cambria"/>
          <w:lang w:val="en-GB"/>
        </w:rPr>
        <w:t>and persons with disabilities through the involvement of public facilities monitoring, evaluations, and inputs for the adopted laws and programmes. Even though limited involvement in policy-making remains exists yet the government commits to comply with CRPD articles in the national measures. Under the regulations of the Code of Accessibility in the Built Environment, at least one accessible toilet must be provided for every cluster of toilets; and one ambulant accessible toilet has to be provided for every five water closet cubicles provided (Singapore CRPD State Report, 2016).</w:t>
      </w:r>
    </w:p>
    <w:p w14:paraId="48477CFB"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More than 85 participants from national governments, local authorities, NGOs, international financial institutions and research institutions from 14 countries in the region attended a presentation of the UN Environment's Finance Initiative publication "Sustainable Real Estate Investment – Implementing the Paris Climate Agreement: An Action Framework," and the Working Session of the Sustainable Energy for All (SE4All) Building Efficiency Accelerator; it involved a series of activities in meeting the global sustainable buildings and climate change agenda (Singapore’s Voluntary National Review Report, 2018).</w:t>
      </w:r>
    </w:p>
    <w:p w14:paraId="79928EC9" w14:textId="77777777" w:rsidR="00622BC0" w:rsidRDefault="00622BC0">
      <w:pPr>
        <w:widowControl w:val="0"/>
        <w:autoSpaceDE w:val="0"/>
        <w:autoSpaceDN w:val="0"/>
        <w:adjustRightInd w:val="0"/>
        <w:spacing w:after="200"/>
        <w:ind w:right="-6"/>
        <w:jc w:val="both"/>
        <w:rPr>
          <w:rFonts w:ascii="Cambria" w:hAnsi="Cambria" w:cs="Cambria"/>
          <w:lang w:val="en-GB"/>
        </w:rPr>
      </w:pPr>
    </w:p>
    <w:p w14:paraId="067CA8F0" w14:textId="77777777" w:rsidR="00622BC0" w:rsidRDefault="00826C5A">
      <w:pPr>
        <w:widowControl w:val="0"/>
        <w:autoSpaceDE w:val="0"/>
        <w:autoSpaceDN w:val="0"/>
        <w:adjustRightInd w:val="0"/>
        <w:spacing w:after="200"/>
        <w:ind w:left="520" w:right="-6" w:hangingChars="216" w:hanging="520"/>
        <w:jc w:val="both"/>
        <w:rPr>
          <w:rFonts w:ascii="Cambria" w:hAnsi="Cambria" w:cs="Cambria"/>
          <w:lang w:val="en-GB"/>
        </w:rPr>
      </w:pPr>
      <w:r>
        <w:rPr>
          <w:rFonts w:ascii="Cambria" w:hAnsi="Cambria" w:cs="Cambria"/>
          <w:b/>
          <w:bCs/>
          <w:lang w:val="en-GB"/>
        </w:rPr>
        <w:t xml:space="preserve">8. </w:t>
      </w:r>
      <w:r>
        <w:rPr>
          <w:rFonts w:ascii="Cambria" w:hAnsi="Cambria" w:cs="Cambria"/>
          <w:b/>
          <w:bCs/>
        </w:rPr>
        <w:t xml:space="preserve"> </w:t>
      </w:r>
      <w:r>
        <w:rPr>
          <w:rFonts w:ascii="Cambria" w:hAnsi="Cambria" w:cs="Cambria"/>
          <w:b/>
          <w:bCs/>
          <w:lang w:val="en-GB"/>
        </w:rPr>
        <w:t>Challenges and Recommendations for the Implementation of CRPD and SDGs in Singapore</w:t>
      </w:r>
    </w:p>
    <w:p w14:paraId="7769B2A9"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 challenge would be that while the implementation of the Vulnerable Adults Act and Criminal Reform Bill are essential and commendable measures, women and girls with disabilities are particularly vulnerable to many crimes. The VAA and Criminal Reform Bill can lay out a framework for criminal penalties to be meted out to perpetrators of abuse after it happened, but more robust laws and policies are necessary to prevent any potential or ongoing abuse of women with disabilities. Such policies are needed as women and girls with disabilities are often isolated and dependent on others for care or assistance in performing daily activities. As such, they might find it especially difficult to report cases of abuse or seek help (</w:t>
      </w:r>
      <w:proofErr w:type="spellStart"/>
      <w:r>
        <w:rPr>
          <w:rFonts w:ascii="Cambria" w:hAnsi="Cambria" w:cs="Cambria"/>
          <w:lang w:val="en-GB"/>
        </w:rPr>
        <w:t>Kunashakaran</w:t>
      </w:r>
      <w:proofErr w:type="spellEnd"/>
      <w:r>
        <w:rPr>
          <w:rFonts w:ascii="Cambria" w:hAnsi="Cambria" w:cs="Cambria"/>
          <w:lang w:val="en-GB"/>
        </w:rPr>
        <w:t>, Interview, 2019).</w:t>
      </w:r>
    </w:p>
    <w:p w14:paraId="2CF7F56E"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Although there have been progressive advancements in the education of children with disabilities in Singapore, through the Compulsory Education Act, the EIPIC, special education schools and setting up of Disability Support Offices in Institutes of Higher Learning, children with and without disabilities are not yet treated equally, due to the segregation between mainstream and special education schools. </w:t>
      </w:r>
    </w:p>
    <w:p w14:paraId="3F8F5680"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While there is currently an inclusive pre-school at the Enabling Village, for children with and without disabilities (Kindle Garden by AWWA Ltd), there remains a lack of integration between students from mainstream primary/secondary schools and special education schools (</w:t>
      </w:r>
      <w:proofErr w:type="spellStart"/>
      <w:r>
        <w:rPr>
          <w:rFonts w:ascii="Cambria" w:hAnsi="Cambria" w:cs="Cambria"/>
          <w:lang w:val="en-GB"/>
        </w:rPr>
        <w:t>Kunashakaran</w:t>
      </w:r>
      <w:proofErr w:type="spellEnd"/>
      <w:r>
        <w:rPr>
          <w:rFonts w:ascii="Cambria" w:hAnsi="Cambria" w:cs="Cambria"/>
          <w:lang w:val="en-GB"/>
        </w:rPr>
        <w:t>, Interview, 2019).</w:t>
      </w:r>
    </w:p>
    <w:p w14:paraId="78F648A9"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More could be done in the way of access to information. It is still challenging to provide information in a range of accessible formats in Singapore. The format includes information that is in braille and Easy Read/Simple English. Additionally, many public services and government websites are still not W3C (World Wide Web Consortium) compliant. </w:t>
      </w:r>
    </w:p>
    <w:p w14:paraId="1B4E6545"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Currently, only the Ministry of Social and Family Development (MSF) website complies with web accessibility. The lack of sufficient sign-language interpreters in Singapore is also a challenge when people who are deaf or hard of hearing need to access professional/health-care services (</w:t>
      </w:r>
      <w:proofErr w:type="spellStart"/>
      <w:r>
        <w:rPr>
          <w:rFonts w:ascii="Cambria" w:hAnsi="Cambria" w:cs="Cambria"/>
          <w:lang w:val="en-GB"/>
        </w:rPr>
        <w:t>Kunashakaran</w:t>
      </w:r>
      <w:proofErr w:type="spellEnd"/>
      <w:r>
        <w:rPr>
          <w:rFonts w:ascii="Cambria" w:hAnsi="Cambria" w:cs="Cambria"/>
          <w:lang w:val="en-GB"/>
        </w:rPr>
        <w:t xml:space="preserve">, Interview, 2019). </w:t>
      </w:r>
    </w:p>
    <w:p w14:paraId="298FD4DF"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Recommendations are as follows, the displacement contingency plans from the Ministry of Social and Family Development should be made readily available for the public. More visual and tactile cues or announcements can be installed to facilitate the dissemination of evacuation routes and plans in case of an emergency. Actual fire safety and evacuation should be practiced, as well. </w:t>
      </w:r>
    </w:p>
    <w:p w14:paraId="0DE62976"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government should also ensure that any communication or notification sent out would be accessible to persons with disabilities, as well as to enquire that they can understand the message being conveyed as many older residents living in Singapore might not be fluent in English. </w:t>
      </w:r>
    </w:p>
    <w:p w14:paraId="51D13B0E"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With regards to public transportation, it is recommended that the government install audio and visual announcements that are automated in buses and trains that state information such as the upcoming stop, and bus arrival time (</w:t>
      </w:r>
      <w:proofErr w:type="spellStart"/>
      <w:r>
        <w:rPr>
          <w:rFonts w:ascii="Cambria" w:hAnsi="Cambria" w:cs="Cambria"/>
          <w:lang w:val="en-GB"/>
        </w:rPr>
        <w:t>Kunashakaran</w:t>
      </w:r>
      <w:proofErr w:type="spellEnd"/>
      <w:r>
        <w:rPr>
          <w:rFonts w:ascii="Cambria" w:hAnsi="Cambria" w:cs="Cambria"/>
          <w:lang w:val="en-GB"/>
        </w:rPr>
        <w:t>, Interview, 2019).</w:t>
      </w:r>
    </w:p>
    <w:p w14:paraId="62D361D9"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Steps can be taken to increase the awareness of employment schemes among employers and persons with disabilities. Despite Government funding, support, and training programmes for employers and job applicants with disabilities, many remain unaware of the existence of such forms of assistance. Further, misconceptions among employers about how to make reasonable adjustments for persons with disabilities remain, which made it all the more difficult for persons with disabilities to be integrated into the labour force (</w:t>
      </w:r>
      <w:proofErr w:type="spellStart"/>
      <w:r>
        <w:rPr>
          <w:rFonts w:ascii="Cambria" w:hAnsi="Cambria" w:cs="Cambria"/>
          <w:lang w:val="en-GB"/>
        </w:rPr>
        <w:t>Kunashakaran</w:t>
      </w:r>
      <w:proofErr w:type="spellEnd"/>
      <w:r>
        <w:rPr>
          <w:rFonts w:ascii="Cambria" w:hAnsi="Cambria" w:cs="Cambria"/>
          <w:lang w:val="en-GB"/>
        </w:rPr>
        <w:t xml:space="preserve">, Interview, 2019). </w:t>
      </w:r>
    </w:p>
    <w:p w14:paraId="625DB2E6" w14:textId="77777777" w:rsidR="00622BC0" w:rsidRDefault="00826C5A">
      <w:pPr>
        <w:widowControl w:val="0"/>
        <w:autoSpaceDE w:val="0"/>
        <w:autoSpaceDN w:val="0"/>
        <w:adjustRightInd w:val="0"/>
        <w:spacing w:after="200"/>
        <w:ind w:right="-6"/>
        <w:rPr>
          <w:rFonts w:ascii="Cambria" w:hAnsi="Cambria" w:cs="Cambria"/>
          <w:lang w:val="en-GB"/>
        </w:rPr>
      </w:pPr>
      <w:r>
        <w:rPr>
          <w:rFonts w:ascii="Calibri" w:hAnsi="Calibri" w:cs="Calibri"/>
          <w:lang w:val="en-GB"/>
        </w:rPr>
        <w:br w:type="page"/>
      </w:r>
    </w:p>
    <w:p w14:paraId="3FA4FF11" w14:textId="77777777" w:rsidR="00622BC0" w:rsidRDefault="00826C5A">
      <w:pPr>
        <w:widowControl w:val="0"/>
        <w:autoSpaceDE w:val="0"/>
        <w:autoSpaceDN w:val="0"/>
        <w:adjustRightInd w:val="0"/>
        <w:spacing w:after="200"/>
        <w:ind w:right="-6"/>
        <w:jc w:val="center"/>
        <w:rPr>
          <w:rFonts w:ascii="Cambria" w:hAnsi="Cambria" w:cs="Cambria"/>
          <w:b/>
          <w:bCs/>
          <w:lang w:val="en-GB"/>
        </w:rPr>
      </w:pPr>
      <w:r>
        <w:rPr>
          <w:rFonts w:ascii="Cambria" w:hAnsi="Cambria" w:cs="Cambria"/>
          <w:b/>
          <w:bCs/>
          <w:lang w:val="en-GB"/>
        </w:rPr>
        <w:t>Chapter 5. Challenges in Fulfilling the Rights of Persons with Disabilities in Viet Nam</w:t>
      </w:r>
    </w:p>
    <w:p w14:paraId="37D9FD07" w14:textId="77777777" w:rsidR="00622BC0" w:rsidRDefault="00826C5A">
      <w:pPr>
        <w:widowControl w:val="0"/>
        <w:autoSpaceDE w:val="0"/>
        <w:autoSpaceDN w:val="0"/>
        <w:adjustRightInd w:val="0"/>
        <w:spacing w:after="200"/>
        <w:ind w:right="-6"/>
        <w:jc w:val="center"/>
        <w:rPr>
          <w:rFonts w:ascii="Cambria" w:hAnsi="Cambria" w:cs="Cambria"/>
          <w:b/>
          <w:bCs/>
          <w:lang w:val="en-GB"/>
        </w:rPr>
      </w:pPr>
      <w:r>
        <w:rPr>
          <w:rFonts w:ascii="Cambria" w:hAnsi="Cambria" w:cs="Cambria"/>
          <w:b/>
          <w:bCs/>
          <w:lang w:val="en-GB"/>
        </w:rPr>
        <w:t xml:space="preserve">by Vu Ngoc </w:t>
      </w:r>
      <w:proofErr w:type="spellStart"/>
      <w:r>
        <w:rPr>
          <w:rFonts w:ascii="Cambria" w:hAnsi="Cambria" w:cs="Cambria"/>
          <w:b/>
          <w:bCs/>
          <w:lang w:val="en-GB"/>
        </w:rPr>
        <w:t>Binh</w:t>
      </w:r>
      <w:proofErr w:type="spellEnd"/>
    </w:p>
    <w:p w14:paraId="40CCC4D1" w14:textId="77777777" w:rsidR="00622BC0" w:rsidRDefault="00622BC0">
      <w:pPr>
        <w:widowControl w:val="0"/>
        <w:autoSpaceDE w:val="0"/>
        <w:autoSpaceDN w:val="0"/>
        <w:adjustRightInd w:val="0"/>
        <w:spacing w:after="200"/>
        <w:ind w:right="-6"/>
        <w:jc w:val="center"/>
        <w:rPr>
          <w:rFonts w:ascii="Cambria" w:hAnsi="Cambria" w:cs="Cambria"/>
          <w:b/>
          <w:bCs/>
          <w:lang w:val="en-GB"/>
        </w:rPr>
      </w:pPr>
    </w:p>
    <w:p w14:paraId="0AA76683" w14:textId="77777777" w:rsidR="00622BC0" w:rsidRDefault="00826C5A">
      <w:pPr>
        <w:widowControl w:val="0"/>
        <w:numPr>
          <w:ilvl w:val="0"/>
          <w:numId w:val="15"/>
        </w:numPr>
        <w:tabs>
          <w:tab w:val="left" w:pos="360"/>
          <w:tab w:val="left" w:pos="10710"/>
        </w:tabs>
        <w:autoSpaceDE w:val="0"/>
        <w:autoSpaceDN w:val="0"/>
        <w:adjustRightInd w:val="0"/>
        <w:spacing w:before="280"/>
        <w:ind w:left="0" w:right="-6" w:firstLine="0"/>
        <w:jc w:val="both"/>
        <w:rPr>
          <w:rFonts w:ascii="Cambria" w:hAnsi="Cambria" w:cs="Cambria"/>
          <w:b/>
          <w:bCs/>
          <w:lang w:val="en-GB"/>
        </w:rPr>
      </w:pPr>
      <w:r>
        <w:rPr>
          <w:rFonts w:ascii="Cambria" w:hAnsi="Cambria" w:cs="Cambria"/>
          <w:b/>
          <w:bCs/>
        </w:rPr>
        <w:t>Introduction</w:t>
      </w:r>
    </w:p>
    <w:p w14:paraId="5314683C" w14:textId="77777777" w:rsidR="00622BC0" w:rsidRDefault="00622BC0">
      <w:pPr>
        <w:widowControl w:val="0"/>
        <w:tabs>
          <w:tab w:val="left" w:pos="360"/>
          <w:tab w:val="left" w:pos="10710"/>
        </w:tabs>
        <w:autoSpaceDE w:val="0"/>
        <w:autoSpaceDN w:val="0"/>
        <w:adjustRightInd w:val="0"/>
        <w:spacing w:after="280"/>
        <w:ind w:right="-6"/>
        <w:jc w:val="both"/>
        <w:rPr>
          <w:rFonts w:ascii="Cambria" w:hAnsi="Cambria" w:cs="Cambria"/>
          <w:lang w:val="en-GB"/>
        </w:rPr>
      </w:pPr>
    </w:p>
    <w:p w14:paraId="50EFABEC" w14:textId="77777777" w:rsidR="00622BC0" w:rsidRDefault="00826C5A">
      <w:pPr>
        <w:widowControl w:val="0"/>
        <w:tabs>
          <w:tab w:val="left" w:pos="360"/>
          <w:tab w:val="left" w:pos="10710"/>
        </w:tabs>
        <w:autoSpaceDE w:val="0"/>
        <w:autoSpaceDN w:val="0"/>
        <w:adjustRightInd w:val="0"/>
        <w:spacing w:after="280"/>
        <w:ind w:right="-6"/>
        <w:jc w:val="both"/>
        <w:rPr>
          <w:rFonts w:ascii="Cambria" w:hAnsi="Cambria" w:cs="Cambria"/>
          <w:lang w:val="en-GB"/>
        </w:rPr>
      </w:pPr>
      <w:r>
        <w:rPr>
          <w:rFonts w:ascii="Cambria" w:hAnsi="Cambria" w:cs="Cambria"/>
        </w:rPr>
        <w:t>R</w:t>
      </w:r>
      <w:proofErr w:type="spellStart"/>
      <w:r>
        <w:rPr>
          <w:rFonts w:ascii="Cambria" w:hAnsi="Cambria" w:cs="Cambria"/>
          <w:lang w:val="en-GB"/>
        </w:rPr>
        <w:t>esulting</w:t>
      </w:r>
      <w:proofErr w:type="spellEnd"/>
      <w:r>
        <w:rPr>
          <w:rFonts w:ascii="Cambria" w:hAnsi="Cambria" w:cs="Cambria"/>
          <w:lang w:val="en-GB"/>
        </w:rPr>
        <w:t xml:space="preserve"> from the economic growth, Viet Nam achieved the status of a lower middle-income country (MIC) in 2010, attained several MDGs way before the 2015 deadline, significantly reduced poverty in the last 15 years, and made considerable progress on social welfare and social development, especially across three areas; namely, education, health, and living standards. Viet Nam's commitment to fostering inclusive growth and prosperity has underpinned reliable economic growth rates over the past two decades, drastically reducing poverty rates from nearly 60% of the population in the 1990s to under 5% in 2018. Nevertheless, critical challenges to sustainable growth remain, and certain groups, including migrants, ethnic minorities, and persons with disabilities, are lagging. Challenges and limitations in social service delivery, accountability, oversight, and efficient public investment have undermined equitable access to services for all Vietnamese people, exacerbating existing inequalities and disparities (UNDP, 2018). </w:t>
      </w:r>
    </w:p>
    <w:p w14:paraId="15A36CAE"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With regards to data of persons with disabilities, essential findings from the Viet Nam Disability Survey (VDS) launched in late 2018 showed that 7.06% of the population of Viet Nam aged 2 or 6,199,048 persons and over are persons with disabilities, in which the percentage of children aged 2-17 years or 663,964 calculated children with disabilities is 2.83% and adults aged 18 and older or 5,535,084 persons is 8.67%. If adding data from the general administrative review, the total of people with disabilities in the entire country is 6,225,519 persons, in which 671,659 children aged 2-17 and 5,553,860 people aged 18 years and older. The result, as mentioned earlier, is considerably lower than the global percentage of WHO estimation on the number of persons with disabilities around 15%.</w:t>
      </w:r>
    </w:p>
    <w:p w14:paraId="398D10EC" w14:textId="77777777" w:rsidR="00622BC0" w:rsidRDefault="00622BC0">
      <w:pPr>
        <w:widowControl w:val="0"/>
        <w:autoSpaceDE w:val="0"/>
        <w:autoSpaceDN w:val="0"/>
        <w:adjustRightInd w:val="0"/>
        <w:spacing w:after="200"/>
        <w:ind w:right="-6"/>
        <w:jc w:val="both"/>
        <w:rPr>
          <w:rFonts w:ascii="Cambria" w:hAnsi="Cambria" w:cs="Cambria"/>
          <w:b/>
          <w:bCs/>
          <w:lang w:val="en-GB"/>
        </w:rPr>
      </w:pPr>
    </w:p>
    <w:p w14:paraId="73CF1309"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2.</w:t>
      </w:r>
      <w:r>
        <w:rPr>
          <w:rFonts w:ascii="Cambria" w:hAnsi="Cambria" w:cs="Cambria"/>
          <w:b/>
          <w:bCs/>
          <w:lang w:val="en-GB"/>
        </w:rPr>
        <w:tab/>
        <w:t>Preview Situation of Persons with Disabilities in Viet Nam</w:t>
      </w:r>
    </w:p>
    <w:p w14:paraId="6A1A3049"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lang w:val="en-GB"/>
        </w:rPr>
        <w:t xml:space="preserve">The people with disabilities (persons with disabilities) in Viet Nam constitute one of the most marginalised groups and vulnerable members of society, facing significant challenges and barriers in their daily lives. However, with Viet Nam’s ratification of the CRPD without any reservation in 2015 (United Nations Treaty Collection, 2020), the persons with disabilities in the country have received more vigorous attention and continue to be a target group of many social and economic policies of Viet Nam that aim to fulfil their rights, tackle discrimination and eliminate disparities. However, limited data and evidence on the life of the persons with disabilities have made it difficult for state and non-state actors, as well as donors to monitor the effectiveness of existing laws, policies, and programmes, and to understand the need for reforms, as there are no accurate statistics on how many persons with disabilities live in the country. </w:t>
      </w:r>
    </w:p>
    <w:p w14:paraId="09BB4FA4" w14:textId="462AC4FF"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According to the Law on Persons with Disabilities (LPD, 2010), which replaced the Ordinance on Persons with Disabilities of 1998, persons with disabilities are defined as those who have impairment of </w:t>
      </w:r>
      <w:r w:rsidRPr="00826C5A">
        <w:rPr>
          <w:rFonts w:ascii="Cambria" w:hAnsi="Cambria" w:cs="Cambria"/>
          <w:lang w:val="en-GB"/>
        </w:rPr>
        <w:t>one or more parts of their body, or functional impairment, which are shown in different forms of disability. They may cause difficulties in work, daily life, and learning (Article 2). The LPD (Article 3) categorises six types of disability, including mobility, hearing and speaking, vision, intellectual, and other types of disabilities CRPD preamble. The CRPD recognises disability as an interaction between persons whose long-term physical, intellectual or sensory impairments and environment may find barriers</w:t>
      </w:r>
      <w:r>
        <w:rPr>
          <w:rFonts w:ascii="Cambria" w:hAnsi="Cambria" w:cs="Cambria"/>
          <w:lang w:val="en-GB"/>
        </w:rPr>
        <w:t xml:space="preserve"> that hamper them to live independently and enjoy full and active participation in the society. The LPD determines three levels of disability as follows: </w:t>
      </w:r>
    </w:p>
    <w:p w14:paraId="60ACC40E" w14:textId="77777777" w:rsidR="00622BC0" w:rsidRDefault="00826C5A">
      <w:pPr>
        <w:widowControl w:val="0"/>
        <w:autoSpaceDE w:val="0"/>
        <w:autoSpaceDN w:val="0"/>
        <w:adjustRightInd w:val="0"/>
        <w:spacing w:after="200"/>
        <w:ind w:leftChars="100" w:left="480" w:right="-6" w:hangingChars="100" w:hanging="240"/>
        <w:jc w:val="both"/>
        <w:rPr>
          <w:rFonts w:ascii="Cambria" w:hAnsi="Cambria" w:cs="Cambria"/>
          <w:lang w:val="en-GB"/>
        </w:rPr>
      </w:pPr>
      <w:r>
        <w:rPr>
          <w:rFonts w:ascii="Cambria" w:hAnsi="Cambria" w:cs="Cambria"/>
          <w:lang w:val="en-GB"/>
        </w:rPr>
        <w:t>1.</w:t>
      </w:r>
      <w:r>
        <w:rPr>
          <w:rFonts w:ascii="Cambria" w:hAnsi="Cambria" w:cs="Cambria"/>
          <w:lang w:val="en-GB"/>
        </w:rPr>
        <w:tab/>
        <w:t xml:space="preserve">persons with severe disability are those who are unable to support themselves in their daily activities; </w:t>
      </w:r>
    </w:p>
    <w:p w14:paraId="5EEA390E" w14:textId="77777777" w:rsidR="00622BC0" w:rsidRDefault="00826C5A">
      <w:pPr>
        <w:widowControl w:val="0"/>
        <w:autoSpaceDE w:val="0"/>
        <w:autoSpaceDN w:val="0"/>
        <w:adjustRightInd w:val="0"/>
        <w:spacing w:after="200"/>
        <w:ind w:leftChars="100" w:left="480" w:right="-6" w:hangingChars="100" w:hanging="240"/>
        <w:jc w:val="both"/>
        <w:rPr>
          <w:rFonts w:ascii="Cambria" w:hAnsi="Cambria" w:cs="Cambria"/>
          <w:lang w:val="en-GB"/>
        </w:rPr>
      </w:pPr>
      <w:r>
        <w:rPr>
          <w:rFonts w:ascii="Cambria" w:hAnsi="Cambria" w:cs="Cambria"/>
          <w:lang w:val="en-GB"/>
        </w:rPr>
        <w:t>2.</w:t>
      </w:r>
      <w:r>
        <w:rPr>
          <w:rFonts w:ascii="Cambria" w:hAnsi="Cambria" w:cs="Cambria"/>
          <w:lang w:val="en-GB"/>
        </w:rPr>
        <w:tab/>
        <w:t>persons with moderate disability are those who can support themselves in some of their daily activities; and</w:t>
      </w:r>
    </w:p>
    <w:p w14:paraId="5A9BC479" w14:textId="77777777" w:rsidR="00622BC0" w:rsidRDefault="00826C5A">
      <w:pPr>
        <w:widowControl w:val="0"/>
        <w:autoSpaceDE w:val="0"/>
        <w:autoSpaceDN w:val="0"/>
        <w:adjustRightInd w:val="0"/>
        <w:spacing w:after="200"/>
        <w:ind w:leftChars="100" w:left="480" w:right="-6" w:hangingChars="100" w:hanging="240"/>
        <w:jc w:val="both"/>
        <w:rPr>
          <w:rFonts w:ascii="Cambria" w:hAnsi="Cambria" w:cs="Cambria"/>
          <w:lang w:val="en-GB"/>
        </w:rPr>
      </w:pPr>
      <w:r>
        <w:rPr>
          <w:rFonts w:ascii="Cambria" w:hAnsi="Cambria" w:cs="Cambria"/>
          <w:lang w:val="en-GB"/>
        </w:rPr>
        <w:t>3.</w:t>
      </w:r>
      <w:r>
        <w:rPr>
          <w:rFonts w:ascii="Cambria" w:hAnsi="Cambria" w:cs="Cambria"/>
          <w:lang w:val="en-GB"/>
        </w:rPr>
        <w:tab/>
        <w:t>persons with minor disabilities are those who do not fall under provisions 1 and 2 of Article 3.</w:t>
      </w:r>
    </w:p>
    <w:p w14:paraId="24CD2F80"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Key findings of the VDS, which was launched in December 2018, include data on national disability prevalence and demography, disability prevalence for children by type, access to health insurance, access to education, employment, access to social assistance, poverty situation, and living conditions, and public attitude over persons with disabilities. The evidence generated from this study informs development and reform of laws, specifically LPD, policies and programmes as well as monitor the country's progress toward national goals, SDGs and international commitments toward the human rights of persons with disabilities. </w:t>
      </w:r>
    </w:p>
    <w:p w14:paraId="6EA3F74C" w14:textId="77777777" w:rsidR="00622BC0" w:rsidRDefault="00826C5A">
      <w:pPr>
        <w:widowControl w:val="0"/>
        <w:tabs>
          <w:tab w:val="left" w:pos="10710"/>
        </w:tabs>
        <w:autoSpaceDE w:val="0"/>
        <w:autoSpaceDN w:val="0"/>
        <w:adjustRightInd w:val="0"/>
        <w:ind w:right="-6"/>
        <w:jc w:val="both"/>
        <w:rPr>
          <w:rFonts w:ascii="Cambria" w:hAnsi="Cambria" w:cs="Cambria"/>
          <w:lang w:val="en-GB"/>
        </w:rPr>
      </w:pPr>
      <w:r>
        <w:rPr>
          <w:rFonts w:ascii="Cambria" w:hAnsi="Cambria" w:cs="Cambria"/>
          <w:lang w:val="en-GB"/>
        </w:rPr>
        <w:t xml:space="preserve">Before 2018, the available nationally representative data on the persons with disabilities collected in Viet Nam was attributed to two national surveys conducted by the General Statistics Office (GSO) (GSO Viet Nam, 2020). The first was the 2006 Viet Nam Household Living Standards Survey (VHLSS) (World Bank, 2006) that used the Washington Group Short-Set of six questions (on hearing, seeing, walking or climbing stairs, remembering or concentrating, self-care and communicating) (Washington Group, 2016). The second was the 2009 Population and Housing Census (UNFPA Viet Nam, 2012) that used four questions (hearing, seeing, walking, and remembering or concentrating) of the WG short set. The survey result estimates that 7,8% of 78,5 million persons aged five years or older in 2009; there are 6,1 million people live with one or multiple disabilities. However, the national surveys on household living standards and inter census did not include questions on functioning. </w:t>
      </w:r>
    </w:p>
    <w:p w14:paraId="2353087C"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Concerning the CRPD, the strength of the Viet Nam State Party Report on implementing CRPD lies in three main areas including a) ratification of the CRPD reflecting the national commitment to persons with disabilities; b) the progressive development of legal frameworks and subsequent amendments in line with CRPD since ratification; and; c) the regular national household survey in which the disability definition has been evolving to be harmonised with the International Classification of Functioning, Disability and Health (ICF) and CRPD.</w:t>
      </w:r>
    </w:p>
    <w:p w14:paraId="437949D9" w14:textId="71D4570E"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Those gradual changes provide a conducive environment for CRPD implementation in Viet Nam. However, there are certain shortcomings such as the information system lacking support for quality monitoring and evaluation, inadequate multi-sectoral participation and genuine engagement of OPD</w:t>
      </w:r>
      <w:r w:rsidR="0067025E">
        <w:rPr>
          <w:rFonts w:ascii="Cambria" w:hAnsi="Cambria" w:cs="Cambria"/>
          <w:lang w:val="en-GB"/>
        </w:rPr>
        <w:t>s</w:t>
      </w:r>
      <w:r>
        <w:rPr>
          <w:rFonts w:ascii="Cambria" w:hAnsi="Cambria" w:cs="Cambria"/>
          <w:lang w:val="en-GB"/>
        </w:rPr>
        <w:t xml:space="preserve"> and CSOs, and low-level internalisation of CRPD concept by the implementer, particularly among government organisations.</w:t>
      </w:r>
    </w:p>
    <w:p w14:paraId="1F12EAA4" w14:textId="77777777" w:rsidR="00622BC0" w:rsidRDefault="00826C5A">
      <w:pPr>
        <w:widowControl w:val="0"/>
        <w:autoSpaceDE w:val="0"/>
        <w:autoSpaceDN w:val="0"/>
        <w:adjustRightInd w:val="0"/>
        <w:spacing w:before="40" w:after="120"/>
        <w:ind w:right="21"/>
        <w:jc w:val="both"/>
        <w:rPr>
          <w:rFonts w:ascii="Cambria" w:hAnsi="Cambria" w:cs="Cambria"/>
          <w:lang w:val="en-GB"/>
        </w:rPr>
      </w:pPr>
      <w:r>
        <w:rPr>
          <w:rFonts w:ascii="Cambria" w:hAnsi="Cambria" w:cs="Cambria"/>
          <w:lang w:val="en-GB"/>
        </w:rPr>
        <w:t xml:space="preserve">On the other hand, SDGs were nationalised in the National Action Plan to implement the 2030 Agenda for SDGs or called SDG NAP (UN Viet Nam, 2017) in May 2017, including 17 SDGs and 115 specific targets for Viet Nam towards 2030. To open the ways for the decades ahead, the Government of Viet Nam prepared a VNR (UN SDGs, 2018) for presentation at the United Nations HLPF 2018 on Sustainable Development. </w:t>
      </w:r>
    </w:p>
    <w:p w14:paraId="33C06321" w14:textId="7A1CADEB" w:rsidR="00622BC0" w:rsidRDefault="00826C5A">
      <w:pPr>
        <w:widowControl w:val="0"/>
        <w:autoSpaceDE w:val="0"/>
        <w:autoSpaceDN w:val="0"/>
        <w:adjustRightInd w:val="0"/>
        <w:spacing w:before="40" w:after="120"/>
        <w:ind w:right="21"/>
        <w:jc w:val="both"/>
        <w:rPr>
          <w:rFonts w:ascii="Cambria" w:hAnsi="Cambria" w:cs="Cambria"/>
          <w:lang w:val="en-GB"/>
        </w:rPr>
      </w:pPr>
      <w:r>
        <w:rPr>
          <w:rFonts w:ascii="Cambria" w:hAnsi="Cambria" w:cs="Cambria"/>
          <w:lang w:val="en-GB"/>
        </w:rPr>
        <w:t>This VNR aims to evaluate the achievements of the 2030 Agenda and 17 SDGs, analyse policy gaps and potential challenges arising during the achievement of the SDGs in Viet Nam and presents recommendations to accelerate the future achievement of the SDGs. This review was prepared based on intensive and extensive consultations as well as participation from numerous stakeholders, including the national assembly, ministries, and related agencies, social organisations, UN agencies, development partners, local and international NGOs, representatives of the business community, research institutes and OPD</w:t>
      </w:r>
      <w:r w:rsidR="0067025E">
        <w:rPr>
          <w:rFonts w:ascii="Cambria" w:hAnsi="Cambria" w:cs="Cambria"/>
          <w:lang w:val="en-GB"/>
        </w:rPr>
        <w:t>s</w:t>
      </w:r>
      <w:r>
        <w:rPr>
          <w:rFonts w:ascii="Cambria" w:hAnsi="Cambria" w:cs="Cambria"/>
          <w:lang w:val="en-GB"/>
        </w:rPr>
        <w:t xml:space="preserve"> in Viet Nam. </w:t>
      </w:r>
    </w:p>
    <w:p w14:paraId="76A7C2C0" w14:textId="77777777" w:rsidR="00622BC0" w:rsidRDefault="00826C5A">
      <w:pPr>
        <w:widowControl w:val="0"/>
        <w:autoSpaceDE w:val="0"/>
        <w:autoSpaceDN w:val="0"/>
        <w:adjustRightInd w:val="0"/>
        <w:spacing w:before="40" w:after="120"/>
        <w:ind w:right="21"/>
        <w:jc w:val="both"/>
        <w:rPr>
          <w:rFonts w:ascii="Cambria" w:hAnsi="Cambria" w:cs="Cambria"/>
          <w:b/>
          <w:bCs/>
          <w:lang w:val="en-GB"/>
        </w:rPr>
      </w:pPr>
      <w:r>
        <w:rPr>
          <w:rFonts w:ascii="Cambria" w:hAnsi="Cambria" w:cs="Cambria"/>
          <w:lang w:val="en-GB"/>
        </w:rPr>
        <w:t xml:space="preserve">Viet Nam has been promoting disability mainstreaming to anchor disability into government policies, plans, and programmes that contain action in selected key areas, including inclusive education, access to information, health-care and rehabilitation, necessary infrastructure and services, skills development, social security, and social inclusion. The next medium-term plan, which sets to be launched in late 2020 for the period 2021-2025, will mainstream the SDGs based on the above selected vital areas. However, how disability and persons with disabilities will be reflected remains to be seen. </w:t>
      </w:r>
    </w:p>
    <w:p w14:paraId="1CE730D2" w14:textId="77777777" w:rsidR="00622BC0" w:rsidRDefault="00826C5A">
      <w:pPr>
        <w:widowControl w:val="0"/>
        <w:tabs>
          <w:tab w:val="left" w:pos="10710"/>
        </w:tabs>
        <w:autoSpaceDE w:val="0"/>
        <w:autoSpaceDN w:val="0"/>
        <w:adjustRightInd w:val="0"/>
        <w:ind w:right="-6"/>
        <w:jc w:val="both"/>
        <w:rPr>
          <w:rFonts w:ascii="Cambria" w:hAnsi="Cambria" w:cs="Cambria"/>
          <w:lang w:val="en-GB"/>
        </w:rPr>
      </w:pPr>
      <w:r>
        <w:rPr>
          <w:rFonts w:ascii="Cambria" w:hAnsi="Cambria" w:cs="Cambria"/>
          <w:lang w:val="en-GB"/>
        </w:rPr>
        <w:t>Currently, Viet Nam has been conducting multiple reviews of their national-level progress towards CRPD and SDGs implementation. The country volunteered as one of the 48 countries to report at the HLPFs on their SDGs implementation in 2018 and the coming global review in 2020. Viet Nam also submitted its initial report to the CRPD Committee in 2018 and awaiting the Committee to review the national performance in the years to come.</w:t>
      </w:r>
    </w:p>
    <w:p w14:paraId="6C489F82" w14:textId="3F535416" w:rsidR="00622BC0" w:rsidRDefault="00826C5A">
      <w:pPr>
        <w:widowControl w:val="0"/>
        <w:tabs>
          <w:tab w:val="left" w:pos="10710"/>
        </w:tabs>
        <w:autoSpaceDE w:val="0"/>
        <w:autoSpaceDN w:val="0"/>
        <w:adjustRightInd w:val="0"/>
        <w:ind w:right="-6"/>
        <w:jc w:val="both"/>
        <w:rPr>
          <w:rFonts w:ascii="Cambria" w:hAnsi="Cambria" w:cs="Cambria"/>
          <w:lang w:val="en-GB"/>
        </w:rPr>
      </w:pPr>
      <w:r>
        <w:rPr>
          <w:rFonts w:ascii="Cambria" w:hAnsi="Cambria" w:cs="Cambria"/>
          <w:lang w:val="en-GB"/>
        </w:rPr>
        <w:t>With these upcoming reviews in mind, OPD</w:t>
      </w:r>
      <w:r w:rsidR="0067025E">
        <w:rPr>
          <w:rFonts w:ascii="Cambria" w:hAnsi="Cambria" w:cs="Cambria"/>
          <w:lang w:val="en-GB"/>
        </w:rPr>
        <w:t>s</w:t>
      </w:r>
      <w:r>
        <w:rPr>
          <w:rFonts w:ascii="Cambria" w:hAnsi="Cambria" w:cs="Cambria"/>
          <w:lang w:val="en-GB"/>
        </w:rPr>
        <w:t>/CSO’s on-going activities led by the Vietnamese Federation on Disabilities (VFD) have been centred on the monitoring of SDGs implementation, with a strong focus on the CRPD and reporting processes within the national context. The reviews have been offering an opportunity for peer-learning, exchange in views, and forge stronger partnerships around the HLPF 2020, particularly the VNR Reviews with the OPD</w:t>
      </w:r>
      <w:r w:rsidR="0067025E">
        <w:rPr>
          <w:rFonts w:ascii="Cambria" w:hAnsi="Cambria" w:cs="Cambria"/>
          <w:lang w:val="en-GB"/>
        </w:rPr>
        <w:t>s</w:t>
      </w:r>
      <w:r>
        <w:rPr>
          <w:rFonts w:ascii="Cambria" w:hAnsi="Cambria" w:cs="Cambria"/>
          <w:lang w:val="en-GB"/>
        </w:rPr>
        <w:t xml:space="preserve">/CSO's participation. </w:t>
      </w:r>
    </w:p>
    <w:p w14:paraId="391C3969" w14:textId="77777777" w:rsidR="00622BC0" w:rsidRDefault="00622BC0">
      <w:pPr>
        <w:widowControl w:val="0"/>
        <w:tabs>
          <w:tab w:val="left" w:pos="10710"/>
        </w:tabs>
        <w:autoSpaceDE w:val="0"/>
        <w:autoSpaceDN w:val="0"/>
        <w:adjustRightInd w:val="0"/>
        <w:ind w:right="-6"/>
        <w:jc w:val="both"/>
        <w:rPr>
          <w:rFonts w:ascii="Cambria" w:hAnsi="Cambria" w:cs="Cambria"/>
          <w:lang w:val="en-GB"/>
        </w:rPr>
      </w:pPr>
    </w:p>
    <w:p w14:paraId="0AD33C4D"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Existing Laws and Policies on Persons with Disabilities</w:t>
      </w:r>
    </w:p>
    <w:p w14:paraId="64BD1091" w14:textId="77777777" w:rsidR="00622BC0" w:rsidRDefault="00826C5A">
      <w:pPr>
        <w:widowControl w:val="0"/>
        <w:tabs>
          <w:tab w:val="left" w:pos="10710"/>
        </w:tabs>
        <w:autoSpaceDE w:val="0"/>
        <w:autoSpaceDN w:val="0"/>
        <w:adjustRightInd w:val="0"/>
        <w:spacing w:after="200"/>
        <w:ind w:right="-6"/>
        <w:jc w:val="both"/>
        <w:rPr>
          <w:rFonts w:ascii="Cambria" w:hAnsi="Cambria" w:cs="Cambria"/>
          <w:lang w:val="en-GB"/>
        </w:rPr>
      </w:pPr>
      <w:r>
        <w:rPr>
          <w:rFonts w:ascii="Cambria" w:hAnsi="Cambria" w:cs="Cambria"/>
          <w:lang w:val="en-GB"/>
        </w:rPr>
        <w:t>Viet Nam has adopted and implemented laws, policies, standard operating procedures, programmes, and initiatives about persons with disabilities. The following policies and regulations below describe CRPD implementation in Viet Nam.</w:t>
      </w:r>
    </w:p>
    <w:p w14:paraId="4431662A" w14:textId="77777777" w:rsidR="00622BC0" w:rsidRDefault="00826C5A">
      <w:pPr>
        <w:widowControl w:val="0"/>
        <w:tabs>
          <w:tab w:val="left" w:pos="10710"/>
        </w:tabs>
        <w:autoSpaceDE w:val="0"/>
        <w:autoSpaceDN w:val="0"/>
        <w:adjustRightInd w:val="0"/>
        <w:spacing w:after="200"/>
        <w:ind w:right="-6"/>
        <w:jc w:val="center"/>
        <w:rPr>
          <w:rFonts w:ascii="Cambria" w:hAnsi="Cambria" w:cs="Cambria"/>
          <w:lang w:val="en-GB"/>
        </w:rPr>
      </w:pPr>
      <w:r>
        <w:rPr>
          <w:rFonts w:ascii="Cambria" w:hAnsi="Cambria" w:cs="Cambria"/>
          <w:lang w:val="en-GB"/>
        </w:rPr>
        <w:t>Table 9 Policy and Regulations on Persons with Disabilities in Viet Nam</w:t>
      </w:r>
    </w:p>
    <w:tbl>
      <w:tblPr>
        <w:tblW w:w="8522" w:type="dxa"/>
        <w:tblLayout w:type="fixed"/>
        <w:tblLook w:val="04A0" w:firstRow="1" w:lastRow="0" w:firstColumn="1" w:lastColumn="0" w:noHBand="0" w:noVBand="1"/>
      </w:tblPr>
      <w:tblGrid>
        <w:gridCol w:w="1705"/>
        <w:gridCol w:w="1705"/>
        <w:gridCol w:w="1704"/>
        <w:gridCol w:w="1704"/>
        <w:gridCol w:w="1704"/>
      </w:tblGrid>
      <w:tr w:rsidR="00622BC0" w14:paraId="6C3703E3" w14:textId="77777777">
        <w:tc>
          <w:tcPr>
            <w:tcW w:w="1705"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36292AC8"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SDG 3</w:t>
            </w:r>
          </w:p>
          <w:p w14:paraId="645B061B"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Health and Well-being</w:t>
            </w:r>
          </w:p>
        </w:tc>
        <w:tc>
          <w:tcPr>
            <w:tcW w:w="1705"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130636A4"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SDG 4</w:t>
            </w:r>
          </w:p>
          <w:p w14:paraId="706AFC94"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Education</w:t>
            </w: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5368B326"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SDG 5</w:t>
            </w:r>
          </w:p>
          <w:p w14:paraId="72AD9C88"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Gender Equality</w:t>
            </w: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095B048C"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SDG 8</w:t>
            </w:r>
          </w:p>
          <w:p w14:paraId="03CA1B25"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Work and Employment</w:t>
            </w: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7B801B53"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SDG 11</w:t>
            </w:r>
          </w:p>
          <w:p w14:paraId="7CA54AE4"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Sustainable City</w:t>
            </w:r>
          </w:p>
        </w:tc>
      </w:tr>
      <w:tr w:rsidR="00622BC0" w14:paraId="45191971" w14:textId="77777777">
        <w:tc>
          <w:tcPr>
            <w:tcW w:w="8522" w:type="dxa"/>
            <w:gridSpan w:val="5"/>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159D0D6F" w14:textId="77777777" w:rsidR="00622BC0" w:rsidRDefault="00826C5A">
            <w:pPr>
              <w:widowControl w:val="0"/>
              <w:autoSpaceDE w:val="0"/>
              <w:autoSpaceDN w:val="0"/>
              <w:adjustRightInd w:val="0"/>
              <w:jc w:val="center"/>
              <w:rPr>
                <w:rFonts w:ascii="Cambria" w:hAnsi="Cambria" w:cs="Cambria"/>
                <w:lang w:val="en-GB"/>
              </w:rPr>
            </w:pPr>
            <w:r>
              <w:rPr>
                <w:rFonts w:ascii="Cambria" w:hAnsi="Cambria" w:cs="Cambria"/>
                <w:lang w:val="en-GB"/>
              </w:rPr>
              <w:t>Constitution, 2013</w:t>
            </w:r>
          </w:p>
        </w:tc>
      </w:tr>
      <w:tr w:rsidR="00622BC0" w14:paraId="4D70414E" w14:textId="77777777">
        <w:tc>
          <w:tcPr>
            <w:tcW w:w="8522" w:type="dxa"/>
            <w:gridSpan w:val="5"/>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6EF1CDC7" w14:textId="77777777" w:rsidR="00622BC0" w:rsidRDefault="00826C5A">
            <w:pPr>
              <w:widowControl w:val="0"/>
              <w:autoSpaceDE w:val="0"/>
              <w:autoSpaceDN w:val="0"/>
              <w:adjustRightInd w:val="0"/>
              <w:jc w:val="center"/>
              <w:rPr>
                <w:rFonts w:ascii="Cambria" w:hAnsi="Cambria" w:cs="Cambria"/>
                <w:lang w:val="en-GB"/>
              </w:rPr>
            </w:pPr>
            <w:r>
              <w:rPr>
                <w:rFonts w:ascii="Cambria" w:hAnsi="Cambria" w:cs="Cambria"/>
                <w:lang w:val="en-GB"/>
              </w:rPr>
              <w:t>Law on Persons with Disabilities, 2010</w:t>
            </w:r>
          </w:p>
        </w:tc>
      </w:tr>
      <w:tr w:rsidR="00622BC0" w14:paraId="0CB37271" w14:textId="77777777">
        <w:tc>
          <w:tcPr>
            <w:tcW w:w="1705"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66862A78"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Health Insurance, 2014</w:t>
            </w:r>
          </w:p>
        </w:tc>
        <w:tc>
          <w:tcPr>
            <w:tcW w:w="1705"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44183554"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Education, 2019</w:t>
            </w:r>
          </w:p>
          <w:p w14:paraId="6FC2BB64" w14:textId="77777777" w:rsidR="00622BC0" w:rsidRDefault="00622BC0">
            <w:pPr>
              <w:widowControl w:val="0"/>
              <w:autoSpaceDE w:val="0"/>
              <w:autoSpaceDN w:val="0"/>
              <w:adjustRightInd w:val="0"/>
              <w:spacing w:after="200"/>
              <w:ind w:right="-6"/>
              <w:jc w:val="center"/>
              <w:rPr>
                <w:rFonts w:ascii="Cambria" w:hAnsi="Cambria" w:cs="Cambria"/>
                <w:lang w:val="en-GB"/>
              </w:rPr>
            </w:pP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1C9BF067"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Domestic Violence Prevention and Control, 2007</w:t>
            </w: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256269AD"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Employment, 2013</w:t>
            </w: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4B7CC58C"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Information Technology, 2006</w:t>
            </w:r>
          </w:p>
        </w:tc>
      </w:tr>
      <w:tr w:rsidR="00622BC0" w14:paraId="61C000FB" w14:textId="77777777">
        <w:tc>
          <w:tcPr>
            <w:tcW w:w="1705"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5B39FFB6"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Social Insurance, 2014</w:t>
            </w:r>
          </w:p>
        </w:tc>
        <w:tc>
          <w:tcPr>
            <w:tcW w:w="1705"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5B13DED4"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Legal Dissemination and Education, 2012</w:t>
            </w: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24585292"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Enforcement of Civil Judgments, 2008</w:t>
            </w: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6B645F90"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Procurement, 2013</w:t>
            </w: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04B2FDD1"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Housing Law, 2014</w:t>
            </w:r>
          </w:p>
        </w:tc>
      </w:tr>
      <w:tr w:rsidR="00622BC0" w14:paraId="54E2269C" w14:textId="77777777">
        <w:tc>
          <w:tcPr>
            <w:tcW w:w="1705"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1DF29705"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Medical Examination and Treatment, 2009</w:t>
            </w:r>
          </w:p>
        </w:tc>
        <w:tc>
          <w:tcPr>
            <w:tcW w:w="1705"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7E985BA0"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Professional Education, 2014</w:t>
            </w: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36000DE6"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Adoption Law, 2010</w:t>
            </w: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3B22054D"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Labour Code, 2012</w:t>
            </w: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23321F29"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Information Technology, 2006</w:t>
            </w:r>
          </w:p>
        </w:tc>
      </w:tr>
      <w:tr w:rsidR="00622BC0" w14:paraId="55AE0F33" w14:textId="77777777">
        <w:tc>
          <w:tcPr>
            <w:tcW w:w="1705"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02F009CA"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Older Persons, 2009</w:t>
            </w:r>
          </w:p>
          <w:p w14:paraId="4DB43910" w14:textId="77777777" w:rsidR="00622BC0" w:rsidRDefault="00622BC0">
            <w:pPr>
              <w:widowControl w:val="0"/>
              <w:autoSpaceDE w:val="0"/>
              <w:autoSpaceDN w:val="0"/>
              <w:adjustRightInd w:val="0"/>
              <w:spacing w:after="200"/>
              <w:ind w:right="-6"/>
              <w:jc w:val="center"/>
              <w:rPr>
                <w:rFonts w:ascii="Cambria" w:hAnsi="Cambria" w:cs="Cambria"/>
                <w:lang w:val="en-GB"/>
              </w:rPr>
            </w:pPr>
          </w:p>
        </w:tc>
        <w:tc>
          <w:tcPr>
            <w:tcW w:w="1705"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15FDFAE0"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Children Law, 2016</w:t>
            </w:r>
          </w:p>
          <w:p w14:paraId="4B8E289C" w14:textId="77777777" w:rsidR="00622BC0" w:rsidRDefault="00622BC0">
            <w:pPr>
              <w:widowControl w:val="0"/>
              <w:autoSpaceDE w:val="0"/>
              <w:autoSpaceDN w:val="0"/>
              <w:adjustRightInd w:val="0"/>
              <w:spacing w:after="200"/>
              <w:ind w:right="-6"/>
              <w:jc w:val="center"/>
              <w:rPr>
                <w:rFonts w:ascii="Cambria" w:hAnsi="Cambria" w:cs="Cambria"/>
                <w:lang w:val="en-GB"/>
              </w:rPr>
            </w:pP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27B8BC38"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Marriage and Family, 2014</w:t>
            </w: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7519781F"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Enterprise Income Tax, 2008</w:t>
            </w: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6D223DE9"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Civil Aviation, 2006 and Law on Civil Status, 2014</w:t>
            </w:r>
          </w:p>
        </w:tc>
      </w:tr>
      <w:tr w:rsidR="00622BC0" w14:paraId="1D566BA9" w14:textId="77777777">
        <w:tc>
          <w:tcPr>
            <w:tcW w:w="1705"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118A059A" w14:textId="77777777" w:rsidR="00622BC0" w:rsidRDefault="00622BC0">
            <w:pPr>
              <w:widowControl w:val="0"/>
              <w:autoSpaceDE w:val="0"/>
              <w:autoSpaceDN w:val="0"/>
              <w:adjustRightInd w:val="0"/>
              <w:spacing w:after="200"/>
              <w:ind w:right="-6"/>
              <w:jc w:val="center"/>
              <w:rPr>
                <w:rFonts w:ascii="Cambria" w:hAnsi="Cambria" w:cs="Cambria"/>
                <w:lang w:val="en-GB"/>
              </w:rPr>
            </w:pPr>
          </w:p>
        </w:tc>
        <w:tc>
          <w:tcPr>
            <w:tcW w:w="1705"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770591E6" w14:textId="77777777" w:rsidR="00622BC0" w:rsidRDefault="00622BC0">
            <w:pPr>
              <w:widowControl w:val="0"/>
              <w:autoSpaceDE w:val="0"/>
              <w:autoSpaceDN w:val="0"/>
              <w:adjustRightInd w:val="0"/>
              <w:spacing w:after="200"/>
              <w:ind w:right="-6"/>
              <w:jc w:val="center"/>
              <w:rPr>
                <w:rFonts w:ascii="Cambria" w:hAnsi="Cambria" w:cs="Cambria"/>
                <w:lang w:val="en-GB"/>
              </w:rPr>
            </w:pP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2BBB2429"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Handling Administrative Violations, in 2012</w:t>
            </w: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4566F942"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Investment Law, 2014</w:t>
            </w: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1A7533F1"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Access to Information, 2016</w:t>
            </w:r>
          </w:p>
        </w:tc>
      </w:tr>
      <w:tr w:rsidR="00622BC0" w14:paraId="77A6F965" w14:textId="77777777">
        <w:tc>
          <w:tcPr>
            <w:tcW w:w="1705"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176CF456" w14:textId="77777777" w:rsidR="00622BC0" w:rsidRDefault="00622BC0">
            <w:pPr>
              <w:widowControl w:val="0"/>
              <w:autoSpaceDE w:val="0"/>
              <w:autoSpaceDN w:val="0"/>
              <w:adjustRightInd w:val="0"/>
              <w:spacing w:after="200"/>
              <w:ind w:right="-6"/>
              <w:jc w:val="center"/>
              <w:rPr>
                <w:rFonts w:ascii="Cambria" w:hAnsi="Cambria" w:cs="Cambria"/>
                <w:lang w:val="en-GB"/>
              </w:rPr>
            </w:pPr>
          </w:p>
        </w:tc>
        <w:tc>
          <w:tcPr>
            <w:tcW w:w="1705"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49E634B9" w14:textId="77777777" w:rsidR="00622BC0" w:rsidRDefault="00622BC0">
            <w:pPr>
              <w:widowControl w:val="0"/>
              <w:autoSpaceDE w:val="0"/>
              <w:autoSpaceDN w:val="0"/>
              <w:adjustRightInd w:val="0"/>
              <w:spacing w:after="200"/>
              <w:ind w:right="-6"/>
              <w:jc w:val="center"/>
              <w:rPr>
                <w:rFonts w:ascii="Cambria" w:hAnsi="Cambria" w:cs="Cambria"/>
                <w:lang w:val="en-GB"/>
              </w:rPr>
            </w:pP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1F8180DD"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Penal Code, 2015</w:t>
            </w: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46396817"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Occupational Safety and Health, 2015</w:t>
            </w: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235B10FA"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Physical Training and Sports, 2018</w:t>
            </w:r>
          </w:p>
        </w:tc>
      </w:tr>
      <w:tr w:rsidR="00622BC0" w14:paraId="6843E68D" w14:textId="77777777">
        <w:tc>
          <w:tcPr>
            <w:tcW w:w="1705"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5BBA88D5" w14:textId="77777777" w:rsidR="00622BC0" w:rsidRDefault="00622BC0">
            <w:pPr>
              <w:widowControl w:val="0"/>
              <w:autoSpaceDE w:val="0"/>
              <w:autoSpaceDN w:val="0"/>
              <w:adjustRightInd w:val="0"/>
              <w:spacing w:after="200"/>
              <w:ind w:right="-6"/>
              <w:jc w:val="center"/>
              <w:rPr>
                <w:rFonts w:ascii="Cambria" w:hAnsi="Cambria" w:cs="Cambria"/>
                <w:lang w:val="en-GB"/>
              </w:rPr>
            </w:pPr>
          </w:p>
        </w:tc>
        <w:tc>
          <w:tcPr>
            <w:tcW w:w="1705"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1E203803" w14:textId="77777777" w:rsidR="00622BC0" w:rsidRDefault="00622BC0">
            <w:pPr>
              <w:widowControl w:val="0"/>
              <w:autoSpaceDE w:val="0"/>
              <w:autoSpaceDN w:val="0"/>
              <w:adjustRightInd w:val="0"/>
              <w:spacing w:after="200"/>
              <w:ind w:right="-6"/>
              <w:jc w:val="center"/>
              <w:rPr>
                <w:rFonts w:ascii="Cambria" w:hAnsi="Cambria" w:cs="Cambria"/>
                <w:lang w:val="en-GB"/>
              </w:rPr>
            </w:pP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55117C64"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Criminal Procedure Code, 2015</w:t>
            </w: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1ADDF61A"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Enterprise Law, 2014</w:t>
            </w: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5036FAE4"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Charges and Fees, 2015</w:t>
            </w:r>
          </w:p>
        </w:tc>
      </w:tr>
      <w:tr w:rsidR="00622BC0" w14:paraId="30E40FB1" w14:textId="77777777">
        <w:tc>
          <w:tcPr>
            <w:tcW w:w="1705"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0FF09461" w14:textId="77777777" w:rsidR="00622BC0" w:rsidRDefault="00622BC0">
            <w:pPr>
              <w:widowControl w:val="0"/>
              <w:autoSpaceDE w:val="0"/>
              <w:autoSpaceDN w:val="0"/>
              <w:adjustRightInd w:val="0"/>
              <w:spacing w:after="200"/>
              <w:ind w:right="-6"/>
              <w:jc w:val="center"/>
              <w:rPr>
                <w:rFonts w:ascii="Cambria" w:hAnsi="Cambria" w:cs="Cambria"/>
                <w:lang w:val="en-GB"/>
              </w:rPr>
            </w:pPr>
          </w:p>
        </w:tc>
        <w:tc>
          <w:tcPr>
            <w:tcW w:w="1705"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1B7908F5" w14:textId="77777777" w:rsidR="00622BC0" w:rsidRDefault="00622BC0">
            <w:pPr>
              <w:widowControl w:val="0"/>
              <w:autoSpaceDE w:val="0"/>
              <w:autoSpaceDN w:val="0"/>
              <w:adjustRightInd w:val="0"/>
              <w:spacing w:after="200"/>
              <w:ind w:right="-6"/>
              <w:jc w:val="center"/>
              <w:rPr>
                <w:rFonts w:ascii="Cambria" w:hAnsi="Cambria" w:cs="Cambria"/>
                <w:lang w:val="en-GB"/>
              </w:rPr>
            </w:pP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0D596FEE"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Legal Aid, 2017</w:t>
            </w: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3B27B788" w14:textId="77777777" w:rsidR="00622BC0" w:rsidRDefault="00622BC0">
            <w:pPr>
              <w:widowControl w:val="0"/>
              <w:autoSpaceDE w:val="0"/>
              <w:autoSpaceDN w:val="0"/>
              <w:adjustRightInd w:val="0"/>
              <w:spacing w:after="200"/>
              <w:ind w:right="-6"/>
              <w:jc w:val="center"/>
              <w:rPr>
                <w:rFonts w:ascii="Cambria" w:hAnsi="Cambria" w:cs="Cambria"/>
                <w:lang w:val="en-GB"/>
              </w:rPr>
            </w:pP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7DB8AD7A"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Construction Law, 2014</w:t>
            </w:r>
          </w:p>
        </w:tc>
      </w:tr>
      <w:tr w:rsidR="00622BC0" w14:paraId="5B10CC7A" w14:textId="77777777">
        <w:tc>
          <w:tcPr>
            <w:tcW w:w="1705"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383AC235" w14:textId="77777777" w:rsidR="00622BC0" w:rsidRDefault="00622BC0">
            <w:pPr>
              <w:widowControl w:val="0"/>
              <w:autoSpaceDE w:val="0"/>
              <w:autoSpaceDN w:val="0"/>
              <w:adjustRightInd w:val="0"/>
              <w:spacing w:after="200"/>
              <w:ind w:right="-6"/>
              <w:jc w:val="center"/>
              <w:rPr>
                <w:rFonts w:ascii="Cambria" w:hAnsi="Cambria" w:cs="Cambria"/>
                <w:lang w:val="en-GB"/>
              </w:rPr>
            </w:pPr>
          </w:p>
        </w:tc>
        <w:tc>
          <w:tcPr>
            <w:tcW w:w="1705"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41393AFA" w14:textId="77777777" w:rsidR="00622BC0" w:rsidRDefault="00622BC0">
            <w:pPr>
              <w:widowControl w:val="0"/>
              <w:autoSpaceDE w:val="0"/>
              <w:autoSpaceDN w:val="0"/>
              <w:adjustRightInd w:val="0"/>
              <w:spacing w:after="200"/>
              <w:ind w:right="-6"/>
              <w:jc w:val="center"/>
              <w:rPr>
                <w:rFonts w:ascii="Cambria" w:hAnsi="Cambria" w:cs="Cambria"/>
                <w:lang w:val="en-GB"/>
              </w:rPr>
            </w:pP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4B986CD9" w14:textId="77777777" w:rsidR="00622BC0" w:rsidRDefault="00622BC0">
            <w:pPr>
              <w:widowControl w:val="0"/>
              <w:autoSpaceDE w:val="0"/>
              <w:autoSpaceDN w:val="0"/>
              <w:adjustRightInd w:val="0"/>
              <w:spacing w:after="200"/>
              <w:ind w:right="-6"/>
              <w:jc w:val="center"/>
              <w:rPr>
                <w:rFonts w:ascii="Cambria" w:hAnsi="Cambria" w:cs="Cambria"/>
                <w:lang w:val="en-GB"/>
              </w:rPr>
            </w:pP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3194AD7B" w14:textId="77777777" w:rsidR="00622BC0" w:rsidRDefault="00622BC0">
            <w:pPr>
              <w:widowControl w:val="0"/>
              <w:autoSpaceDE w:val="0"/>
              <w:autoSpaceDN w:val="0"/>
              <w:adjustRightInd w:val="0"/>
              <w:spacing w:after="200"/>
              <w:ind w:right="-6"/>
              <w:jc w:val="center"/>
              <w:rPr>
                <w:rFonts w:ascii="Cambria" w:hAnsi="Cambria" w:cs="Cambria"/>
                <w:lang w:val="en-GB"/>
              </w:rPr>
            </w:pP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2FD009B2"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Road Traffic, 2008</w:t>
            </w:r>
          </w:p>
        </w:tc>
      </w:tr>
      <w:tr w:rsidR="00622BC0" w14:paraId="7BE279D9" w14:textId="77777777">
        <w:tc>
          <w:tcPr>
            <w:tcW w:w="1705"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2E8143DB" w14:textId="77777777" w:rsidR="00622BC0" w:rsidRDefault="00622BC0">
            <w:pPr>
              <w:widowControl w:val="0"/>
              <w:autoSpaceDE w:val="0"/>
              <w:autoSpaceDN w:val="0"/>
              <w:adjustRightInd w:val="0"/>
              <w:spacing w:after="200"/>
              <w:ind w:right="-6"/>
              <w:jc w:val="center"/>
              <w:rPr>
                <w:rFonts w:ascii="Cambria" w:hAnsi="Cambria" w:cs="Cambria"/>
                <w:lang w:val="en-GB"/>
              </w:rPr>
            </w:pPr>
          </w:p>
        </w:tc>
        <w:tc>
          <w:tcPr>
            <w:tcW w:w="1705"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3014F2BD" w14:textId="77777777" w:rsidR="00622BC0" w:rsidRDefault="00622BC0">
            <w:pPr>
              <w:widowControl w:val="0"/>
              <w:autoSpaceDE w:val="0"/>
              <w:autoSpaceDN w:val="0"/>
              <w:adjustRightInd w:val="0"/>
              <w:spacing w:after="200"/>
              <w:ind w:right="-6"/>
              <w:jc w:val="center"/>
              <w:rPr>
                <w:rFonts w:ascii="Cambria" w:hAnsi="Cambria" w:cs="Cambria"/>
                <w:lang w:val="en-GB"/>
              </w:rPr>
            </w:pP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2EB10FC2" w14:textId="77777777" w:rsidR="00622BC0" w:rsidRDefault="00622BC0">
            <w:pPr>
              <w:widowControl w:val="0"/>
              <w:autoSpaceDE w:val="0"/>
              <w:autoSpaceDN w:val="0"/>
              <w:adjustRightInd w:val="0"/>
              <w:spacing w:after="200"/>
              <w:ind w:right="-6"/>
              <w:jc w:val="center"/>
              <w:rPr>
                <w:rFonts w:ascii="Cambria" w:hAnsi="Cambria" w:cs="Cambria"/>
                <w:lang w:val="en-GB"/>
              </w:rPr>
            </w:pP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59B649CF" w14:textId="77777777" w:rsidR="00622BC0" w:rsidRDefault="00622BC0">
            <w:pPr>
              <w:widowControl w:val="0"/>
              <w:autoSpaceDE w:val="0"/>
              <w:autoSpaceDN w:val="0"/>
              <w:adjustRightInd w:val="0"/>
              <w:spacing w:after="200"/>
              <w:ind w:right="-6"/>
              <w:jc w:val="center"/>
              <w:rPr>
                <w:rFonts w:ascii="Cambria" w:hAnsi="Cambria" w:cs="Cambria"/>
                <w:lang w:val="en-GB"/>
              </w:rPr>
            </w:pP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413A7D37"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Residence, 2013</w:t>
            </w:r>
          </w:p>
        </w:tc>
      </w:tr>
      <w:tr w:rsidR="00622BC0" w14:paraId="62CD45C2" w14:textId="77777777">
        <w:tc>
          <w:tcPr>
            <w:tcW w:w="1705"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3A6975FD" w14:textId="77777777" w:rsidR="00622BC0" w:rsidRDefault="00622BC0">
            <w:pPr>
              <w:widowControl w:val="0"/>
              <w:autoSpaceDE w:val="0"/>
              <w:autoSpaceDN w:val="0"/>
              <w:adjustRightInd w:val="0"/>
              <w:spacing w:after="200"/>
              <w:ind w:right="-6"/>
              <w:jc w:val="center"/>
              <w:rPr>
                <w:rFonts w:ascii="Cambria" w:hAnsi="Cambria" w:cs="Cambria"/>
                <w:lang w:val="en-GB"/>
              </w:rPr>
            </w:pPr>
          </w:p>
        </w:tc>
        <w:tc>
          <w:tcPr>
            <w:tcW w:w="1705"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7AE043FF" w14:textId="77777777" w:rsidR="00622BC0" w:rsidRDefault="00622BC0">
            <w:pPr>
              <w:widowControl w:val="0"/>
              <w:autoSpaceDE w:val="0"/>
              <w:autoSpaceDN w:val="0"/>
              <w:adjustRightInd w:val="0"/>
              <w:spacing w:after="200"/>
              <w:ind w:right="-6"/>
              <w:jc w:val="center"/>
              <w:rPr>
                <w:rFonts w:ascii="Cambria" w:hAnsi="Cambria" w:cs="Cambria"/>
                <w:lang w:val="en-GB"/>
              </w:rPr>
            </w:pP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089D8CB8" w14:textId="77777777" w:rsidR="00622BC0" w:rsidRDefault="00622BC0">
            <w:pPr>
              <w:widowControl w:val="0"/>
              <w:autoSpaceDE w:val="0"/>
              <w:autoSpaceDN w:val="0"/>
              <w:adjustRightInd w:val="0"/>
              <w:spacing w:after="200"/>
              <w:ind w:right="-6"/>
              <w:jc w:val="center"/>
              <w:rPr>
                <w:rFonts w:ascii="Cambria" w:hAnsi="Cambria" w:cs="Cambria"/>
                <w:lang w:val="en-GB"/>
              </w:rPr>
            </w:pP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1F2C24B8" w14:textId="77777777" w:rsidR="00622BC0" w:rsidRDefault="00622BC0">
            <w:pPr>
              <w:widowControl w:val="0"/>
              <w:autoSpaceDE w:val="0"/>
              <w:autoSpaceDN w:val="0"/>
              <w:adjustRightInd w:val="0"/>
              <w:spacing w:after="200"/>
              <w:ind w:right="-6"/>
              <w:jc w:val="center"/>
              <w:rPr>
                <w:rFonts w:ascii="Cambria" w:hAnsi="Cambria" w:cs="Cambria"/>
                <w:lang w:val="en-GB"/>
              </w:rPr>
            </w:pPr>
          </w:p>
        </w:tc>
        <w:tc>
          <w:tcPr>
            <w:tcW w:w="170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7B897152"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Natural Disaster Prevention, 2013</w:t>
            </w:r>
          </w:p>
        </w:tc>
      </w:tr>
    </w:tbl>
    <w:p w14:paraId="77F9FDC3" w14:textId="77777777" w:rsidR="00622BC0" w:rsidRDefault="00622BC0">
      <w:pPr>
        <w:widowControl w:val="0"/>
        <w:autoSpaceDE w:val="0"/>
        <w:autoSpaceDN w:val="0"/>
        <w:adjustRightInd w:val="0"/>
        <w:spacing w:after="200"/>
        <w:ind w:right="-6"/>
        <w:jc w:val="both"/>
        <w:rPr>
          <w:rFonts w:ascii="Cambria" w:hAnsi="Cambria" w:cs="Cambria"/>
          <w:lang w:val="en-GB"/>
        </w:rPr>
      </w:pPr>
    </w:p>
    <w:p w14:paraId="4C891D52"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Constitution was passed by the National Assembly on 28 November 2013 (IDEA, 2013) guaranteeing fundamental civil and political rights (right to equality, non-discrimination, life, privacy, freedom of religion, the presumption of innocence, freedom from arbitrary arrest, freedom of movement, freedom of opinion and speech, and so forth.) to all persons, including persons with disabilities. It also outlines citizens' economic and social rights and State responsibilities on health care and promotion, education, social insurance, economic development, and cultural life. The Constitution guarantees the rights of all citizens, added additional amendments, enshrining the protection of persons with disabilities in Articles 59 and 61. The Constitution requires all governing institutions and state actors to adjust laws and regulations to ensure the principles of fairness, due process, and the commitment to protect human rights embodied by these changes would be realised for all Vietnamese people, including persons with disabilities.</w:t>
      </w:r>
    </w:p>
    <w:p w14:paraId="4336B9D1"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Law on Persons with Disability (LPD, 2010) was passed by the National Assembly on 17 June 2010. The LPD mandates equal participation in society for persons with disabilities through accommodation and access to health care, rehabilitation, education, employment, vocational training, educational services, sports and entertainment, transportation, public places, and information technology, and prohibits any actions of stigma and discrimination against persons with disabilities. Further, this LPD defines that "discrimination against persons with disabilities includes the act of shunning, refusing, mistreating, defaming, showing prejudice against, or restricting the rights of persons with disabilities because of their disability"; "stigma towards persons with disabilities means an attitude of disregarding or disrespecting persons because of their disability" (Article 2). Based on these definitions as provisioned in the LPD, related sectoral laws such as the Labour Code, the Law on Medical Examination and Treatment, the Law on Professional Education, the Law on Education, and many more. It also contains provisions of non-discrimination against persons with disabilities in work, employment, social security, education, health, economics, and other activities. </w:t>
      </w:r>
    </w:p>
    <w:p w14:paraId="25835767" w14:textId="77777777" w:rsidR="00622BC0" w:rsidRDefault="00826C5A">
      <w:pPr>
        <w:widowControl w:val="0"/>
        <w:autoSpaceDE w:val="0"/>
        <w:autoSpaceDN w:val="0"/>
        <w:adjustRightInd w:val="0"/>
        <w:spacing w:after="120" w:line="276" w:lineRule="auto"/>
        <w:ind w:right="-100"/>
        <w:jc w:val="both"/>
        <w:rPr>
          <w:rFonts w:ascii="Cambria" w:hAnsi="Cambria" w:cs="Cambria"/>
          <w:lang w:val="en-GB"/>
        </w:rPr>
      </w:pPr>
      <w:r>
        <w:rPr>
          <w:rFonts w:ascii="Cambria" w:hAnsi="Cambria" w:cs="Cambria"/>
          <w:lang w:val="en-GB"/>
        </w:rPr>
        <w:t>LPD was enacted in line with the 2013 Constitution that addresses that no-one shall be discriminated regardless of political, civil, economic, cultural, and social lives. Thus, LPD prohibits any actions identified as stigma and discrimination against persons with disabilities to receive reasonable accommodation and accessibility in participating the social activities, independent living, and community inclusion. Below are the critical by-law documents for guiding the implementation of the LPD:</w:t>
      </w:r>
    </w:p>
    <w:p w14:paraId="3ABCC10B" w14:textId="77777777" w:rsidR="00622BC0" w:rsidRDefault="00826C5A">
      <w:pPr>
        <w:widowControl w:val="0"/>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1.</w:t>
      </w:r>
      <w:r>
        <w:rPr>
          <w:rFonts w:ascii="Cambria" w:hAnsi="Cambria" w:cs="Cambria"/>
          <w:lang w:val="en-GB"/>
        </w:rPr>
        <w:tab/>
        <w:t>Decree No. 28/2012/ND-CP dated April 10</w:t>
      </w:r>
      <w:r>
        <w:rPr>
          <w:rFonts w:ascii="Cambria" w:hAnsi="Cambria" w:cs="Cambria"/>
          <w:vertAlign w:val="superscript"/>
          <w:lang w:val="en-GB"/>
        </w:rPr>
        <w:t>th</w:t>
      </w:r>
      <w:r>
        <w:rPr>
          <w:rFonts w:ascii="Cambria" w:hAnsi="Cambria" w:cs="Cambria"/>
          <w:lang w:val="en-GB"/>
        </w:rPr>
        <w:t>, 2012 of the Government guiding the implementation of some articles of the LPW;</w:t>
      </w:r>
    </w:p>
    <w:p w14:paraId="7646866E" w14:textId="77777777" w:rsidR="00622BC0" w:rsidRDefault="00826C5A">
      <w:pPr>
        <w:widowControl w:val="0"/>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2.</w:t>
      </w:r>
      <w:r>
        <w:rPr>
          <w:rFonts w:ascii="Cambria" w:hAnsi="Cambria" w:cs="Cambria"/>
          <w:lang w:val="en-GB"/>
        </w:rPr>
        <w:tab/>
        <w:t>Ministry of Labour, Invalids, and Social Affairs (MOLISA) Circular No. 26/2012/TT–BLDTBXH dated November 12</w:t>
      </w:r>
      <w:r>
        <w:rPr>
          <w:rFonts w:ascii="Cambria" w:hAnsi="Cambria" w:cs="Cambria"/>
          <w:vertAlign w:val="superscript"/>
          <w:lang w:val="en-GB"/>
        </w:rPr>
        <w:t>th</w:t>
      </w:r>
      <w:r>
        <w:rPr>
          <w:rFonts w:ascii="Cambria" w:hAnsi="Cambria" w:cs="Cambria"/>
          <w:lang w:val="en-GB"/>
        </w:rPr>
        <w:t>, 2012 guiding the implementation of some articles under Decree 28/2012/ND-CP dated April 10</w:t>
      </w:r>
      <w:r>
        <w:rPr>
          <w:rFonts w:ascii="Cambria" w:hAnsi="Cambria" w:cs="Cambria"/>
          <w:vertAlign w:val="superscript"/>
          <w:lang w:val="en-GB"/>
        </w:rPr>
        <w:t>th</w:t>
      </w:r>
      <w:r>
        <w:rPr>
          <w:rFonts w:ascii="Cambria" w:hAnsi="Cambria" w:cs="Cambria"/>
          <w:lang w:val="en-GB"/>
        </w:rPr>
        <w:t>, 2012 of the Government guiding the implementation of some articles of the LPW;</w:t>
      </w:r>
    </w:p>
    <w:p w14:paraId="0AA01616" w14:textId="77777777" w:rsidR="00622BC0" w:rsidRDefault="00826C5A">
      <w:pPr>
        <w:widowControl w:val="0"/>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3.</w:t>
      </w:r>
      <w:r>
        <w:rPr>
          <w:rFonts w:ascii="Cambria" w:hAnsi="Cambria" w:cs="Cambria"/>
          <w:lang w:val="en-GB"/>
        </w:rPr>
        <w:tab/>
        <w:t>MOLISA Circular No. 01/2015/TT-BLDTBXH dated January 6</w:t>
      </w:r>
      <w:r>
        <w:rPr>
          <w:rFonts w:ascii="Cambria" w:hAnsi="Cambria" w:cs="Cambria"/>
          <w:vertAlign w:val="superscript"/>
          <w:lang w:val="en-GB"/>
        </w:rPr>
        <w:t>th</w:t>
      </w:r>
      <w:r>
        <w:rPr>
          <w:rFonts w:ascii="Cambria" w:hAnsi="Cambria" w:cs="Cambria"/>
          <w:lang w:val="en-GB"/>
        </w:rPr>
        <w:t>, 2015 on case management for persons with disabilities;</w:t>
      </w:r>
    </w:p>
    <w:p w14:paraId="3A7C01AA" w14:textId="77777777" w:rsidR="00622BC0" w:rsidRDefault="00826C5A">
      <w:pPr>
        <w:widowControl w:val="0"/>
        <w:autoSpaceDE w:val="0"/>
        <w:autoSpaceDN w:val="0"/>
        <w:adjustRightInd w:val="0"/>
        <w:spacing w:before="280" w:after="280"/>
        <w:ind w:right="-6"/>
        <w:jc w:val="both"/>
        <w:rPr>
          <w:rFonts w:ascii="Cambria" w:hAnsi="Cambria" w:cs="Cambria"/>
          <w:lang w:val="en-GB"/>
        </w:rPr>
      </w:pPr>
      <w:r>
        <w:rPr>
          <w:rFonts w:ascii="Cambria" w:hAnsi="Cambria" w:cs="Cambria"/>
          <w:lang w:val="en-GB"/>
        </w:rPr>
        <w:t xml:space="preserve">Additionally, the Government has recently made more substantial commitments to support persons with disabilities through the implementation of its national action plans, programmes, and projects, especially the following: </w:t>
      </w:r>
    </w:p>
    <w:p w14:paraId="4258AF06" w14:textId="77777777" w:rsidR="00622BC0" w:rsidRDefault="00826C5A">
      <w:pPr>
        <w:widowControl w:val="0"/>
        <w:tabs>
          <w:tab w:val="left" w:pos="960"/>
        </w:tabs>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1.</w:t>
      </w:r>
      <w:r>
        <w:rPr>
          <w:rFonts w:ascii="Cambria" w:hAnsi="Cambria" w:cs="Cambria"/>
          <w:lang w:val="en-GB"/>
        </w:rPr>
        <w:tab/>
        <w:t>National Action Plan to Support Persons with Disabilities for 2012–2020;</w:t>
      </w:r>
    </w:p>
    <w:p w14:paraId="5F3F51F8" w14:textId="77777777" w:rsidR="00622BC0" w:rsidRDefault="00826C5A">
      <w:pPr>
        <w:widowControl w:val="0"/>
        <w:tabs>
          <w:tab w:val="left" w:pos="960"/>
        </w:tabs>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2.</w:t>
      </w:r>
      <w:r>
        <w:rPr>
          <w:rFonts w:ascii="Cambria" w:hAnsi="Cambria" w:cs="Cambria"/>
          <w:lang w:val="en-GB"/>
        </w:rPr>
        <w:tab/>
        <w:t>National Action Plan on Rehabilitation for 2014–2020;</w:t>
      </w:r>
    </w:p>
    <w:p w14:paraId="1B387A4D" w14:textId="77777777" w:rsidR="00622BC0" w:rsidRDefault="00826C5A">
      <w:pPr>
        <w:widowControl w:val="0"/>
        <w:tabs>
          <w:tab w:val="left" w:pos="960"/>
        </w:tabs>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3.</w:t>
      </w:r>
      <w:r>
        <w:rPr>
          <w:rFonts w:ascii="Cambria" w:hAnsi="Cambria" w:cs="Cambria"/>
          <w:lang w:val="en-GB"/>
        </w:rPr>
        <w:tab/>
        <w:t>National Plan on Development of Social Work Profession for 2010–2020;</w:t>
      </w:r>
    </w:p>
    <w:p w14:paraId="60B8A254" w14:textId="77777777" w:rsidR="00622BC0" w:rsidRDefault="00826C5A">
      <w:pPr>
        <w:widowControl w:val="0"/>
        <w:tabs>
          <w:tab w:val="left" w:pos="960"/>
        </w:tabs>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4.</w:t>
      </w:r>
      <w:r>
        <w:rPr>
          <w:rFonts w:ascii="Cambria" w:hAnsi="Cambria" w:cs="Cambria"/>
          <w:lang w:val="en-GB"/>
        </w:rPr>
        <w:tab/>
        <w:t>National Plan on Social Assistance and Community based Rehabilitation for Persons with Intellectual disabilities for 2011–2020;</w:t>
      </w:r>
    </w:p>
    <w:p w14:paraId="26385FDC" w14:textId="77777777" w:rsidR="00622BC0" w:rsidRDefault="00826C5A">
      <w:pPr>
        <w:widowControl w:val="0"/>
        <w:tabs>
          <w:tab w:val="left" w:pos="960"/>
        </w:tabs>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5.</w:t>
      </w:r>
      <w:r>
        <w:rPr>
          <w:rFonts w:ascii="Cambria" w:hAnsi="Cambria" w:cs="Cambria"/>
          <w:lang w:val="en-GB"/>
        </w:rPr>
        <w:tab/>
        <w:t>National Plan to Support Orphans, Abandoned Children, Children Living with HIV/AIDS, Children Who are Victims of Toxic Chemicals, Children with Severe Disabilities and Children Affected by Natural Disasters during 2013–2020;</w:t>
      </w:r>
    </w:p>
    <w:p w14:paraId="5BC2519D" w14:textId="77777777" w:rsidR="00622BC0" w:rsidRDefault="00826C5A">
      <w:pPr>
        <w:widowControl w:val="0"/>
        <w:tabs>
          <w:tab w:val="left" w:pos="960"/>
        </w:tabs>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6.</w:t>
      </w:r>
      <w:r>
        <w:rPr>
          <w:rFonts w:ascii="Cambria" w:hAnsi="Cambria" w:cs="Cambria"/>
          <w:lang w:val="en-GB"/>
        </w:rPr>
        <w:tab/>
        <w:t xml:space="preserve">Project on Community based Rehabilitation for Persons Affected by Toxic Chemicals used by the United States during the War in Viet Nam 2008–2016; and </w:t>
      </w:r>
    </w:p>
    <w:p w14:paraId="48C1D3F1" w14:textId="77777777" w:rsidR="00622BC0" w:rsidRDefault="00826C5A">
      <w:pPr>
        <w:widowControl w:val="0"/>
        <w:tabs>
          <w:tab w:val="left" w:pos="960"/>
        </w:tabs>
        <w:autoSpaceDE w:val="0"/>
        <w:autoSpaceDN w:val="0"/>
        <w:adjustRightInd w:val="0"/>
        <w:spacing w:after="200"/>
        <w:ind w:leftChars="200" w:left="960" w:right="-6" w:hangingChars="200" w:hanging="480"/>
        <w:jc w:val="both"/>
        <w:rPr>
          <w:rFonts w:ascii="Cambria" w:hAnsi="Cambria" w:cs="Cambria"/>
          <w:b/>
          <w:bCs/>
          <w:lang w:val="en-GB"/>
        </w:rPr>
      </w:pPr>
      <w:r>
        <w:rPr>
          <w:rFonts w:ascii="Cambria" w:hAnsi="Cambria" w:cs="Cambria"/>
          <w:lang w:val="en-GB"/>
        </w:rPr>
        <w:t>7.</w:t>
      </w:r>
      <w:r>
        <w:rPr>
          <w:rFonts w:ascii="Cambria" w:hAnsi="Cambria" w:cs="Cambria"/>
          <w:lang w:val="en-GB"/>
        </w:rPr>
        <w:tab/>
        <w:t>Prime Ministerial Decision No. 1438/QD-</w:t>
      </w:r>
      <w:proofErr w:type="spellStart"/>
      <w:r>
        <w:rPr>
          <w:rFonts w:ascii="Cambria" w:hAnsi="Cambria" w:cs="Cambria"/>
          <w:lang w:val="en-GB"/>
        </w:rPr>
        <w:t>TTg</w:t>
      </w:r>
      <w:proofErr w:type="spellEnd"/>
      <w:r>
        <w:rPr>
          <w:rFonts w:ascii="Cambria" w:hAnsi="Cambria" w:cs="Cambria"/>
          <w:lang w:val="en-GB"/>
        </w:rPr>
        <w:t xml:space="preserve"> dated 29 October 2018 on Approval of the Scheme for Assisting Children with Disabilities in Access to Protection, Care, and Education in Community for 2018-2025.</w:t>
      </w:r>
    </w:p>
    <w:p w14:paraId="4EECB192"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As the only party in power in the country, the Vietnamese Communist Party (VCP) has recently issued a Directive No. 39-CT/TW of 01-11-2019 on Strengthening the Party Leadership on the Disability Work for nation-wide implementation in all sectors and communities.</w:t>
      </w:r>
    </w:p>
    <w:p w14:paraId="696512E4"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State and Non-State Actors</w:t>
      </w:r>
    </w:p>
    <w:p w14:paraId="6592A166"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Government is the primary duty-bearer for the obligations the State has subscribed to by ratifying human rights treaties. Implementation of the CRPD requires adequate mechanisms for implementing disability rights and ensure sound, coherent measures across governmental action. Within Government, the Ministry of Labour, Invalids, and Social Affairs (MOLISA) is the focal inter-agency body for disability rights. MOLISA is tasked to: a) coordinate and monitor the implementation of the LPD and the NPA; b) formulate and advocate policies for persons with disabilities; and c) monitor the State’s implementation of the CRPD. The Ministry has the political mandate to address issues on persons with disabilities and is responsible for coordinating the implementation of disability legislation. One of the main strengths of MOLISA is to serve as the conduit of the line ministries and other organisations that make up the coordinating network for disability rights. It has started to be open to collaboration with NGOs and other CSOs. The authority created many opportunities for different CSOs to engage and work with the government. </w:t>
      </w:r>
    </w:p>
    <w:p w14:paraId="4546A776"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Other vital ministries involved are the Ministry of Education and Training (MOET), the Ministry of Health (MOH), the Ministry of Construction (MOC), the Ministry of Transportation (MOT), the Ministry of Finance (MOF) and the Ministry of Planning and Investment (for SDG coordinating, monitoring and reporting). The peoples' committees at the provincial, district and commune levels are the most direct implementer of all disability-related policies.</w:t>
      </w:r>
    </w:p>
    <w:p w14:paraId="429338CD" w14:textId="77777777" w:rsidR="00622BC0" w:rsidRDefault="00622BC0">
      <w:pPr>
        <w:widowControl w:val="0"/>
        <w:autoSpaceDE w:val="0"/>
        <w:autoSpaceDN w:val="0"/>
        <w:adjustRightInd w:val="0"/>
        <w:spacing w:after="200"/>
        <w:ind w:right="-6"/>
        <w:jc w:val="both"/>
        <w:rPr>
          <w:rFonts w:ascii="Cambria" w:hAnsi="Cambria" w:cs="Cambria"/>
          <w:lang w:val="en-GB"/>
        </w:rPr>
      </w:pPr>
    </w:p>
    <w:p w14:paraId="24F6EFA2"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On 6 October 2015, the Viet Nam National Committee on Persons with Disabilities (NCD) (NCD, 2017) was established with the MOLISA Minister as its President to steer the coordination between ministries, sectors, and localities in addressing issues related to persons with disabilities, to replace the National Coordination Committee on Disability (NCCD) which had been established in 2001 to comply with provisions of the CRPD. With 18 members including 12 vice-ministers, the NCD is tasked with the responsibility of promoting and monitoring disability policies, legislation, and the 2012-2020 National Action Plan to Support persons with disabilities and the implementation of the National Plan of Action for CPRD which was adopted in 2016. Many provinces and cities have established their committees to monitor the CRPD implementation with necessary resources. Within MOLISA, the Department of Social Protection is the technical wing on disability and acts as the Secretariat for the NCD.</w:t>
      </w:r>
    </w:p>
    <w:p w14:paraId="3053E78E"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Since the late 1980s in Viet Nam, the emergence of civil society has been noted as a new phenomenon along with economic reform. Gradually, it has been expanded and developed. However, the concept of "civil society organisation" (CSO) in the Vietnamese context is relatively new and has not been officially used because of confusion and disagreement of what is regarded as Vietnamese CSO. Therefore, the term "social organisation" has commonly been used about the non-state sector rather than CSOs or NGOs, which were used to indicate international or foreign organisations (VNB, 2016). </w:t>
      </w:r>
    </w:p>
    <w:p w14:paraId="1DE6F3ED" w14:textId="7ACDA376"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Disability-led organisations, including 23 official OPD</w:t>
      </w:r>
      <w:r w:rsidR="0067025E">
        <w:rPr>
          <w:rFonts w:ascii="Cambria" w:hAnsi="Cambria" w:cs="Cambria"/>
          <w:lang w:val="en-GB"/>
        </w:rPr>
        <w:t>s</w:t>
      </w:r>
      <w:r>
        <w:rPr>
          <w:rFonts w:ascii="Cambria" w:hAnsi="Cambria" w:cs="Cambria"/>
          <w:lang w:val="en-GB"/>
        </w:rPr>
        <w:t xml:space="preserve"> who have an official relationship and role with the government and local authorities, are actively engaging with their communities and government to identify solutions that will guarantee full inclusion of persons with disabilities through effective implementation and monitoring of existing laws, action plans, and policies. Key organisations include the Viet Nam Federation of Associations of Persons with Disabilities (VFD), the Viet Nam National Blind Association (VNBA), the Viet Nam National Deaf Association (VNDA), the Viet Nam Association of Business Enterprises of Persons with Disabilities (VABED), Viet Nam Association for Protection of persons with disabilities and Orphans (VAPPDO), Viet Nam Rehabilitation Association (VINAREHA), and many more.</w:t>
      </w:r>
    </w:p>
    <w:p w14:paraId="40288D8F"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Disability Working Group (DWG) in Hanoi was established as an international NGO initiative to strengthen the Government's efforts in advancing disability rights, consolidate and avoid repetition of NGO efforts, by increasing or enhancing the communication, collaboration, and coordination between all actors who work in the disability area. Their role has been increasingly recognised in Viet Nam as decisive in articulating people's views, promoting disability, monitoring, and reviewing the government and other actors’ actions. In many cases, they also directly provide services to persons with disabilities. </w:t>
      </w:r>
    </w:p>
    <w:p w14:paraId="6ECB8535" w14:textId="77777777" w:rsidR="00622BC0" w:rsidRDefault="00622BC0">
      <w:pPr>
        <w:widowControl w:val="0"/>
        <w:autoSpaceDE w:val="0"/>
        <w:autoSpaceDN w:val="0"/>
        <w:adjustRightInd w:val="0"/>
        <w:spacing w:after="200"/>
        <w:ind w:right="-6"/>
        <w:jc w:val="both"/>
        <w:rPr>
          <w:rFonts w:ascii="Cambria" w:hAnsi="Cambria" w:cs="Cambria"/>
          <w:lang w:val="en-GB"/>
        </w:rPr>
      </w:pPr>
    </w:p>
    <w:p w14:paraId="10C22F6D" w14:textId="77777777" w:rsidR="00622BC0" w:rsidRDefault="00622BC0">
      <w:pPr>
        <w:widowControl w:val="0"/>
        <w:autoSpaceDE w:val="0"/>
        <w:autoSpaceDN w:val="0"/>
        <w:adjustRightInd w:val="0"/>
        <w:spacing w:after="200"/>
        <w:ind w:right="-6"/>
        <w:jc w:val="both"/>
        <w:rPr>
          <w:rFonts w:ascii="Cambria" w:hAnsi="Cambria" w:cs="Cambria"/>
          <w:lang w:val="en-GB"/>
        </w:rPr>
      </w:pPr>
    </w:p>
    <w:p w14:paraId="04A2351A"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 xml:space="preserve">3. </w:t>
      </w:r>
      <w:r>
        <w:rPr>
          <w:rFonts w:ascii="Cambria" w:hAnsi="Cambria" w:cs="Cambria"/>
          <w:b/>
          <w:bCs/>
          <w:lang w:val="en-GB"/>
        </w:rPr>
        <w:tab/>
        <w:t>SDG Goal 3 - Health and Well-being</w:t>
      </w:r>
    </w:p>
    <w:p w14:paraId="5DDBEB61"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Policy and Regulations</w:t>
      </w:r>
    </w:p>
    <w:p w14:paraId="58E1C646"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VDS found that there are nearly 5 million households with disabilities in Viet Nam. One out of every five households has at least one person with disabilities. Disability is both a cause and a consequence of poverty. Despite they are considerably covered by health insurance, and poverty does not appear to be a barrier to accessing health clinics, few persons with disabilities (2.3%) use rehabilitation services when sick or injured as they may find barriers to the extra costs and accessibility of available transportation. Gaps also exist in living standards and the social participation of persons with disabilities. Approximately 80% of persons with disabilities in urban areas and 70% in rural areas depend on their families, relatives, and social allowances. Inaccessible environment and unavailable reasonable accommodation for independent living contribute to the reliance of persons with disabilities with their families, relatives, and allowances from the government.</w:t>
      </w:r>
    </w:p>
    <w:p w14:paraId="688043B1" w14:textId="77777777" w:rsidR="00622BC0" w:rsidRDefault="00826C5A">
      <w:pPr>
        <w:widowControl w:val="0"/>
        <w:autoSpaceDE w:val="0"/>
        <w:autoSpaceDN w:val="0"/>
        <w:adjustRightInd w:val="0"/>
        <w:spacing w:before="280" w:after="280"/>
        <w:ind w:right="-6"/>
        <w:jc w:val="both"/>
        <w:rPr>
          <w:rFonts w:ascii="Cambria" w:hAnsi="Cambria" w:cs="Cambria"/>
          <w:lang w:val="en-GB"/>
        </w:rPr>
      </w:pPr>
      <w:r>
        <w:rPr>
          <w:rFonts w:ascii="Cambria" w:hAnsi="Cambria" w:cs="Cambria"/>
          <w:lang w:val="en-GB"/>
        </w:rPr>
        <w:t>The following legal and policy documents have been issued for implementation as follows,</w:t>
      </w:r>
    </w:p>
    <w:p w14:paraId="1BB1DC75" w14:textId="77777777" w:rsidR="00622BC0" w:rsidRDefault="00826C5A">
      <w:pPr>
        <w:widowControl w:val="0"/>
        <w:autoSpaceDE w:val="0"/>
        <w:autoSpaceDN w:val="0"/>
        <w:adjustRightInd w:val="0"/>
        <w:spacing w:after="200"/>
        <w:ind w:left="480" w:right="21" w:hanging="480"/>
        <w:jc w:val="center"/>
        <w:rPr>
          <w:rFonts w:ascii="Cambria" w:hAnsi="Cambria" w:cs="Cambria"/>
          <w:lang w:val="en-GB"/>
        </w:rPr>
      </w:pPr>
      <w:r>
        <w:rPr>
          <w:rFonts w:ascii="Cambria" w:hAnsi="Cambria" w:cs="Cambria"/>
          <w:lang w:val="en-GB"/>
        </w:rPr>
        <w:t>Table 10 Policy and Regulations on Health in Viet Nam</w:t>
      </w:r>
    </w:p>
    <w:tbl>
      <w:tblPr>
        <w:tblW w:w="8239" w:type="dxa"/>
        <w:tblLayout w:type="fixed"/>
        <w:tblLook w:val="04A0" w:firstRow="1" w:lastRow="0" w:firstColumn="1" w:lastColumn="0" w:noHBand="0" w:noVBand="1"/>
      </w:tblPr>
      <w:tblGrid>
        <w:gridCol w:w="3525"/>
        <w:gridCol w:w="4714"/>
      </w:tblGrid>
      <w:tr w:rsidR="00622BC0" w14:paraId="44D9F448" w14:textId="77777777">
        <w:tc>
          <w:tcPr>
            <w:tcW w:w="3525" w:type="dxa"/>
            <w:vMerge w:val="restart"/>
            <w:tcBorders>
              <w:top w:val="single" w:sz="8" w:space="0" w:color="BFBFBF"/>
              <w:left w:val="single" w:sz="8" w:space="0" w:color="BFBFBF"/>
              <w:right w:val="single" w:sz="8" w:space="0" w:color="BFBFBF"/>
            </w:tcBorders>
            <w:shd w:val="clear" w:color="auto" w:fill="auto"/>
            <w:tcMar>
              <w:left w:w="0" w:type="dxa"/>
              <w:right w:w="0" w:type="dxa"/>
            </w:tcMar>
            <w:vAlign w:val="center"/>
          </w:tcPr>
          <w:p w14:paraId="11633159" w14:textId="77777777" w:rsidR="00622BC0" w:rsidRDefault="00826C5A">
            <w:pPr>
              <w:widowControl w:val="0"/>
              <w:autoSpaceDE w:val="0"/>
              <w:autoSpaceDN w:val="0"/>
              <w:adjustRightInd w:val="0"/>
              <w:spacing w:after="120"/>
              <w:ind w:right="21"/>
              <w:jc w:val="center"/>
              <w:rPr>
                <w:rFonts w:ascii="Cambria" w:hAnsi="Cambria" w:cs="Cambria"/>
                <w:lang w:val="en-GB"/>
              </w:rPr>
            </w:pPr>
            <w:r>
              <w:rPr>
                <w:rFonts w:ascii="Cambria" w:hAnsi="Cambria" w:cs="Cambria"/>
                <w:lang w:val="en-GB"/>
              </w:rPr>
              <w:t>Laws</w:t>
            </w:r>
          </w:p>
        </w:tc>
        <w:tc>
          <w:tcPr>
            <w:tcW w:w="471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2568E9B1" w14:textId="77777777" w:rsidR="00622BC0" w:rsidRDefault="00826C5A">
            <w:pPr>
              <w:widowControl w:val="0"/>
              <w:autoSpaceDE w:val="0"/>
              <w:autoSpaceDN w:val="0"/>
              <w:adjustRightInd w:val="0"/>
              <w:spacing w:after="200"/>
              <w:ind w:right="21"/>
              <w:rPr>
                <w:rFonts w:ascii="Cambria" w:hAnsi="Cambria" w:cs="Cambria"/>
                <w:lang w:val="en-GB"/>
              </w:rPr>
            </w:pPr>
            <w:r>
              <w:rPr>
                <w:rFonts w:ascii="Cambria" w:hAnsi="Cambria" w:cs="Cambria"/>
                <w:lang w:val="en-GB"/>
              </w:rPr>
              <w:t>Law on Medical Examination and Treatment, 2009</w:t>
            </w:r>
          </w:p>
        </w:tc>
      </w:tr>
      <w:tr w:rsidR="00622BC0" w14:paraId="090CF7AF" w14:textId="77777777">
        <w:tc>
          <w:tcPr>
            <w:tcW w:w="3525" w:type="dxa"/>
            <w:vMerge/>
            <w:tcBorders>
              <w:left w:val="single" w:sz="8" w:space="0" w:color="BFBFBF"/>
              <w:right w:val="single" w:sz="8" w:space="0" w:color="BFBFBF"/>
            </w:tcBorders>
            <w:shd w:val="clear" w:color="auto" w:fill="auto"/>
            <w:tcMar>
              <w:left w:w="0" w:type="dxa"/>
              <w:right w:w="0" w:type="dxa"/>
            </w:tcMar>
            <w:vAlign w:val="center"/>
          </w:tcPr>
          <w:p w14:paraId="787D44D8" w14:textId="77777777" w:rsidR="00622BC0" w:rsidRDefault="00622BC0">
            <w:pPr>
              <w:widowControl w:val="0"/>
              <w:autoSpaceDE w:val="0"/>
              <w:autoSpaceDN w:val="0"/>
              <w:adjustRightInd w:val="0"/>
              <w:rPr>
                <w:rFonts w:ascii="Cambria" w:hAnsi="Cambria" w:cs="Cambria"/>
                <w:lang w:val="en-GB"/>
              </w:rPr>
            </w:pPr>
          </w:p>
        </w:tc>
        <w:tc>
          <w:tcPr>
            <w:tcW w:w="471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78C718BD" w14:textId="77777777" w:rsidR="00622BC0" w:rsidRDefault="00826C5A">
            <w:pPr>
              <w:widowControl w:val="0"/>
              <w:autoSpaceDE w:val="0"/>
              <w:autoSpaceDN w:val="0"/>
              <w:adjustRightInd w:val="0"/>
              <w:spacing w:after="200"/>
              <w:ind w:right="21"/>
              <w:rPr>
                <w:rFonts w:ascii="Cambria" w:hAnsi="Cambria" w:cs="Cambria"/>
                <w:lang w:val="en-GB"/>
              </w:rPr>
            </w:pPr>
            <w:r>
              <w:rPr>
                <w:rFonts w:ascii="Cambria" w:hAnsi="Cambria" w:cs="Cambria"/>
                <w:lang w:val="en-GB"/>
              </w:rPr>
              <w:t>Law on Health Insurance, 2014</w:t>
            </w:r>
          </w:p>
        </w:tc>
      </w:tr>
      <w:tr w:rsidR="00622BC0" w14:paraId="26084FE7" w14:textId="77777777">
        <w:tc>
          <w:tcPr>
            <w:tcW w:w="3525" w:type="dxa"/>
            <w:vMerge/>
            <w:tcBorders>
              <w:left w:val="single" w:sz="8" w:space="0" w:color="BFBFBF"/>
              <w:bottom w:val="single" w:sz="8" w:space="0" w:color="BFBFBF"/>
              <w:right w:val="single" w:sz="8" w:space="0" w:color="BFBFBF"/>
            </w:tcBorders>
            <w:shd w:val="clear" w:color="auto" w:fill="auto"/>
            <w:tcMar>
              <w:top w:w="0" w:type="dxa"/>
              <w:right w:w="0" w:type="dxa"/>
            </w:tcMar>
            <w:vAlign w:val="center"/>
          </w:tcPr>
          <w:p w14:paraId="5186B323" w14:textId="77777777" w:rsidR="00622BC0" w:rsidRDefault="00622BC0">
            <w:pPr>
              <w:widowControl w:val="0"/>
              <w:autoSpaceDE w:val="0"/>
              <w:autoSpaceDN w:val="0"/>
              <w:adjustRightInd w:val="0"/>
              <w:spacing w:line="276" w:lineRule="auto"/>
              <w:ind w:right="-6"/>
              <w:rPr>
                <w:rFonts w:ascii="Cambria" w:hAnsi="Cambria" w:cs="Cambria"/>
                <w:lang w:val="en-GB"/>
              </w:rPr>
            </w:pPr>
          </w:p>
        </w:tc>
        <w:tc>
          <w:tcPr>
            <w:tcW w:w="471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37933941" w14:textId="77777777" w:rsidR="00622BC0" w:rsidRDefault="00826C5A">
            <w:pPr>
              <w:widowControl w:val="0"/>
              <w:autoSpaceDE w:val="0"/>
              <w:autoSpaceDN w:val="0"/>
              <w:adjustRightInd w:val="0"/>
              <w:spacing w:after="200"/>
              <w:ind w:right="21"/>
              <w:rPr>
                <w:rFonts w:ascii="Cambria" w:hAnsi="Cambria" w:cs="Cambria"/>
                <w:lang w:val="en-GB"/>
              </w:rPr>
            </w:pPr>
            <w:r>
              <w:rPr>
                <w:rFonts w:ascii="Cambria" w:hAnsi="Cambria" w:cs="Cambria"/>
                <w:lang w:val="en-GB"/>
              </w:rPr>
              <w:t>Law on Occupational Safety and Health, 2015</w:t>
            </w:r>
          </w:p>
        </w:tc>
      </w:tr>
      <w:tr w:rsidR="00622BC0" w14:paraId="1B63C332" w14:textId="77777777">
        <w:tc>
          <w:tcPr>
            <w:tcW w:w="3525" w:type="dxa"/>
            <w:vMerge w:val="restart"/>
            <w:tcBorders>
              <w:top w:val="single" w:sz="8" w:space="0" w:color="BFBFBF"/>
              <w:left w:val="single" w:sz="8" w:space="0" w:color="BFBFBF"/>
              <w:right w:val="single" w:sz="8" w:space="0" w:color="BFBFBF"/>
            </w:tcBorders>
            <w:shd w:val="clear" w:color="auto" w:fill="auto"/>
            <w:tcMar>
              <w:top w:w="0" w:type="dxa"/>
              <w:right w:w="0" w:type="dxa"/>
            </w:tcMar>
            <w:vAlign w:val="center"/>
          </w:tcPr>
          <w:p w14:paraId="27EE09DE" w14:textId="77777777" w:rsidR="00622BC0" w:rsidRDefault="00826C5A">
            <w:pPr>
              <w:widowControl w:val="0"/>
              <w:autoSpaceDE w:val="0"/>
              <w:autoSpaceDN w:val="0"/>
              <w:adjustRightInd w:val="0"/>
              <w:spacing w:after="120"/>
              <w:ind w:right="21"/>
              <w:jc w:val="center"/>
              <w:rPr>
                <w:rFonts w:ascii="Cambria" w:hAnsi="Cambria" w:cs="Cambria"/>
                <w:lang w:val="en-GB"/>
              </w:rPr>
            </w:pPr>
            <w:r>
              <w:rPr>
                <w:rFonts w:ascii="Cambria" w:hAnsi="Cambria" w:cs="Cambria"/>
                <w:lang w:val="en-GB"/>
              </w:rPr>
              <w:t>Regulations</w:t>
            </w:r>
          </w:p>
        </w:tc>
        <w:tc>
          <w:tcPr>
            <w:tcW w:w="4714" w:type="dxa"/>
            <w:tcBorders>
              <w:top w:val="single" w:sz="8" w:space="0" w:color="BFBFBF"/>
              <w:left w:val="single" w:sz="8" w:space="0" w:color="BFBFBF"/>
              <w:bottom w:val="single" w:sz="8" w:space="0" w:color="BFBFBF"/>
              <w:right w:val="single" w:sz="8" w:space="0" w:color="BFBFBF"/>
            </w:tcBorders>
            <w:shd w:val="clear" w:color="auto" w:fill="auto"/>
            <w:tcMar>
              <w:top w:w="0" w:type="dxa"/>
              <w:right w:w="0" w:type="dxa"/>
            </w:tcMar>
          </w:tcPr>
          <w:p w14:paraId="71FD3EEB" w14:textId="77777777" w:rsidR="00622BC0" w:rsidRDefault="00826C5A">
            <w:pPr>
              <w:widowControl w:val="0"/>
              <w:tabs>
                <w:tab w:val="left" w:pos="0"/>
              </w:tabs>
              <w:autoSpaceDE w:val="0"/>
              <w:autoSpaceDN w:val="0"/>
              <w:adjustRightInd w:val="0"/>
              <w:spacing w:after="200"/>
              <w:ind w:right="-6"/>
              <w:jc w:val="both"/>
              <w:rPr>
                <w:rFonts w:ascii="Cambria" w:hAnsi="Cambria" w:cs="Cambria"/>
                <w:lang w:val="en-GB"/>
              </w:rPr>
            </w:pPr>
            <w:r>
              <w:rPr>
                <w:rFonts w:ascii="Cambria" w:hAnsi="Cambria" w:cs="Cambria"/>
                <w:lang w:val="en-GB"/>
              </w:rPr>
              <w:t>Decree No. 136/2013/ND-CP dated October 21</w:t>
            </w:r>
            <w:r>
              <w:rPr>
                <w:rFonts w:ascii="Cambria" w:hAnsi="Cambria" w:cs="Cambria"/>
                <w:vertAlign w:val="superscript"/>
                <w:lang w:val="en-GB"/>
              </w:rPr>
              <w:t>st</w:t>
            </w:r>
            <w:r>
              <w:rPr>
                <w:rFonts w:ascii="Cambria" w:hAnsi="Cambria" w:cs="Cambria"/>
                <w:lang w:val="en-GB"/>
              </w:rPr>
              <w:t>, 2013 of the government regulating social assistance policies for social protection recipients</w:t>
            </w:r>
          </w:p>
        </w:tc>
      </w:tr>
      <w:tr w:rsidR="00622BC0" w14:paraId="434C1A76" w14:textId="77777777">
        <w:tc>
          <w:tcPr>
            <w:tcW w:w="3525" w:type="dxa"/>
            <w:vMerge/>
            <w:tcBorders>
              <w:left w:val="single" w:sz="8" w:space="0" w:color="BFBFBF"/>
              <w:right w:val="single" w:sz="8" w:space="0" w:color="BFBFBF"/>
            </w:tcBorders>
            <w:shd w:val="clear" w:color="auto" w:fill="auto"/>
            <w:tcMar>
              <w:top w:w="0" w:type="dxa"/>
              <w:right w:w="0" w:type="dxa"/>
            </w:tcMar>
            <w:vAlign w:val="center"/>
          </w:tcPr>
          <w:p w14:paraId="5D441886" w14:textId="77777777" w:rsidR="00622BC0" w:rsidRDefault="00622BC0">
            <w:pPr>
              <w:widowControl w:val="0"/>
              <w:autoSpaceDE w:val="0"/>
              <w:autoSpaceDN w:val="0"/>
              <w:adjustRightInd w:val="0"/>
              <w:rPr>
                <w:rFonts w:ascii="Cambria" w:hAnsi="Cambria" w:cs="Cambria"/>
                <w:lang w:val="en-GB"/>
              </w:rPr>
            </w:pPr>
          </w:p>
        </w:tc>
        <w:tc>
          <w:tcPr>
            <w:tcW w:w="471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186DB1D6" w14:textId="77777777" w:rsidR="00622BC0" w:rsidRDefault="00826C5A">
            <w:pPr>
              <w:widowControl w:val="0"/>
              <w:tabs>
                <w:tab w:val="left" w:pos="0"/>
              </w:tabs>
              <w:autoSpaceDE w:val="0"/>
              <w:autoSpaceDN w:val="0"/>
              <w:adjustRightInd w:val="0"/>
              <w:spacing w:before="40" w:after="120"/>
              <w:ind w:right="-159"/>
              <w:jc w:val="both"/>
              <w:rPr>
                <w:rFonts w:ascii="Cambria" w:hAnsi="Cambria" w:cs="Cambria"/>
                <w:lang w:val="en-GB"/>
              </w:rPr>
            </w:pPr>
            <w:r>
              <w:rPr>
                <w:rFonts w:ascii="Cambria" w:hAnsi="Cambria" w:cs="Cambria"/>
                <w:lang w:val="en-GB"/>
              </w:rPr>
              <w:t>Circular No. 18/TT-BYT dated June 30</w:t>
            </w:r>
            <w:r>
              <w:rPr>
                <w:rFonts w:ascii="Cambria" w:hAnsi="Cambria" w:cs="Cambria"/>
                <w:vertAlign w:val="superscript"/>
                <w:lang w:val="en-GB"/>
              </w:rPr>
              <w:t>th</w:t>
            </w:r>
            <w:r>
              <w:rPr>
                <w:rFonts w:ascii="Cambria" w:hAnsi="Cambria" w:cs="Cambria"/>
                <w:lang w:val="en-GB"/>
              </w:rPr>
              <w:t>, 2016 of MOH regulating the list of technical rehabilitation services, the list of rehabilitation devices, and rehabilitation day-care payment reimbursable by health insurance.</w:t>
            </w:r>
          </w:p>
        </w:tc>
      </w:tr>
      <w:tr w:rsidR="00622BC0" w14:paraId="23D7CD00" w14:textId="77777777">
        <w:tc>
          <w:tcPr>
            <w:tcW w:w="3525" w:type="dxa"/>
            <w:vMerge/>
            <w:tcBorders>
              <w:left w:val="single" w:sz="8" w:space="0" w:color="BFBFBF"/>
              <w:right w:val="single" w:sz="8" w:space="0" w:color="BFBFBF"/>
            </w:tcBorders>
            <w:shd w:val="clear" w:color="auto" w:fill="auto"/>
            <w:tcMar>
              <w:top w:w="0" w:type="dxa"/>
              <w:right w:w="0" w:type="dxa"/>
            </w:tcMar>
            <w:vAlign w:val="center"/>
          </w:tcPr>
          <w:p w14:paraId="599FF1CA" w14:textId="77777777" w:rsidR="00622BC0" w:rsidRDefault="00622BC0">
            <w:pPr>
              <w:widowControl w:val="0"/>
              <w:autoSpaceDE w:val="0"/>
              <w:autoSpaceDN w:val="0"/>
              <w:adjustRightInd w:val="0"/>
              <w:spacing w:line="276" w:lineRule="auto"/>
              <w:ind w:right="-6"/>
              <w:rPr>
                <w:rFonts w:ascii="Cambria" w:hAnsi="Cambria" w:cs="Cambria"/>
                <w:lang w:val="en-GB"/>
              </w:rPr>
            </w:pPr>
          </w:p>
        </w:tc>
        <w:tc>
          <w:tcPr>
            <w:tcW w:w="471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680BB2D0" w14:textId="77777777" w:rsidR="00622BC0" w:rsidRDefault="00826C5A">
            <w:pPr>
              <w:widowControl w:val="0"/>
              <w:tabs>
                <w:tab w:val="left" w:pos="0"/>
              </w:tabs>
              <w:autoSpaceDE w:val="0"/>
              <w:autoSpaceDN w:val="0"/>
              <w:adjustRightInd w:val="0"/>
              <w:spacing w:before="40" w:after="120"/>
              <w:ind w:right="-159"/>
              <w:jc w:val="both"/>
              <w:rPr>
                <w:rFonts w:ascii="Cambria" w:hAnsi="Cambria" w:cs="Cambria"/>
                <w:lang w:val="en-GB"/>
              </w:rPr>
            </w:pPr>
            <w:r>
              <w:rPr>
                <w:rFonts w:ascii="Cambria" w:hAnsi="Cambria" w:cs="Cambria"/>
                <w:lang w:val="en-GB"/>
              </w:rPr>
              <w:t>Circular No. 15/2014/TT-BTP dated May 20</w:t>
            </w:r>
            <w:r>
              <w:rPr>
                <w:rFonts w:ascii="Cambria" w:hAnsi="Cambria" w:cs="Cambria"/>
                <w:vertAlign w:val="superscript"/>
                <w:lang w:val="en-GB"/>
              </w:rPr>
              <w:t>th</w:t>
            </w:r>
            <w:r>
              <w:rPr>
                <w:rFonts w:ascii="Cambria" w:hAnsi="Cambria" w:cs="Cambria"/>
                <w:lang w:val="en-GB"/>
              </w:rPr>
              <w:t>, 2014 of Ministry of Justice guiding the finding of overseas substitute families for children with disabilities, children with severe illnesses, children five years of age or older, siblings who are looking for substitute family</w:t>
            </w:r>
          </w:p>
        </w:tc>
      </w:tr>
      <w:tr w:rsidR="00622BC0" w14:paraId="0710E0B5" w14:textId="77777777">
        <w:tc>
          <w:tcPr>
            <w:tcW w:w="3525" w:type="dxa"/>
            <w:vMerge/>
            <w:tcBorders>
              <w:left w:val="single" w:sz="8" w:space="0" w:color="BFBFBF"/>
              <w:right w:val="single" w:sz="8" w:space="0" w:color="BFBFBF"/>
            </w:tcBorders>
            <w:shd w:val="clear" w:color="auto" w:fill="auto"/>
            <w:tcMar>
              <w:top w:w="0" w:type="dxa"/>
              <w:right w:w="0" w:type="dxa"/>
            </w:tcMar>
            <w:vAlign w:val="center"/>
          </w:tcPr>
          <w:p w14:paraId="28E04102" w14:textId="77777777" w:rsidR="00622BC0" w:rsidRDefault="00622BC0">
            <w:pPr>
              <w:widowControl w:val="0"/>
              <w:autoSpaceDE w:val="0"/>
              <w:autoSpaceDN w:val="0"/>
              <w:adjustRightInd w:val="0"/>
              <w:spacing w:line="276" w:lineRule="auto"/>
              <w:ind w:right="-6"/>
              <w:rPr>
                <w:rFonts w:ascii="Cambria" w:hAnsi="Cambria" w:cs="Cambria"/>
                <w:lang w:val="en-GB"/>
              </w:rPr>
            </w:pPr>
          </w:p>
        </w:tc>
        <w:tc>
          <w:tcPr>
            <w:tcW w:w="471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3E2AB28F" w14:textId="77777777" w:rsidR="00622BC0" w:rsidRDefault="00826C5A">
            <w:pPr>
              <w:widowControl w:val="0"/>
              <w:tabs>
                <w:tab w:val="left" w:pos="0"/>
              </w:tabs>
              <w:autoSpaceDE w:val="0"/>
              <w:autoSpaceDN w:val="0"/>
              <w:adjustRightInd w:val="0"/>
              <w:spacing w:after="200"/>
              <w:ind w:right="21"/>
              <w:jc w:val="both"/>
              <w:rPr>
                <w:rFonts w:ascii="Cambria" w:hAnsi="Cambria" w:cs="Cambria"/>
                <w:lang w:val="en-GB"/>
              </w:rPr>
            </w:pPr>
            <w:r>
              <w:rPr>
                <w:rFonts w:ascii="Cambria" w:hAnsi="Cambria" w:cs="Cambria"/>
                <w:lang w:val="en-GB"/>
              </w:rPr>
              <w:t>Inter-Circular No. 37/2012/TTLT–BLDTBXH–BYT–BTC-BGDDT dated December 28</w:t>
            </w:r>
            <w:r>
              <w:rPr>
                <w:rFonts w:ascii="Cambria" w:hAnsi="Cambria" w:cs="Cambria"/>
                <w:vertAlign w:val="superscript"/>
                <w:lang w:val="en-GB"/>
              </w:rPr>
              <w:t>th</w:t>
            </w:r>
            <w:r>
              <w:rPr>
                <w:rFonts w:ascii="Cambria" w:hAnsi="Cambria" w:cs="Cambria"/>
                <w:lang w:val="en-GB"/>
              </w:rPr>
              <w:t>, 2012 of MOLISA, MOH, MOF, MOET guiding disability determination by communal disability determination council</w:t>
            </w:r>
          </w:p>
        </w:tc>
      </w:tr>
      <w:tr w:rsidR="00622BC0" w14:paraId="07EE5652" w14:textId="77777777">
        <w:tc>
          <w:tcPr>
            <w:tcW w:w="3525" w:type="dxa"/>
            <w:vMerge/>
            <w:tcBorders>
              <w:left w:val="single" w:sz="8" w:space="0" w:color="BFBFBF"/>
              <w:right w:val="single" w:sz="8" w:space="0" w:color="BFBFBF"/>
            </w:tcBorders>
            <w:shd w:val="clear" w:color="auto" w:fill="auto"/>
            <w:tcMar>
              <w:top w:w="0" w:type="dxa"/>
              <w:right w:w="0" w:type="dxa"/>
            </w:tcMar>
            <w:vAlign w:val="center"/>
          </w:tcPr>
          <w:p w14:paraId="2D89418B" w14:textId="77777777" w:rsidR="00622BC0" w:rsidRDefault="00622BC0">
            <w:pPr>
              <w:widowControl w:val="0"/>
              <w:autoSpaceDE w:val="0"/>
              <w:autoSpaceDN w:val="0"/>
              <w:adjustRightInd w:val="0"/>
              <w:spacing w:line="276" w:lineRule="auto"/>
              <w:ind w:right="-6"/>
              <w:rPr>
                <w:rFonts w:ascii="Cambria" w:hAnsi="Cambria" w:cs="Cambria"/>
                <w:lang w:val="en-GB"/>
              </w:rPr>
            </w:pPr>
          </w:p>
        </w:tc>
        <w:tc>
          <w:tcPr>
            <w:tcW w:w="471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05A43768" w14:textId="77777777" w:rsidR="00622BC0" w:rsidRDefault="00826C5A">
            <w:pPr>
              <w:widowControl w:val="0"/>
              <w:tabs>
                <w:tab w:val="left" w:pos="0"/>
              </w:tabs>
              <w:autoSpaceDE w:val="0"/>
              <w:autoSpaceDN w:val="0"/>
              <w:adjustRightInd w:val="0"/>
              <w:spacing w:after="200"/>
              <w:ind w:right="21"/>
              <w:jc w:val="both"/>
              <w:rPr>
                <w:rFonts w:ascii="Cambria" w:hAnsi="Cambria" w:cs="Cambria"/>
                <w:lang w:val="en-GB"/>
              </w:rPr>
            </w:pPr>
            <w:r>
              <w:rPr>
                <w:rFonts w:ascii="Cambria" w:hAnsi="Cambria" w:cs="Cambria"/>
                <w:lang w:val="en-GB"/>
              </w:rPr>
              <w:t>Inter-Circular No.34/2012/TTLT–BYT–BLDTBXH dated December 28</w:t>
            </w:r>
            <w:r>
              <w:rPr>
                <w:rFonts w:ascii="Cambria" w:hAnsi="Cambria" w:cs="Cambria"/>
                <w:vertAlign w:val="superscript"/>
                <w:lang w:val="en-GB"/>
              </w:rPr>
              <w:t>th</w:t>
            </w:r>
            <w:r>
              <w:rPr>
                <w:rFonts w:ascii="Cambria" w:hAnsi="Cambria" w:cs="Cambria"/>
                <w:lang w:val="en-GB"/>
              </w:rPr>
              <w:t>, 2012 of MOH and MOLISA guiding disability determination by the medical examination council</w:t>
            </w:r>
          </w:p>
        </w:tc>
      </w:tr>
      <w:tr w:rsidR="00622BC0" w14:paraId="1865A1C2" w14:textId="77777777">
        <w:tc>
          <w:tcPr>
            <w:tcW w:w="3525" w:type="dxa"/>
            <w:vMerge/>
            <w:tcBorders>
              <w:left w:val="single" w:sz="8" w:space="0" w:color="BFBFBF"/>
              <w:right w:val="single" w:sz="8" w:space="0" w:color="BFBFBF"/>
            </w:tcBorders>
            <w:shd w:val="clear" w:color="auto" w:fill="auto"/>
            <w:tcMar>
              <w:top w:w="0" w:type="dxa"/>
              <w:right w:w="0" w:type="dxa"/>
            </w:tcMar>
            <w:vAlign w:val="center"/>
          </w:tcPr>
          <w:p w14:paraId="5D722A7B" w14:textId="77777777" w:rsidR="00622BC0" w:rsidRDefault="00622BC0">
            <w:pPr>
              <w:widowControl w:val="0"/>
              <w:autoSpaceDE w:val="0"/>
              <w:autoSpaceDN w:val="0"/>
              <w:adjustRightInd w:val="0"/>
              <w:spacing w:line="276" w:lineRule="auto"/>
              <w:ind w:right="-6"/>
              <w:rPr>
                <w:rFonts w:ascii="Cambria" w:hAnsi="Cambria" w:cs="Cambria"/>
                <w:lang w:val="en-GB"/>
              </w:rPr>
            </w:pPr>
          </w:p>
        </w:tc>
        <w:tc>
          <w:tcPr>
            <w:tcW w:w="471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7FD48E57" w14:textId="77777777" w:rsidR="00622BC0" w:rsidRDefault="00826C5A">
            <w:pPr>
              <w:widowControl w:val="0"/>
              <w:tabs>
                <w:tab w:val="left" w:pos="0"/>
              </w:tabs>
              <w:autoSpaceDE w:val="0"/>
              <w:autoSpaceDN w:val="0"/>
              <w:adjustRightInd w:val="0"/>
              <w:spacing w:after="200"/>
              <w:ind w:right="21"/>
              <w:jc w:val="both"/>
              <w:rPr>
                <w:rFonts w:ascii="Cambria" w:hAnsi="Cambria" w:cs="Cambria"/>
                <w:lang w:val="en-GB"/>
              </w:rPr>
            </w:pPr>
            <w:r>
              <w:rPr>
                <w:rFonts w:ascii="Cambria" w:hAnsi="Cambria" w:cs="Cambria"/>
                <w:lang w:val="en-GB"/>
              </w:rPr>
              <w:t>Inter-Circular No.28/2013/TTLT-BYT–BLDTBXH dated September 27</w:t>
            </w:r>
            <w:r>
              <w:rPr>
                <w:rFonts w:ascii="Cambria" w:hAnsi="Cambria" w:cs="Cambria"/>
                <w:vertAlign w:val="superscript"/>
                <w:lang w:val="en-GB"/>
              </w:rPr>
              <w:t>th</w:t>
            </w:r>
            <w:r>
              <w:rPr>
                <w:rFonts w:ascii="Cambria" w:hAnsi="Cambria" w:cs="Cambria"/>
                <w:lang w:val="en-GB"/>
              </w:rPr>
              <w:t>, 2013 of MOH, MOLISA on the% of body injuries as a result of accidents, diseases, impairments, and occupational diseases</w:t>
            </w:r>
          </w:p>
        </w:tc>
      </w:tr>
      <w:tr w:rsidR="00622BC0" w14:paraId="64A6A1CE" w14:textId="77777777">
        <w:tc>
          <w:tcPr>
            <w:tcW w:w="3525" w:type="dxa"/>
            <w:vMerge/>
            <w:tcBorders>
              <w:left w:val="single" w:sz="8" w:space="0" w:color="BFBFBF"/>
              <w:right w:val="single" w:sz="8" w:space="0" w:color="BFBFBF"/>
            </w:tcBorders>
            <w:shd w:val="clear" w:color="auto" w:fill="auto"/>
            <w:tcMar>
              <w:top w:w="0" w:type="dxa"/>
              <w:right w:w="0" w:type="dxa"/>
            </w:tcMar>
            <w:vAlign w:val="center"/>
          </w:tcPr>
          <w:p w14:paraId="0DFB5696" w14:textId="77777777" w:rsidR="00622BC0" w:rsidRDefault="00622BC0">
            <w:pPr>
              <w:widowControl w:val="0"/>
              <w:autoSpaceDE w:val="0"/>
              <w:autoSpaceDN w:val="0"/>
              <w:adjustRightInd w:val="0"/>
              <w:spacing w:line="276" w:lineRule="auto"/>
              <w:ind w:right="-6"/>
              <w:rPr>
                <w:rFonts w:ascii="Cambria" w:hAnsi="Cambria" w:cs="Cambria"/>
                <w:lang w:val="en-GB"/>
              </w:rPr>
            </w:pPr>
          </w:p>
        </w:tc>
        <w:tc>
          <w:tcPr>
            <w:tcW w:w="471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7E357A6D" w14:textId="77777777" w:rsidR="00622BC0" w:rsidRDefault="00826C5A">
            <w:pPr>
              <w:widowControl w:val="0"/>
              <w:tabs>
                <w:tab w:val="left" w:pos="0"/>
              </w:tabs>
              <w:autoSpaceDE w:val="0"/>
              <w:autoSpaceDN w:val="0"/>
              <w:adjustRightInd w:val="0"/>
              <w:spacing w:before="40" w:after="120"/>
              <w:ind w:right="-159"/>
              <w:jc w:val="both"/>
              <w:rPr>
                <w:rFonts w:ascii="Cambria" w:hAnsi="Cambria" w:cs="Cambria"/>
                <w:lang w:val="en-GB"/>
              </w:rPr>
            </w:pPr>
            <w:r>
              <w:rPr>
                <w:rFonts w:ascii="Cambria" w:hAnsi="Cambria" w:cs="Cambria"/>
                <w:lang w:val="en-GB"/>
              </w:rPr>
              <w:t>Inter-Circular No. 29/2014/TTLT–BLDTBXH–BTC dated October 24</w:t>
            </w:r>
            <w:r>
              <w:rPr>
                <w:rFonts w:ascii="Cambria" w:hAnsi="Cambria" w:cs="Cambria"/>
                <w:vertAlign w:val="superscript"/>
                <w:lang w:val="en-GB"/>
              </w:rPr>
              <w:t>th</w:t>
            </w:r>
            <w:r>
              <w:rPr>
                <w:rFonts w:ascii="Cambria" w:hAnsi="Cambria" w:cs="Cambria"/>
                <w:lang w:val="en-GB"/>
              </w:rPr>
              <w:t>, 2014 of MOLISA, MOF guiding the implementation of some articles of Decree 136/2013/ND-CP dated October 21</w:t>
            </w:r>
            <w:r>
              <w:rPr>
                <w:rFonts w:ascii="Cambria" w:hAnsi="Cambria" w:cs="Cambria"/>
                <w:vertAlign w:val="superscript"/>
                <w:lang w:val="en-GB"/>
              </w:rPr>
              <w:t>st</w:t>
            </w:r>
            <w:r>
              <w:rPr>
                <w:rFonts w:ascii="Cambria" w:hAnsi="Cambria" w:cs="Cambria"/>
                <w:lang w:val="en-GB"/>
              </w:rPr>
              <w:t>, 2013 of the government regulating social assistance policies for social protection recipients</w:t>
            </w:r>
          </w:p>
        </w:tc>
      </w:tr>
      <w:tr w:rsidR="00622BC0" w14:paraId="50EB0446" w14:textId="77777777">
        <w:tc>
          <w:tcPr>
            <w:tcW w:w="3525" w:type="dxa"/>
            <w:vMerge/>
            <w:tcBorders>
              <w:left w:val="single" w:sz="8" w:space="0" w:color="BFBFBF"/>
              <w:right w:val="single" w:sz="8" w:space="0" w:color="BFBFBF"/>
            </w:tcBorders>
            <w:shd w:val="clear" w:color="auto" w:fill="auto"/>
            <w:tcMar>
              <w:top w:w="0" w:type="dxa"/>
              <w:right w:w="0" w:type="dxa"/>
            </w:tcMar>
            <w:vAlign w:val="center"/>
          </w:tcPr>
          <w:p w14:paraId="679A3F90" w14:textId="77777777" w:rsidR="00622BC0" w:rsidRDefault="00622BC0">
            <w:pPr>
              <w:widowControl w:val="0"/>
              <w:autoSpaceDE w:val="0"/>
              <w:autoSpaceDN w:val="0"/>
              <w:adjustRightInd w:val="0"/>
              <w:spacing w:line="276" w:lineRule="auto"/>
              <w:ind w:right="-6"/>
              <w:rPr>
                <w:rFonts w:ascii="Cambria" w:hAnsi="Cambria" w:cs="Cambria"/>
                <w:lang w:val="en-GB"/>
              </w:rPr>
            </w:pPr>
          </w:p>
        </w:tc>
        <w:tc>
          <w:tcPr>
            <w:tcW w:w="471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23856E73" w14:textId="77777777" w:rsidR="00622BC0" w:rsidRDefault="00826C5A">
            <w:pPr>
              <w:widowControl w:val="0"/>
              <w:tabs>
                <w:tab w:val="left" w:pos="0"/>
              </w:tabs>
              <w:autoSpaceDE w:val="0"/>
              <w:autoSpaceDN w:val="0"/>
              <w:adjustRightInd w:val="0"/>
              <w:spacing w:before="40" w:after="120"/>
              <w:ind w:right="-159"/>
              <w:jc w:val="both"/>
              <w:rPr>
                <w:rFonts w:ascii="Cambria" w:hAnsi="Cambria" w:cs="Cambria"/>
                <w:lang w:val="en-GB"/>
              </w:rPr>
            </w:pPr>
            <w:r>
              <w:rPr>
                <w:rFonts w:ascii="Cambria" w:hAnsi="Cambria" w:cs="Cambria"/>
                <w:lang w:val="en-GB"/>
              </w:rPr>
              <w:t>Inter-Circular No. 19/2015/TTLT-BKHCN-BLDTBXH dated October 31</w:t>
            </w:r>
            <w:r>
              <w:rPr>
                <w:rFonts w:ascii="Cambria" w:hAnsi="Cambria" w:cs="Cambria"/>
                <w:vertAlign w:val="superscript"/>
                <w:lang w:val="en-GB"/>
              </w:rPr>
              <w:t>st</w:t>
            </w:r>
            <w:r>
              <w:rPr>
                <w:rFonts w:ascii="Cambria" w:hAnsi="Cambria" w:cs="Cambria"/>
                <w:lang w:val="en-GB"/>
              </w:rPr>
              <w:t>, 2015 of Ministry of Science and Technology and MOLISA encouraging scientific research, technology transfer, and application in the production of products supporting persons with disabilities</w:t>
            </w:r>
          </w:p>
        </w:tc>
      </w:tr>
      <w:tr w:rsidR="00622BC0" w14:paraId="43DB31D1" w14:textId="77777777">
        <w:tc>
          <w:tcPr>
            <w:tcW w:w="3525" w:type="dxa"/>
            <w:vMerge/>
            <w:tcBorders>
              <w:left w:val="single" w:sz="8" w:space="0" w:color="BFBFBF"/>
              <w:bottom w:val="single" w:sz="8" w:space="0" w:color="BFBFBF"/>
              <w:right w:val="single" w:sz="8" w:space="0" w:color="BFBFBF"/>
            </w:tcBorders>
            <w:shd w:val="clear" w:color="auto" w:fill="auto"/>
            <w:tcMar>
              <w:top w:w="0" w:type="dxa"/>
              <w:right w:w="0" w:type="dxa"/>
            </w:tcMar>
            <w:vAlign w:val="center"/>
          </w:tcPr>
          <w:p w14:paraId="630FCABE" w14:textId="77777777" w:rsidR="00622BC0" w:rsidRDefault="00622BC0">
            <w:pPr>
              <w:widowControl w:val="0"/>
              <w:autoSpaceDE w:val="0"/>
              <w:autoSpaceDN w:val="0"/>
              <w:adjustRightInd w:val="0"/>
              <w:spacing w:line="276" w:lineRule="auto"/>
              <w:ind w:right="-6"/>
              <w:rPr>
                <w:rFonts w:ascii="Cambria" w:hAnsi="Cambria" w:cs="Cambria"/>
                <w:lang w:val="en-GB"/>
              </w:rPr>
            </w:pPr>
          </w:p>
        </w:tc>
        <w:tc>
          <w:tcPr>
            <w:tcW w:w="471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6FE1C8A4" w14:textId="77777777" w:rsidR="00622BC0" w:rsidRDefault="00826C5A">
            <w:pPr>
              <w:widowControl w:val="0"/>
              <w:tabs>
                <w:tab w:val="left" w:pos="0"/>
              </w:tabs>
              <w:autoSpaceDE w:val="0"/>
              <w:autoSpaceDN w:val="0"/>
              <w:adjustRightInd w:val="0"/>
              <w:spacing w:before="40" w:after="120"/>
              <w:ind w:right="-159"/>
              <w:jc w:val="both"/>
              <w:rPr>
                <w:rFonts w:ascii="Cambria" w:hAnsi="Cambria" w:cs="Cambria"/>
                <w:lang w:val="en-GB"/>
              </w:rPr>
            </w:pPr>
            <w:r>
              <w:rPr>
                <w:rFonts w:ascii="Cambria" w:hAnsi="Cambria" w:cs="Cambria"/>
                <w:lang w:val="en-GB"/>
              </w:rPr>
              <w:t>Inter-Circular No. 06/2016/TTLT-BLDTBXH-BTC dated May 12</w:t>
            </w:r>
            <w:r>
              <w:rPr>
                <w:rFonts w:ascii="Cambria" w:hAnsi="Cambria" w:cs="Cambria"/>
                <w:vertAlign w:val="superscript"/>
                <w:lang w:val="en-GB"/>
              </w:rPr>
              <w:t>th</w:t>
            </w:r>
            <w:r>
              <w:rPr>
                <w:rFonts w:ascii="Cambria" w:hAnsi="Cambria" w:cs="Cambria"/>
                <w:lang w:val="en-GB"/>
              </w:rPr>
              <w:t>, 2016 of MOLISA and MOF on supplementing and amending Inter-Circular 29/2014/TTLT–BLDTBXH–BTC dated October 24</w:t>
            </w:r>
            <w:r>
              <w:rPr>
                <w:rFonts w:ascii="Cambria" w:hAnsi="Cambria" w:cs="Cambria"/>
                <w:vertAlign w:val="superscript"/>
                <w:lang w:val="en-GB"/>
              </w:rPr>
              <w:t>th</w:t>
            </w:r>
            <w:r>
              <w:rPr>
                <w:rFonts w:ascii="Cambria" w:hAnsi="Cambria" w:cs="Cambria"/>
                <w:lang w:val="en-GB"/>
              </w:rPr>
              <w:t>, 2014 of MOLISA, MOF guiding the implementation of some articles of Decree 136/2013/ND-CP dated October 21</w:t>
            </w:r>
            <w:r>
              <w:rPr>
                <w:rFonts w:ascii="Cambria" w:hAnsi="Cambria" w:cs="Cambria"/>
                <w:vertAlign w:val="superscript"/>
                <w:lang w:val="en-GB"/>
              </w:rPr>
              <w:t>st</w:t>
            </w:r>
            <w:r>
              <w:rPr>
                <w:rFonts w:ascii="Cambria" w:hAnsi="Cambria" w:cs="Cambria"/>
                <w:lang w:val="en-GB"/>
              </w:rPr>
              <w:t>, 2013 of the government regulating social assistance policies for social protection recipients</w:t>
            </w:r>
          </w:p>
        </w:tc>
      </w:tr>
    </w:tbl>
    <w:p w14:paraId="4B12EAAE" w14:textId="77777777" w:rsidR="00622BC0" w:rsidRDefault="00826C5A">
      <w:pPr>
        <w:widowControl w:val="0"/>
        <w:autoSpaceDE w:val="0"/>
        <w:autoSpaceDN w:val="0"/>
        <w:adjustRightInd w:val="0"/>
        <w:spacing w:before="280" w:after="280"/>
        <w:ind w:right="-6"/>
        <w:jc w:val="both"/>
        <w:rPr>
          <w:rFonts w:ascii="Cambria" w:hAnsi="Cambria" w:cs="Cambria"/>
          <w:b/>
          <w:bCs/>
          <w:lang w:val="en-GB"/>
        </w:rPr>
      </w:pPr>
      <w:r>
        <w:rPr>
          <w:rFonts w:ascii="Cambria" w:hAnsi="Cambria" w:cs="Cambria"/>
          <w:b/>
          <w:bCs/>
          <w:lang w:val="en-GB"/>
        </w:rPr>
        <w:t>Implementation and Programmes</w:t>
      </w:r>
    </w:p>
    <w:p w14:paraId="2FC1E131" w14:textId="77777777" w:rsidR="00622BC0" w:rsidRDefault="00826C5A">
      <w:pPr>
        <w:widowControl w:val="0"/>
        <w:autoSpaceDE w:val="0"/>
        <w:autoSpaceDN w:val="0"/>
        <w:adjustRightInd w:val="0"/>
        <w:spacing w:before="280" w:after="280"/>
        <w:ind w:right="-6"/>
        <w:jc w:val="both"/>
        <w:rPr>
          <w:rFonts w:ascii="Cambria" w:hAnsi="Cambria" w:cs="Cambria"/>
          <w:lang w:val="en-GB"/>
        </w:rPr>
      </w:pPr>
      <w:r>
        <w:rPr>
          <w:rFonts w:ascii="Cambria" w:hAnsi="Cambria" w:cs="Cambria"/>
          <w:lang w:val="en-GB"/>
        </w:rPr>
        <w:t>The VDS also reveals that persons with disabilities need to work for income and their independent livelihood, but less than one-third have a job. Regarding social protection, the government has made efforts to support persons with disabilities, and out of every 10 persons with disabilities, four people receive a monthly allowance; one in every two receives support to purchase health insurance cards, and one in three is exempted from medical expenses. The description below is programme implementation that has been running in Viet Nam that may describe that the available health-care units are lacking to serve specific needs of persons with disabilities:</w:t>
      </w:r>
    </w:p>
    <w:p w14:paraId="3BE8CF52" w14:textId="77777777" w:rsidR="00622BC0" w:rsidRDefault="00826C5A">
      <w:pPr>
        <w:widowControl w:val="0"/>
        <w:tabs>
          <w:tab w:val="left" w:pos="240"/>
        </w:tabs>
        <w:autoSpaceDE w:val="0"/>
        <w:autoSpaceDN w:val="0"/>
        <w:adjustRightInd w:val="0"/>
        <w:spacing w:after="200"/>
        <w:ind w:leftChars="100" w:left="480" w:right="-6" w:hangingChars="100" w:hanging="240"/>
        <w:rPr>
          <w:rFonts w:ascii="Cambria" w:hAnsi="Cambria" w:cs="Cambria"/>
          <w:lang w:val="en-GB"/>
        </w:rPr>
      </w:pPr>
      <w:r>
        <w:rPr>
          <w:rFonts w:ascii="Cambria" w:hAnsi="Cambria" w:cs="Cambria"/>
          <w:lang w:val="en-GB"/>
        </w:rPr>
        <w:t>1.</w:t>
      </w:r>
      <w:r>
        <w:rPr>
          <w:rFonts w:ascii="Cambria" w:hAnsi="Cambria" w:cs="Cambria"/>
          <w:lang w:val="en-GB"/>
        </w:rPr>
        <w:tab/>
        <w:t xml:space="preserve">57.3% of commune health centres have rehabilitative programmes; </w:t>
      </w:r>
    </w:p>
    <w:p w14:paraId="6D66514E" w14:textId="77777777" w:rsidR="00622BC0" w:rsidRDefault="00826C5A">
      <w:pPr>
        <w:widowControl w:val="0"/>
        <w:tabs>
          <w:tab w:val="left" w:pos="240"/>
        </w:tabs>
        <w:autoSpaceDE w:val="0"/>
        <w:autoSpaceDN w:val="0"/>
        <w:adjustRightInd w:val="0"/>
        <w:spacing w:after="200"/>
        <w:ind w:leftChars="100" w:left="480" w:right="-6" w:hangingChars="100" w:hanging="240"/>
        <w:rPr>
          <w:rFonts w:ascii="Cambria" w:hAnsi="Cambria" w:cs="Cambria"/>
          <w:lang w:val="en-GB"/>
        </w:rPr>
      </w:pPr>
      <w:r>
        <w:rPr>
          <w:rFonts w:ascii="Cambria" w:hAnsi="Cambria" w:cs="Cambria"/>
          <w:lang w:val="en-GB"/>
        </w:rPr>
        <w:t>2.</w:t>
      </w:r>
      <w:r>
        <w:rPr>
          <w:rFonts w:ascii="Cambria" w:hAnsi="Cambria" w:cs="Cambria"/>
          <w:lang w:val="en-GB"/>
        </w:rPr>
        <w:tab/>
        <w:t xml:space="preserve">2% of children with disabilities aged 2-15 receive rehabilitation services when getting sick or injured; </w:t>
      </w:r>
    </w:p>
    <w:p w14:paraId="094A1959" w14:textId="77777777" w:rsidR="00622BC0" w:rsidRDefault="00826C5A">
      <w:pPr>
        <w:widowControl w:val="0"/>
        <w:tabs>
          <w:tab w:val="left" w:pos="240"/>
        </w:tabs>
        <w:autoSpaceDE w:val="0"/>
        <w:autoSpaceDN w:val="0"/>
        <w:adjustRightInd w:val="0"/>
        <w:spacing w:after="200"/>
        <w:ind w:leftChars="100" w:left="480" w:right="-6" w:hangingChars="100" w:hanging="240"/>
        <w:rPr>
          <w:rFonts w:ascii="Cambria" w:hAnsi="Cambria" w:cs="Cambria"/>
          <w:lang w:val="en-GB"/>
        </w:rPr>
      </w:pPr>
      <w:r>
        <w:rPr>
          <w:rFonts w:ascii="Cambria" w:hAnsi="Cambria" w:cs="Cambria"/>
          <w:lang w:val="en-GB"/>
        </w:rPr>
        <w:t>3.</w:t>
      </w:r>
      <w:r>
        <w:rPr>
          <w:rFonts w:ascii="Cambria" w:hAnsi="Cambria" w:cs="Cambria"/>
          <w:lang w:val="en-GB"/>
        </w:rPr>
        <w:tab/>
        <w:t>90.6% of commune health centres have education programmes on health care for people with disabilities;</w:t>
      </w:r>
    </w:p>
    <w:p w14:paraId="7ABB101E"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state report of Viet Nam on the CRPD implementation emphasised prenatal and pregnancy service programmes in the field of health which relevant to the rights of persons with disabilities from 2007 to 2010; namely, (Viet Nam CRPD State Report, 2019):</w:t>
      </w:r>
    </w:p>
    <w:p w14:paraId="75665637" w14:textId="77777777" w:rsidR="00622BC0" w:rsidRDefault="00826C5A">
      <w:pPr>
        <w:widowControl w:val="0"/>
        <w:autoSpaceDE w:val="0"/>
        <w:autoSpaceDN w:val="0"/>
        <w:adjustRightInd w:val="0"/>
        <w:spacing w:after="200"/>
        <w:ind w:leftChars="100" w:left="480" w:right="-6" w:hangingChars="100" w:hanging="240"/>
        <w:rPr>
          <w:rFonts w:ascii="Cambria" w:hAnsi="Cambria" w:cs="Cambria"/>
          <w:lang w:val="en-GB"/>
        </w:rPr>
      </w:pPr>
      <w:r>
        <w:rPr>
          <w:rFonts w:ascii="Cambria" w:hAnsi="Cambria" w:cs="Cambria"/>
          <w:lang w:val="en-GB"/>
        </w:rPr>
        <w:t>1.</w:t>
      </w:r>
      <w:r>
        <w:rPr>
          <w:rFonts w:ascii="Cambria" w:hAnsi="Cambria" w:cs="Cambria"/>
          <w:lang w:val="en-GB"/>
        </w:rPr>
        <w:tab/>
        <w:t>Antenatal and neonatal centres throughout the country provide prenatal screening for over 50,000 pregnant women;</w:t>
      </w:r>
    </w:p>
    <w:p w14:paraId="72067DFA" w14:textId="77777777" w:rsidR="00622BC0" w:rsidRDefault="00826C5A">
      <w:pPr>
        <w:widowControl w:val="0"/>
        <w:autoSpaceDE w:val="0"/>
        <w:autoSpaceDN w:val="0"/>
        <w:adjustRightInd w:val="0"/>
        <w:spacing w:after="200"/>
        <w:ind w:leftChars="100" w:left="480" w:right="-6" w:hangingChars="100" w:hanging="240"/>
        <w:rPr>
          <w:rFonts w:ascii="Cambria" w:hAnsi="Cambria" w:cs="Cambria"/>
          <w:lang w:val="en-GB"/>
        </w:rPr>
      </w:pPr>
      <w:r>
        <w:rPr>
          <w:rFonts w:ascii="Cambria" w:hAnsi="Cambria" w:cs="Cambria"/>
          <w:lang w:val="en-GB"/>
        </w:rPr>
        <w:t>2.</w:t>
      </w:r>
      <w:r>
        <w:rPr>
          <w:rFonts w:ascii="Cambria" w:hAnsi="Cambria" w:cs="Cambria"/>
          <w:lang w:val="en-GB"/>
        </w:rPr>
        <w:tab/>
        <w:t>Pregnancy termination for approximately 9,000 pregnant women;</w:t>
      </w:r>
    </w:p>
    <w:p w14:paraId="7E1BE5B7" w14:textId="77777777" w:rsidR="00622BC0" w:rsidRDefault="00826C5A">
      <w:pPr>
        <w:widowControl w:val="0"/>
        <w:autoSpaceDE w:val="0"/>
        <w:autoSpaceDN w:val="0"/>
        <w:adjustRightInd w:val="0"/>
        <w:spacing w:after="200"/>
        <w:ind w:leftChars="100" w:left="480" w:right="-6" w:hangingChars="100" w:hanging="240"/>
        <w:rPr>
          <w:rFonts w:ascii="Cambria" w:hAnsi="Cambria" w:cs="Cambria"/>
          <w:lang w:val="en-GB"/>
        </w:rPr>
      </w:pPr>
      <w:r>
        <w:rPr>
          <w:rFonts w:ascii="Cambria" w:hAnsi="Cambria" w:cs="Cambria"/>
          <w:lang w:val="en-GB"/>
        </w:rPr>
        <w:t>3.</w:t>
      </w:r>
      <w:r>
        <w:rPr>
          <w:rFonts w:ascii="Cambria" w:hAnsi="Cambria" w:cs="Cambria"/>
          <w:lang w:val="en-GB"/>
        </w:rPr>
        <w:tab/>
        <w:t>Follow-up and postnatal counselling for approximately 40,000 cases;</w:t>
      </w:r>
    </w:p>
    <w:p w14:paraId="0F488E1A" w14:textId="77777777" w:rsidR="00622BC0" w:rsidRDefault="00826C5A">
      <w:pPr>
        <w:widowControl w:val="0"/>
        <w:autoSpaceDE w:val="0"/>
        <w:autoSpaceDN w:val="0"/>
        <w:adjustRightInd w:val="0"/>
        <w:spacing w:after="200"/>
        <w:ind w:leftChars="100" w:left="480" w:right="-6" w:hangingChars="100" w:hanging="240"/>
        <w:rPr>
          <w:rFonts w:ascii="Cambria" w:hAnsi="Cambria" w:cs="Cambria"/>
          <w:lang w:val="en-GB"/>
        </w:rPr>
      </w:pPr>
      <w:r>
        <w:rPr>
          <w:rFonts w:ascii="Cambria" w:hAnsi="Cambria" w:cs="Cambria"/>
          <w:lang w:val="en-GB"/>
        </w:rPr>
        <w:t>4.</w:t>
      </w:r>
      <w:r>
        <w:rPr>
          <w:rFonts w:ascii="Cambria" w:hAnsi="Cambria" w:cs="Cambria"/>
          <w:lang w:val="en-GB"/>
        </w:rPr>
        <w:tab/>
        <w:t>Neonatal screening of over 178,000 cases;</w:t>
      </w:r>
    </w:p>
    <w:p w14:paraId="6D802F38" w14:textId="77777777" w:rsidR="00622BC0" w:rsidRDefault="00826C5A">
      <w:pPr>
        <w:widowControl w:val="0"/>
        <w:autoSpaceDE w:val="0"/>
        <w:autoSpaceDN w:val="0"/>
        <w:adjustRightInd w:val="0"/>
        <w:spacing w:after="200"/>
        <w:ind w:leftChars="100" w:left="480" w:right="-6" w:hangingChars="100" w:hanging="240"/>
        <w:rPr>
          <w:rFonts w:ascii="Cambria" w:hAnsi="Cambria" w:cs="Cambria"/>
          <w:lang w:val="en-GB"/>
        </w:rPr>
      </w:pPr>
      <w:r>
        <w:rPr>
          <w:rFonts w:ascii="Cambria" w:hAnsi="Cambria" w:cs="Cambria"/>
          <w:lang w:val="en-GB"/>
        </w:rPr>
        <w:t>5.</w:t>
      </w:r>
      <w:r>
        <w:rPr>
          <w:rFonts w:ascii="Cambria" w:hAnsi="Cambria" w:cs="Cambria"/>
          <w:lang w:val="en-GB"/>
        </w:rPr>
        <w:tab/>
        <w:t>Referring 3,860 children to paediatric institutions at central and local levels for consultation and treatment;</w:t>
      </w:r>
    </w:p>
    <w:p w14:paraId="69A064E3" w14:textId="77777777" w:rsidR="00622BC0" w:rsidRDefault="00826C5A">
      <w:pPr>
        <w:widowControl w:val="0"/>
        <w:autoSpaceDE w:val="0"/>
        <w:autoSpaceDN w:val="0"/>
        <w:adjustRightInd w:val="0"/>
        <w:spacing w:after="200"/>
        <w:ind w:leftChars="100" w:left="480" w:right="-6" w:hangingChars="100" w:hanging="240"/>
        <w:rPr>
          <w:rFonts w:ascii="Cambria" w:hAnsi="Cambria" w:cs="Cambria"/>
          <w:lang w:val="en-GB"/>
        </w:rPr>
      </w:pPr>
      <w:r>
        <w:rPr>
          <w:rFonts w:ascii="Cambria" w:hAnsi="Cambria" w:cs="Cambria"/>
          <w:lang w:val="en-GB"/>
        </w:rPr>
        <w:t>6.</w:t>
      </w:r>
      <w:r>
        <w:rPr>
          <w:rFonts w:ascii="Cambria" w:hAnsi="Cambria" w:cs="Cambria"/>
          <w:lang w:val="en-GB"/>
        </w:rPr>
        <w:tab/>
        <w:t xml:space="preserve">A pilot project of early disability detection in Ho Chi Minh City and Quang </w:t>
      </w:r>
      <w:proofErr w:type="spellStart"/>
      <w:r>
        <w:rPr>
          <w:rFonts w:ascii="Cambria" w:hAnsi="Cambria" w:cs="Cambria"/>
          <w:lang w:val="en-GB"/>
        </w:rPr>
        <w:t>Binh</w:t>
      </w:r>
      <w:proofErr w:type="spellEnd"/>
      <w:r>
        <w:rPr>
          <w:rFonts w:ascii="Cambria" w:hAnsi="Cambria" w:cs="Cambria"/>
          <w:lang w:val="en-GB"/>
        </w:rPr>
        <w:t xml:space="preserve">. </w:t>
      </w:r>
    </w:p>
    <w:p w14:paraId="494B47E2"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Persons with disabilities are entitled to exemption charges for health-care facilities such as examination, 100% reimbursement for treatment expenses, medication, and other treatments, especially for those having severe, moderate, and mild disabilities under health insurance as regulated by the government. Also, the LPD 2010 regulates the health-care facilities in Viet Nam to provide counselling services on the early detection and intervention for children or new-born babies with disabilities in the health-care units of a proper administrative level. </w:t>
      </w:r>
    </w:p>
    <w:p w14:paraId="681186C3" w14:textId="3E04CD0B"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Participation of Civil Society and OPD</w:t>
      </w:r>
      <w:r w:rsidR="0067025E">
        <w:rPr>
          <w:rFonts w:ascii="Cambria" w:hAnsi="Cambria" w:cs="Cambria"/>
          <w:b/>
          <w:bCs/>
          <w:lang w:val="en-GB"/>
        </w:rPr>
        <w:t>s</w:t>
      </w:r>
    </w:p>
    <w:p w14:paraId="036BC2A2"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VDS found that disability is both a cause and a consequence of poverty. Persons with disabilities continue to be both socially and economically excluded in almost all aspects of life, notably education, labour force participation, employment, and marriage, thus requiring considerable social support from all the rights-holders. Findings from the VDS show that households having members with disabilities tend to be poorer than the national average, and children with disabilities attend school less, and adults with disabilities are less employed than their peers without disabilities.</w:t>
      </w:r>
    </w:p>
    <w:p w14:paraId="58166185" w14:textId="27BF3BC0" w:rsidR="00622BC0" w:rsidRDefault="00826C5A">
      <w:pPr>
        <w:widowControl w:val="0"/>
        <w:autoSpaceDE w:val="0"/>
        <w:autoSpaceDN w:val="0"/>
        <w:adjustRightInd w:val="0"/>
        <w:spacing w:before="280" w:after="280"/>
        <w:ind w:right="-6"/>
        <w:jc w:val="both"/>
        <w:rPr>
          <w:rFonts w:ascii="Cambria" w:hAnsi="Cambria" w:cs="Cambria"/>
          <w:lang w:val="en-GB"/>
        </w:rPr>
      </w:pPr>
      <w:r>
        <w:rPr>
          <w:rFonts w:ascii="Cambria" w:hAnsi="Cambria" w:cs="Cambria"/>
          <w:lang w:val="en-GB"/>
        </w:rPr>
        <w:t>The VDS highlighted that the most common types of disabilities amongst children are psycho-social related.</w:t>
      </w:r>
    </w:p>
    <w:p w14:paraId="2EE87E7F" w14:textId="77777777" w:rsidR="00622BC0" w:rsidRDefault="00826C5A">
      <w:pPr>
        <w:widowControl w:val="0"/>
        <w:autoSpaceDE w:val="0"/>
        <w:autoSpaceDN w:val="0"/>
        <w:adjustRightInd w:val="0"/>
        <w:spacing w:before="280" w:after="280"/>
        <w:ind w:right="-6"/>
        <w:jc w:val="both"/>
        <w:rPr>
          <w:rFonts w:ascii="Cambria" w:hAnsi="Cambria" w:cs="Cambria"/>
          <w:lang w:val="en-GB"/>
        </w:rPr>
      </w:pPr>
      <w:r>
        <w:rPr>
          <w:rFonts w:ascii="Cambria" w:hAnsi="Cambria" w:cs="Cambria"/>
          <w:lang w:val="en-GB"/>
        </w:rPr>
        <w:t>Malnutrition, illness, inadequate prenatal and postnatal care, infectious diseases, lack of medical treatment and rehabilitation, over-prescription of streptomycin, and hereditary factors also contribute to childhood disability. An unknown number of Vietnamese children may have disabilities caused by Agent Orange, the chemical defoliant the United States military sprayed over vast areas of Viet Nam during the war. Today many children are born with genetic defects. Children with disabilities need extra care and assistance to ensure that their rights are fully realised. Unfortunately, many of these children have not been able to attain their rights fully and pursue their dreams due to the limited availability of financial assistance, vocational training, health care, and education programmes.</w:t>
      </w:r>
    </w:p>
    <w:p w14:paraId="2849A967" w14:textId="77777777" w:rsidR="00622BC0" w:rsidRDefault="00826C5A">
      <w:pPr>
        <w:widowControl w:val="0"/>
        <w:autoSpaceDE w:val="0"/>
        <w:autoSpaceDN w:val="0"/>
        <w:adjustRightInd w:val="0"/>
        <w:spacing w:before="280" w:after="280"/>
        <w:ind w:right="-6"/>
        <w:jc w:val="both"/>
        <w:rPr>
          <w:rFonts w:ascii="Cambria" w:hAnsi="Cambria" w:cs="Cambria"/>
          <w:lang w:val="en-GB"/>
        </w:rPr>
      </w:pPr>
      <w:r>
        <w:rPr>
          <w:rFonts w:ascii="Cambria" w:hAnsi="Cambria" w:cs="Cambria"/>
          <w:lang w:val="en-GB"/>
        </w:rPr>
        <w:t xml:space="preserve"> </w:t>
      </w:r>
    </w:p>
    <w:p w14:paraId="2CF49109" w14:textId="77777777" w:rsidR="00622BC0" w:rsidRDefault="00826C5A">
      <w:pPr>
        <w:widowControl w:val="0"/>
        <w:autoSpaceDE w:val="0"/>
        <w:autoSpaceDN w:val="0"/>
        <w:adjustRightInd w:val="0"/>
        <w:spacing w:after="200"/>
        <w:ind w:right="-6"/>
        <w:rPr>
          <w:rFonts w:ascii="Cambria" w:hAnsi="Cambria" w:cs="Cambria"/>
          <w:b/>
          <w:bCs/>
          <w:lang w:val="en-GB"/>
        </w:rPr>
      </w:pPr>
      <w:r>
        <w:rPr>
          <w:rFonts w:ascii="Cambria" w:hAnsi="Cambria" w:cs="Cambria"/>
          <w:b/>
          <w:bCs/>
          <w:lang w:val="en-GB"/>
        </w:rPr>
        <w:t>4.</w:t>
      </w:r>
      <w:r>
        <w:rPr>
          <w:rFonts w:ascii="Cambria" w:hAnsi="Cambria" w:cs="Cambria"/>
          <w:b/>
          <w:bCs/>
          <w:lang w:val="en-GB"/>
        </w:rPr>
        <w:tab/>
        <w:t xml:space="preserve"> SDG Goal 4 - Quality of Education</w:t>
      </w:r>
    </w:p>
    <w:p w14:paraId="3D6CDE16" w14:textId="77777777" w:rsidR="00622BC0" w:rsidRDefault="00826C5A">
      <w:pPr>
        <w:widowControl w:val="0"/>
        <w:autoSpaceDE w:val="0"/>
        <w:autoSpaceDN w:val="0"/>
        <w:adjustRightInd w:val="0"/>
        <w:spacing w:after="200"/>
        <w:ind w:right="-6"/>
        <w:rPr>
          <w:rFonts w:ascii="Cambria" w:hAnsi="Cambria" w:cs="Cambria"/>
          <w:b/>
          <w:bCs/>
          <w:lang w:val="en-GB"/>
        </w:rPr>
      </w:pPr>
      <w:r>
        <w:rPr>
          <w:rFonts w:ascii="Cambria" w:hAnsi="Cambria" w:cs="Cambria"/>
          <w:b/>
          <w:bCs/>
          <w:lang w:val="en-GB"/>
        </w:rPr>
        <w:t>Policy and Regulations</w:t>
      </w:r>
    </w:p>
    <w:p w14:paraId="1490C757"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VDS indicated that only 66.5% of primary school-aged children with disabilities attend school, compared to the national average of 96.8%, leaving around 700,000 children with disabilities behind. </w:t>
      </w:r>
    </w:p>
    <w:p w14:paraId="113C03D0"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MOET lists the main reasons for this as severe disabilities (36.20%), children without special learning needs (17.16%), children lacking confidence in learning (16.03%), the community refused to allow children with disabilities to be enrolled (9.56%), difficult family situations (5.34%), lack of familial awareness about enrolling children in school (4.93%) and "complex" children (3.29%).</w:t>
      </w:r>
    </w:p>
    <w:p w14:paraId="466B06AC"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VDS also indicated that school attendance rates for children with disabilities, particularly at higher levels of education, were also lower than that of children without disabilities. At the secondary level, below one-third of children with disabilities went to school at the right age, compared to the proportion of two-thirds among kids without disabilities. </w:t>
      </w:r>
    </w:p>
    <w:p w14:paraId="12EBD299"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Only 2% of primary and secondary schools in the country had been designed to accommodate the needs of children with disabilities, while only one-seventh of all-inclusive schools have a teacher trained in teaching students with disabilities. The following legal and policy documents have been issued for implementation: </w:t>
      </w:r>
    </w:p>
    <w:p w14:paraId="7BFAF073" w14:textId="77777777" w:rsidR="00622BC0" w:rsidRDefault="00826C5A">
      <w:pPr>
        <w:widowControl w:val="0"/>
        <w:autoSpaceDE w:val="0"/>
        <w:autoSpaceDN w:val="0"/>
        <w:adjustRightInd w:val="0"/>
        <w:spacing w:after="200"/>
        <w:ind w:right="-900"/>
        <w:jc w:val="center"/>
        <w:rPr>
          <w:rFonts w:ascii="Cambria" w:hAnsi="Cambria" w:cs="Cambria"/>
          <w:lang w:val="en-GB"/>
        </w:rPr>
      </w:pPr>
      <w:r>
        <w:rPr>
          <w:rFonts w:ascii="Cambria" w:hAnsi="Cambria" w:cs="Cambria"/>
          <w:lang w:val="en-GB"/>
        </w:rPr>
        <w:t>Table 11 Policy and Regulations on Education in Viet Nam</w:t>
      </w:r>
    </w:p>
    <w:tbl>
      <w:tblPr>
        <w:tblW w:w="9292"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3518"/>
        <w:gridCol w:w="5774"/>
      </w:tblGrid>
      <w:tr w:rsidR="00622BC0" w14:paraId="2890D93C" w14:textId="77777777">
        <w:tc>
          <w:tcPr>
            <w:tcW w:w="3518" w:type="dxa"/>
            <w:vMerge w:val="restart"/>
            <w:tcBorders>
              <w:top w:val="single" w:sz="8" w:space="0" w:color="BFBFBF"/>
              <w:left w:val="single" w:sz="8" w:space="0" w:color="BFBFBF"/>
              <w:right w:val="single" w:sz="8" w:space="0" w:color="BFBFBF"/>
            </w:tcBorders>
            <w:shd w:val="clear" w:color="auto" w:fill="auto"/>
            <w:tcMar>
              <w:left w:w="0" w:type="dxa"/>
              <w:right w:w="0" w:type="dxa"/>
            </w:tcMar>
            <w:vAlign w:val="center"/>
          </w:tcPr>
          <w:p w14:paraId="64E766CF" w14:textId="77777777" w:rsidR="00622BC0" w:rsidRDefault="00826C5A">
            <w:pPr>
              <w:widowControl w:val="0"/>
              <w:autoSpaceDE w:val="0"/>
              <w:autoSpaceDN w:val="0"/>
              <w:adjustRightInd w:val="0"/>
              <w:spacing w:after="120"/>
              <w:ind w:right="21"/>
              <w:jc w:val="center"/>
              <w:rPr>
                <w:rFonts w:ascii="Cambria" w:hAnsi="Cambria" w:cs="Cambria"/>
                <w:lang w:val="en-GB"/>
              </w:rPr>
            </w:pPr>
            <w:r>
              <w:rPr>
                <w:rFonts w:ascii="Cambria" w:hAnsi="Cambria" w:cs="Cambria"/>
                <w:lang w:val="en-GB"/>
              </w:rPr>
              <w:t>Laws</w:t>
            </w:r>
          </w:p>
        </w:tc>
        <w:tc>
          <w:tcPr>
            <w:tcW w:w="577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1C5FF6EE" w14:textId="77777777" w:rsidR="00622BC0" w:rsidRDefault="00826C5A">
            <w:pPr>
              <w:widowControl w:val="0"/>
              <w:autoSpaceDE w:val="0"/>
              <w:autoSpaceDN w:val="0"/>
              <w:adjustRightInd w:val="0"/>
              <w:spacing w:after="200"/>
              <w:ind w:right="21"/>
              <w:rPr>
                <w:rFonts w:ascii="Cambria" w:hAnsi="Cambria" w:cs="Cambria"/>
                <w:lang w:val="en-GB"/>
              </w:rPr>
            </w:pPr>
            <w:r>
              <w:rPr>
                <w:rFonts w:ascii="Cambria" w:hAnsi="Cambria" w:cs="Cambria"/>
                <w:lang w:val="en-GB"/>
              </w:rPr>
              <w:t>Law on Access to Information, 2016</w:t>
            </w:r>
          </w:p>
        </w:tc>
      </w:tr>
      <w:tr w:rsidR="00622BC0" w14:paraId="6432E691" w14:textId="77777777">
        <w:tblPrEx>
          <w:tblBorders>
            <w:top w:val="none" w:sz="0" w:space="0" w:color="auto"/>
          </w:tblBorders>
        </w:tblPrEx>
        <w:tc>
          <w:tcPr>
            <w:tcW w:w="3518" w:type="dxa"/>
            <w:vMerge/>
            <w:tcBorders>
              <w:left w:val="single" w:sz="8" w:space="0" w:color="BFBFBF"/>
              <w:right w:val="single" w:sz="8" w:space="0" w:color="BFBFBF"/>
            </w:tcBorders>
            <w:shd w:val="clear" w:color="auto" w:fill="auto"/>
            <w:tcMar>
              <w:left w:w="0" w:type="dxa"/>
              <w:right w:w="0" w:type="dxa"/>
            </w:tcMar>
            <w:vAlign w:val="center"/>
          </w:tcPr>
          <w:p w14:paraId="57EAA54B" w14:textId="77777777" w:rsidR="00622BC0" w:rsidRDefault="00622BC0">
            <w:pPr>
              <w:widowControl w:val="0"/>
              <w:autoSpaceDE w:val="0"/>
              <w:autoSpaceDN w:val="0"/>
              <w:adjustRightInd w:val="0"/>
              <w:rPr>
                <w:rFonts w:ascii="Cambria" w:hAnsi="Cambria" w:cs="Cambria"/>
                <w:lang w:val="en-GB"/>
              </w:rPr>
            </w:pPr>
          </w:p>
        </w:tc>
        <w:tc>
          <w:tcPr>
            <w:tcW w:w="577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5FD4078F" w14:textId="77777777" w:rsidR="00622BC0" w:rsidRDefault="00826C5A">
            <w:pPr>
              <w:widowControl w:val="0"/>
              <w:autoSpaceDE w:val="0"/>
              <w:autoSpaceDN w:val="0"/>
              <w:adjustRightInd w:val="0"/>
              <w:spacing w:after="200"/>
              <w:ind w:right="21"/>
              <w:rPr>
                <w:rFonts w:ascii="Cambria" w:hAnsi="Cambria" w:cs="Cambria"/>
                <w:lang w:val="en-GB"/>
              </w:rPr>
            </w:pPr>
            <w:r>
              <w:rPr>
                <w:rFonts w:ascii="Cambria" w:hAnsi="Cambria" w:cs="Cambria"/>
                <w:lang w:val="en-GB"/>
              </w:rPr>
              <w:t>Law on Physical Training and Sports, 2018</w:t>
            </w:r>
          </w:p>
        </w:tc>
      </w:tr>
      <w:tr w:rsidR="00622BC0" w14:paraId="1B09DF14" w14:textId="77777777">
        <w:tblPrEx>
          <w:tblBorders>
            <w:top w:val="none" w:sz="0" w:space="0" w:color="auto"/>
          </w:tblBorders>
        </w:tblPrEx>
        <w:tc>
          <w:tcPr>
            <w:tcW w:w="3518" w:type="dxa"/>
            <w:vMerge/>
            <w:tcBorders>
              <w:left w:val="single" w:sz="8" w:space="0" w:color="BFBFBF"/>
              <w:bottom w:val="single" w:sz="8" w:space="0" w:color="BFBFBF"/>
              <w:right w:val="single" w:sz="8" w:space="0" w:color="BFBFBF"/>
            </w:tcBorders>
            <w:shd w:val="clear" w:color="auto" w:fill="auto"/>
            <w:tcMar>
              <w:top w:w="0" w:type="dxa"/>
              <w:right w:w="0" w:type="dxa"/>
            </w:tcMar>
            <w:vAlign w:val="center"/>
          </w:tcPr>
          <w:p w14:paraId="0FC43EEA" w14:textId="77777777" w:rsidR="00622BC0" w:rsidRDefault="00622BC0">
            <w:pPr>
              <w:widowControl w:val="0"/>
              <w:autoSpaceDE w:val="0"/>
              <w:autoSpaceDN w:val="0"/>
              <w:adjustRightInd w:val="0"/>
              <w:spacing w:line="276" w:lineRule="auto"/>
              <w:ind w:right="-6"/>
              <w:rPr>
                <w:rFonts w:ascii="Cambria" w:hAnsi="Cambria" w:cs="Cambria"/>
                <w:lang w:val="en-GB"/>
              </w:rPr>
            </w:pPr>
          </w:p>
        </w:tc>
        <w:tc>
          <w:tcPr>
            <w:tcW w:w="577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76AE629C" w14:textId="77777777" w:rsidR="00622BC0" w:rsidRDefault="00826C5A">
            <w:pPr>
              <w:widowControl w:val="0"/>
              <w:autoSpaceDE w:val="0"/>
              <w:autoSpaceDN w:val="0"/>
              <w:adjustRightInd w:val="0"/>
              <w:spacing w:after="200"/>
              <w:ind w:right="21"/>
              <w:rPr>
                <w:rFonts w:ascii="Cambria" w:hAnsi="Cambria" w:cs="Cambria"/>
                <w:lang w:val="en-GB"/>
              </w:rPr>
            </w:pPr>
            <w:r>
              <w:rPr>
                <w:rFonts w:ascii="Cambria" w:hAnsi="Cambria" w:cs="Cambria"/>
                <w:lang w:val="en-GB"/>
              </w:rPr>
              <w:t>Law on Education, 2019</w:t>
            </w:r>
          </w:p>
        </w:tc>
      </w:tr>
      <w:tr w:rsidR="00622BC0" w14:paraId="2865E6C0" w14:textId="77777777">
        <w:tblPrEx>
          <w:tblBorders>
            <w:top w:val="none" w:sz="0" w:space="0" w:color="auto"/>
          </w:tblBorders>
        </w:tblPrEx>
        <w:tc>
          <w:tcPr>
            <w:tcW w:w="3518" w:type="dxa"/>
            <w:vMerge w:val="restart"/>
            <w:tcBorders>
              <w:top w:val="single" w:sz="8" w:space="0" w:color="BFBFBF"/>
              <w:left w:val="single" w:sz="8" w:space="0" w:color="BFBFBF"/>
              <w:right w:val="single" w:sz="8" w:space="0" w:color="BFBFBF"/>
            </w:tcBorders>
            <w:shd w:val="clear" w:color="auto" w:fill="auto"/>
            <w:tcMar>
              <w:left w:w="0" w:type="dxa"/>
              <w:right w:w="0" w:type="dxa"/>
            </w:tcMar>
            <w:vAlign w:val="center"/>
          </w:tcPr>
          <w:p w14:paraId="64BFC506" w14:textId="77777777" w:rsidR="00622BC0" w:rsidRDefault="00826C5A">
            <w:pPr>
              <w:widowControl w:val="0"/>
              <w:autoSpaceDE w:val="0"/>
              <w:autoSpaceDN w:val="0"/>
              <w:adjustRightInd w:val="0"/>
              <w:spacing w:after="120"/>
              <w:ind w:right="21"/>
              <w:jc w:val="center"/>
              <w:rPr>
                <w:rFonts w:ascii="Cambria" w:hAnsi="Cambria" w:cs="Cambria"/>
                <w:lang w:val="en-GB"/>
              </w:rPr>
            </w:pPr>
            <w:r>
              <w:rPr>
                <w:rFonts w:ascii="Cambria" w:hAnsi="Cambria" w:cs="Cambria"/>
                <w:lang w:val="en-GB"/>
              </w:rPr>
              <w:t>Regulations</w:t>
            </w:r>
          </w:p>
        </w:tc>
        <w:tc>
          <w:tcPr>
            <w:tcW w:w="577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2BF67150"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Decree No. 61/2006/ND-CP dated June 20</w:t>
            </w:r>
            <w:r>
              <w:rPr>
                <w:rFonts w:ascii="Cambria" w:hAnsi="Cambria" w:cs="Cambria"/>
                <w:vertAlign w:val="superscript"/>
                <w:lang w:val="en-GB"/>
              </w:rPr>
              <w:t>th</w:t>
            </w:r>
            <w:r>
              <w:rPr>
                <w:rFonts w:ascii="Cambria" w:hAnsi="Cambria" w:cs="Cambria"/>
                <w:lang w:val="en-GB"/>
              </w:rPr>
              <w:t>, 2016 of the government on policies for teachers and administrators working in special schools or schools in regions of challenging socio-economic conditions</w:t>
            </w:r>
          </w:p>
        </w:tc>
      </w:tr>
      <w:tr w:rsidR="00622BC0" w14:paraId="62F00ED1" w14:textId="77777777">
        <w:tblPrEx>
          <w:tblBorders>
            <w:top w:val="none" w:sz="0" w:space="0" w:color="auto"/>
          </w:tblBorders>
        </w:tblPrEx>
        <w:tc>
          <w:tcPr>
            <w:tcW w:w="3518" w:type="dxa"/>
            <w:vMerge/>
            <w:tcBorders>
              <w:left w:val="single" w:sz="8" w:space="0" w:color="BFBFBF"/>
              <w:right w:val="single" w:sz="8" w:space="0" w:color="BFBFBF"/>
            </w:tcBorders>
            <w:shd w:val="clear" w:color="auto" w:fill="auto"/>
            <w:tcMar>
              <w:left w:w="0" w:type="dxa"/>
              <w:right w:w="0" w:type="dxa"/>
            </w:tcMar>
            <w:vAlign w:val="center"/>
          </w:tcPr>
          <w:p w14:paraId="685221AC" w14:textId="77777777" w:rsidR="00622BC0" w:rsidRDefault="00622BC0">
            <w:pPr>
              <w:widowControl w:val="0"/>
              <w:autoSpaceDE w:val="0"/>
              <w:autoSpaceDN w:val="0"/>
              <w:adjustRightInd w:val="0"/>
              <w:rPr>
                <w:rFonts w:ascii="Cambria" w:hAnsi="Cambria" w:cs="Cambria"/>
                <w:lang w:val="en-GB"/>
              </w:rPr>
            </w:pPr>
          </w:p>
        </w:tc>
        <w:tc>
          <w:tcPr>
            <w:tcW w:w="577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31E2C017"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Decree No.86/2015/ND-CP dated October 2</w:t>
            </w:r>
            <w:r>
              <w:rPr>
                <w:rFonts w:ascii="Cambria" w:hAnsi="Cambria" w:cs="Cambria"/>
                <w:vertAlign w:val="superscript"/>
                <w:lang w:val="en-GB"/>
              </w:rPr>
              <w:t>nd</w:t>
            </w:r>
            <w:r>
              <w:rPr>
                <w:rFonts w:ascii="Cambria" w:hAnsi="Cambria" w:cs="Cambria"/>
                <w:lang w:val="en-GB"/>
              </w:rPr>
              <w:t>, 2015 regulating tuition fee collection and management by public educational facilities, tuition fee, and educational expense exemption and reduction from 2015-2016 to 2020-2021 academic years</w:t>
            </w:r>
          </w:p>
        </w:tc>
      </w:tr>
      <w:tr w:rsidR="00622BC0" w14:paraId="27097FAD" w14:textId="77777777">
        <w:tblPrEx>
          <w:tblBorders>
            <w:top w:val="none" w:sz="0" w:space="0" w:color="auto"/>
          </w:tblBorders>
        </w:tblPrEx>
        <w:tc>
          <w:tcPr>
            <w:tcW w:w="3518" w:type="dxa"/>
            <w:vMerge/>
            <w:tcBorders>
              <w:left w:val="single" w:sz="8" w:space="0" w:color="BFBFBF"/>
              <w:right w:val="single" w:sz="8" w:space="0" w:color="BFBFBF"/>
            </w:tcBorders>
            <w:shd w:val="clear" w:color="auto" w:fill="auto"/>
            <w:tcMar>
              <w:top w:w="0" w:type="dxa"/>
              <w:right w:w="0" w:type="dxa"/>
            </w:tcMar>
            <w:vAlign w:val="center"/>
          </w:tcPr>
          <w:p w14:paraId="2E754750" w14:textId="77777777" w:rsidR="00622BC0" w:rsidRDefault="00622BC0">
            <w:pPr>
              <w:widowControl w:val="0"/>
              <w:autoSpaceDE w:val="0"/>
              <w:autoSpaceDN w:val="0"/>
              <w:adjustRightInd w:val="0"/>
              <w:spacing w:line="276" w:lineRule="auto"/>
              <w:ind w:right="-6"/>
              <w:rPr>
                <w:rFonts w:ascii="Cambria" w:hAnsi="Cambria" w:cs="Cambria"/>
                <w:lang w:val="en-GB"/>
              </w:rPr>
            </w:pPr>
          </w:p>
        </w:tc>
        <w:tc>
          <w:tcPr>
            <w:tcW w:w="577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643D844E"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Prime Minister Decision No. 53/2015/QD–</w:t>
            </w:r>
            <w:proofErr w:type="spellStart"/>
            <w:r>
              <w:rPr>
                <w:rFonts w:ascii="Cambria" w:hAnsi="Cambria" w:cs="Cambria"/>
                <w:lang w:val="en-GB"/>
              </w:rPr>
              <w:t>TTg</w:t>
            </w:r>
            <w:proofErr w:type="spellEnd"/>
            <w:r>
              <w:rPr>
                <w:rFonts w:ascii="Cambria" w:hAnsi="Cambria" w:cs="Cambria"/>
                <w:lang w:val="en-GB"/>
              </w:rPr>
              <w:t xml:space="preserve"> dated October 20</w:t>
            </w:r>
            <w:r>
              <w:rPr>
                <w:rFonts w:ascii="Cambria" w:hAnsi="Cambria" w:cs="Cambria"/>
                <w:vertAlign w:val="superscript"/>
                <w:lang w:val="en-GB"/>
              </w:rPr>
              <w:t>th</w:t>
            </w:r>
            <w:r>
              <w:rPr>
                <w:rFonts w:ascii="Cambria" w:hAnsi="Cambria" w:cs="Cambria"/>
                <w:lang w:val="en-GB"/>
              </w:rPr>
              <w:t>, 2015 onboarding applied for college and post-secondary students</w:t>
            </w:r>
          </w:p>
        </w:tc>
      </w:tr>
      <w:tr w:rsidR="00622BC0" w14:paraId="60FD1E88" w14:textId="77777777">
        <w:tblPrEx>
          <w:tblBorders>
            <w:top w:val="none" w:sz="0" w:space="0" w:color="auto"/>
          </w:tblBorders>
        </w:tblPrEx>
        <w:tc>
          <w:tcPr>
            <w:tcW w:w="3518" w:type="dxa"/>
            <w:vMerge/>
            <w:tcBorders>
              <w:left w:val="single" w:sz="8" w:space="0" w:color="BFBFBF"/>
              <w:right w:val="single" w:sz="8" w:space="0" w:color="BFBFBF"/>
            </w:tcBorders>
            <w:shd w:val="clear" w:color="auto" w:fill="auto"/>
            <w:tcMar>
              <w:top w:w="0" w:type="dxa"/>
              <w:right w:w="0" w:type="dxa"/>
            </w:tcMar>
            <w:vAlign w:val="center"/>
          </w:tcPr>
          <w:p w14:paraId="3273D36F" w14:textId="77777777" w:rsidR="00622BC0" w:rsidRDefault="00622BC0">
            <w:pPr>
              <w:widowControl w:val="0"/>
              <w:autoSpaceDE w:val="0"/>
              <w:autoSpaceDN w:val="0"/>
              <w:adjustRightInd w:val="0"/>
              <w:spacing w:line="276" w:lineRule="auto"/>
              <w:ind w:right="-6"/>
              <w:rPr>
                <w:rFonts w:ascii="Cambria" w:hAnsi="Cambria" w:cs="Cambria"/>
                <w:lang w:val="en-GB"/>
              </w:rPr>
            </w:pPr>
          </w:p>
        </w:tc>
        <w:tc>
          <w:tcPr>
            <w:tcW w:w="577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20831D05"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Circular No.11/2014/TT-BGDDT dated April 18</w:t>
            </w:r>
            <w:r>
              <w:rPr>
                <w:rFonts w:ascii="Cambria" w:hAnsi="Cambria" w:cs="Cambria"/>
                <w:vertAlign w:val="superscript"/>
                <w:lang w:val="en-GB"/>
              </w:rPr>
              <w:t>th</w:t>
            </w:r>
            <w:r>
              <w:rPr>
                <w:rFonts w:ascii="Cambria" w:hAnsi="Cambria" w:cs="Cambria"/>
                <w:lang w:val="en-GB"/>
              </w:rPr>
              <w:t>, 2014 of MOET regulating upper-secondary and high school enrolment.</w:t>
            </w:r>
          </w:p>
        </w:tc>
      </w:tr>
      <w:tr w:rsidR="00622BC0" w14:paraId="3944EDBB" w14:textId="77777777">
        <w:tblPrEx>
          <w:tblBorders>
            <w:top w:val="none" w:sz="0" w:space="0" w:color="auto"/>
          </w:tblBorders>
        </w:tblPrEx>
        <w:tc>
          <w:tcPr>
            <w:tcW w:w="3518" w:type="dxa"/>
            <w:vMerge/>
            <w:tcBorders>
              <w:left w:val="single" w:sz="8" w:space="0" w:color="BFBFBF"/>
              <w:right w:val="single" w:sz="8" w:space="0" w:color="BFBFBF"/>
            </w:tcBorders>
            <w:shd w:val="clear" w:color="auto" w:fill="auto"/>
            <w:tcMar>
              <w:top w:w="0" w:type="dxa"/>
              <w:right w:w="0" w:type="dxa"/>
            </w:tcMar>
            <w:vAlign w:val="center"/>
          </w:tcPr>
          <w:p w14:paraId="69893FD0" w14:textId="77777777" w:rsidR="00622BC0" w:rsidRDefault="00622BC0">
            <w:pPr>
              <w:widowControl w:val="0"/>
              <w:autoSpaceDE w:val="0"/>
              <w:autoSpaceDN w:val="0"/>
              <w:adjustRightInd w:val="0"/>
              <w:spacing w:line="276" w:lineRule="auto"/>
              <w:ind w:right="-6"/>
              <w:rPr>
                <w:rFonts w:ascii="Cambria" w:hAnsi="Cambria" w:cs="Cambria"/>
                <w:lang w:val="en-GB"/>
              </w:rPr>
            </w:pPr>
          </w:p>
        </w:tc>
        <w:tc>
          <w:tcPr>
            <w:tcW w:w="577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51620ACB"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Circular No. 07/2016/TT-BGDDT dated March 22</w:t>
            </w:r>
            <w:r>
              <w:rPr>
                <w:rFonts w:ascii="Cambria" w:hAnsi="Cambria" w:cs="Cambria"/>
                <w:vertAlign w:val="superscript"/>
                <w:lang w:val="en-GB"/>
              </w:rPr>
              <w:t>nd</w:t>
            </w:r>
            <w:r>
              <w:rPr>
                <w:rFonts w:ascii="Cambria" w:hAnsi="Cambria" w:cs="Cambria"/>
                <w:lang w:val="en-GB"/>
              </w:rPr>
              <w:t>, 2016 regulating the conditions, content, procedures for recognition of universal education, illiteracy eradication</w:t>
            </w:r>
          </w:p>
        </w:tc>
      </w:tr>
      <w:tr w:rsidR="00622BC0" w14:paraId="4086A228" w14:textId="77777777">
        <w:tblPrEx>
          <w:tblBorders>
            <w:top w:val="none" w:sz="0" w:space="0" w:color="auto"/>
          </w:tblBorders>
        </w:tblPrEx>
        <w:tc>
          <w:tcPr>
            <w:tcW w:w="3518" w:type="dxa"/>
            <w:vMerge/>
            <w:tcBorders>
              <w:left w:val="single" w:sz="8" w:space="0" w:color="BFBFBF"/>
              <w:right w:val="single" w:sz="8" w:space="0" w:color="BFBFBF"/>
            </w:tcBorders>
            <w:shd w:val="clear" w:color="auto" w:fill="auto"/>
            <w:tcMar>
              <w:top w:w="0" w:type="dxa"/>
              <w:right w:w="0" w:type="dxa"/>
            </w:tcMar>
            <w:vAlign w:val="center"/>
          </w:tcPr>
          <w:p w14:paraId="2460EC90" w14:textId="77777777" w:rsidR="00622BC0" w:rsidRDefault="00622BC0">
            <w:pPr>
              <w:widowControl w:val="0"/>
              <w:autoSpaceDE w:val="0"/>
              <w:autoSpaceDN w:val="0"/>
              <w:adjustRightInd w:val="0"/>
              <w:spacing w:line="276" w:lineRule="auto"/>
              <w:ind w:right="-6"/>
              <w:rPr>
                <w:rFonts w:ascii="Cambria" w:hAnsi="Cambria" w:cs="Cambria"/>
                <w:lang w:val="en-GB"/>
              </w:rPr>
            </w:pPr>
          </w:p>
        </w:tc>
        <w:tc>
          <w:tcPr>
            <w:tcW w:w="577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35600AAF"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Inter-Circular No.09/2016/TTLT-BGDDT-BTC-BLDTBXH dated March 30</w:t>
            </w:r>
            <w:r>
              <w:rPr>
                <w:rFonts w:ascii="Cambria" w:hAnsi="Cambria" w:cs="Cambria"/>
                <w:vertAlign w:val="superscript"/>
                <w:lang w:val="en-GB"/>
              </w:rPr>
              <w:t>th</w:t>
            </w:r>
            <w:r>
              <w:rPr>
                <w:rFonts w:ascii="Cambria" w:hAnsi="Cambria" w:cs="Cambria"/>
                <w:lang w:val="en-GB"/>
              </w:rPr>
              <w:t>, 2016 of MOET and MOLISA guiding some articles of Decree 86/2015/ND-CP dated October 2</w:t>
            </w:r>
            <w:r>
              <w:rPr>
                <w:rFonts w:ascii="Cambria" w:hAnsi="Cambria" w:cs="Cambria"/>
                <w:vertAlign w:val="superscript"/>
                <w:lang w:val="en-GB"/>
              </w:rPr>
              <w:t>nd</w:t>
            </w:r>
            <w:r>
              <w:rPr>
                <w:rFonts w:ascii="Cambria" w:hAnsi="Cambria" w:cs="Cambria"/>
                <w:lang w:val="en-GB"/>
              </w:rPr>
              <w:t>, 2015 regulating tuition fee collection and management by public educational facilities, tuition fee, and educational expense exemption and reduction from 2015-2016 to 2020-2021 academic years</w:t>
            </w:r>
          </w:p>
        </w:tc>
      </w:tr>
      <w:tr w:rsidR="00622BC0" w14:paraId="054B1290" w14:textId="77777777">
        <w:tblPrEx>
          <w:tblBorders>
            <w:top w:val="none" w:sz="0" w:space="0" w:color="auto"/>
          </w:tblBorders>
        </w:tblPrEx>
        <w:tc>
          <w:tcPr>
            <w:tcW w:w="3518" w:type="dxa"/>
            <w:vMerge/>
            <w:tcBorders>
              <w:left w:val="single" w:sz="8" w:space="0" w:color="BFBFBF"/>
              <w:right w:val="single" w:sz="8" w:space="0" w:color="BFBFBF"/>
            </w:tcBorders>
            <w:shd w:val="clear" w:color="auto" w:fill="auto"/>
            <w:tcMar>
              <w:top w:w="0" w:type="dxa"/>
              <w:right w:w="0" w:type="dxa"/>
            </w:tcMar>
            <w:vAlign w:val="center"/>
          </w:tcPr>
          <w:p w14:paraId="0807B66C" w14:textId="77777777" w:rsidR="00622BC0" w:rsidRDefault="00622BC0">
            <w:pPr>
              <w:widowControl w:val="0"/>
              <w:autoSpaceDE w:val="0"/>
              <w:autoSpaceDN w:val="0"/>
              <w:adjustRightInd w:val="0"/>
              <w:spacing w:line="276" w:lineRule="auto"/>
              <w:ind w:right="-6"/>
              <w:rPr>
                <w:rFonts w:ascii="Cambria" w:hAnsi="Cambria" w:cs="Cambria"/>
                <w:lang w:val="en-GB"/>
              </w:rPr>
            </w:pPr>
          </w:p>
        </w:tc>
        <w:tc>
          <w:tcPr>
            <w:tcW w:w="577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2AEDF134"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Inter-Circular No. 19/2016/TTLT-BGDDT-BNV dated June 22</w:t>
            </w:r>
            <w:r>
              <w:rPr>
                <w:rFonts w:ascii="Cambria" w:hAnsi="Cambria" w:cs="Cambria"/>
                <w:vertAlign w:val="superscript"/>
                <w:lang w:val="en-GB"/>
              </w:rPr>
              <w:t>nd</w:t>
            </w:r>
            <w:r>
              <w:rPr>
                <w:rFonts w:ascii="Cambria" w:hAnsi="Cambria" w:cs="Cambria"/>
                <w:lang w:val="en-GB"/>
              </w:rPr>
              <w:t>, 2016 regulating job titles of educational staffs supporting children with disabilities in public educational facilities</w:t>
            </w:r>
          </w:p>
        </w:tc>
      </w:tr>
      <w:tr w:rsidR="00622BC0" w14:paraId="149DF7E8" w14:textId="77777777">
        <w:tblPrEx>
          <w:tblBorders>
            <w:top w:val="none" w:sz="0" w:space="0" w:color="auto"/>
          </w:tblBorders>
        </w:tblPrEx>
        <w:tc>
          <w:tcPr>
            <w:tcW w:w="3518" w:type="dxa"/>
            <w:vMerge/>
            <w:tcBorders>
              <w:left w:val="single" w:sz="8" w:space="0" w:color="BFBFBF"/>
              <w:right w:val="single" w:sz="8" w:space="0" w:color="BFBFBF"/>
            </w:tcBorders>
            <w:shd w:val="clear" w:color="auto" w:fill="auto"/>
            <w:tcMar>
              <w:top w:w="0" w:type="dxa"/>
              <w:right w:w="0" w:type="dxa"/>
            </w:tcMar>
            <w:vAlign w:val="center"/>
          </w:tcPr>
          <w:p w14:paraId="2C13DA68" w14:textId="77777777" w:rsidR="00622BC0" w:rsidRDefault="00622BC0">
            <w:pPr>
              <w:widowControl w:val="0"/>
              <w:autoSpaceDE w:val="0"/>
              <w:autoSpaceDN w:val="0"/>
              <w:adjustRightInd w:val="0"/>
              <w:spacing w:line="276" w:lineRule="auto"/>
              <w:ind w:right="-6"/>
              <w:rPr>
                <w:rFonts w:ascii="Cambria" w:hAnsi="Cambria" w:cs="Cambria"/>
                <w:lang w:val="en-GB"/>
              </w:rPr>
            </w:pPr>
          </w:p>
        </w:tc>
        <w:tc>
          <w:tcPr>
            <w:tcW w:w="577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10AE952F"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Inter-Circular No.58/2012/TTLT-BGDDT-BLDTBXH dated December 28</w:t>
            </w:r>
            <w:r>
              <w:rPr>
                <w:rFonts w:ascii="Cambria" w:hAnsi="Cambria" w:cs="Cambria"/>
                <w:vertAlign w:val="superscript"/>
                <w:lang w:val="en-GB"/>
              </w:rPr>
              <w:t>th</w:t>
            </w:r>
            <w:r>
              <w:rPr>
                <w:rFonts w:ascii="Cambria" w:hAnsi="Cambria" w:cs="Cambria"/>
                <w:lang w:val="en-GB"/>
              </w:rPr>
              <w:t>, 2012 of MOET, MOLISA guiding the requirements and procedures for establishment, operation, suspension of operation, reorganisation and dissolution of Inclusive Education Development Support Centres</w:t>
            </w:r>
          </w:p>
        </w:tc>
      </w:tr>
      <w:tr w:rsidR="00622BC0" w14:paraId="21019341" w14:textId="77777777">
        <w:tblPrEx>
          <w:tblBorders>
            <w:top w:val="none" w:sz="0" w:space="0" w:color="auto"/>
            <w:bottom w:val="single" w:sz="4" w:space="0" w:color="auto"/>
          </w:tblBorders>
        </w:tblPrEx>
        <w:tc>
          <w:tcPr>
            <w:tcW w:w="3518" w:type="dxa"/>
            <w:vMerge/>
            <w:tcBorders>
              <w:left w:val="single" w:sz="8" w:space="0" w:color="BFBFBF"/>
              <w:bottom w:val="single" w:sz="8" w:space="0" w:color="BFBFBF"/>
              <w:right w:val="single" w:sz="8" w:space="0" w:color="BFBFBF"/>
            </w:tcBorders>
            <w:shd w:val="clear" w:color="auto" w:fill="auto"/>
            <w:tcMar>
              <w:top w:w="0" w:type="dxa"/>
              <w:right w:w="0" w:type="dxa"/>
            </w:tcMar>
            <w:vAlign w:val="center"/>
          </w:tcPr>
          <w:p w14:paraId="0B3C2BDE" w14:textId="77777777" w:rsidR="00622BC0" w:rsidRDefault="00622BC0">
            <w:pPr>
              <w:widowControl w:val="0"/>
              <w:autoSpaceDE w:val="0"/>
              <w:autoSpaceDN w:val="0"/>
              <w:adjustRightInd w:val="0"/>
              <w:spacing w:line="276" w:lineRule="auto"/>
              <w:ind w:right="-6"/>
              <w:rPr>
                <w:rFonts w:ascii="Cambria" w:hAnsi="Cambria" w:cs="Cambria"/>
                <w:lang w:val="en-GB"/>
              </w:rPr>
            </w:pPr>
          </w:p>
        </w:tc>
        <w:tc>
          <w:tcPr>
            <w:tcW w:w="5774"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1E6B9A0C"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Inter-Circular No.42/2013/TTLT–BGDDT-BLDTBXH dated December 31</w:t>
            </w:r>
            <w:r>
              <w:rPr>
                <w:rFonts w:ascii="Cambria" w:hAnsi="Cambria" w:cs="Cambria"/>
                <w:vertAlign w:val="superscript"/>
                <w:lang w:val="en-GB"/>
              </w:rPr>
              <w:t>st</w:t>
            </w:r>
            <w:r>
              <w:rPr>
                <w:rFonts w:ascii="Cambria" w:hAnsi="Cambria" w:cs="Cambria"/>
                <w:lang w:val="en-GB"/>
              </w:rPr>
              <w:t>, 2013 guiding educational policies for persons with disabilities</w:t>
            </w:r>
          </w:p>
        </w:tc>
      </w:tr>
    </w:tbl>
    <w:p w14:paraId="547AF6BC" w14:textId="77777777" w:rsidR="00622BC0" w:rsidRDefault="00622BC0">
      <w:pPr>
        <w:widowControl w:val="0"/>
        <w:autoSpaceDE w:val="0"/>
        <w:autoSpaceDN w:val="0"/>
        <w:adjustRightInd w:val="0"/>
        <w:spacing w:after="120"/>
        <w:ind w:right="21" w:hanging="1134"/>
        <w:jc w:val="both"/>
        <w:rPr>
          <w:rFonts w:ascii="Cambria" w:hAnsi="Cambria" w:cs="Cambria"/>
          <w:lang w:val="en-GB"/>
        </w:rPr>
      </w:pPr>
    </w:p>
    <w:p w14:paraId="0C586723"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Implementation and Programmes</w:t>
      </w:r>
    </w:p>
    <w:p w14:paraId="36795F37"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During 2015 to 2016, 1,043 children with disabilities enrolled in nursery schools, 7,333 children with disabilities enrolled in kindergarten, 60,659 pupils with disabilities accepted in the primary schools, 16,679 pupils with disabilities attended lower-secondary education schools, and many others also enrolled in higher education universities, as described in the Figure 7 below (Vietnam CRPD State Report, 2019).</w:t>
      </w:r>
    </w:p>
    <w:p w14:paraId="69468EFB" w14:textId="77777777" w:rsidR="00622BC0" w:rsidRDefault="00622BC0">
      <w:pPr>
        <w:widowControl w:val="0"/>
        <w:autoSpaceDE w:val="0"/>
        <w:autoSpaceDN w:val="0"/>
        <w:adjustRightInd w:val="0"/>
        <w:spacing w:after="200"/>
        <w:ind w:right="-6"/>
        <w:jc w:val="both"/>
        <w:rPr>
          <w:rFonts w:ascii="Cambria" w:hAnsi="Cambria" w:cs="Cambria"/>
          <w:lang w:val="en-GB"/>
        </w:rPr>
      </w:pPr>
    </w:p>
    <w:p w14:paraId="52E81065"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Figure 7 Enrolment of Children with Disabilities in Viet Nam</w:t>
      </w:r>
    </w:p>
    <w:p w14:paraId="2BC9CB09" w14:textId="77777777" w:rsidR="00622BC0" w:rsidRDefault="00826C5A">
      <w:pPr>
        <w:widowControl w:val="0"/>
        <w:autoSpaceDE w:val="0"/>
        <w:autoSpaceDN w:val="0"/>
        <w:adjustRightInd w:val="0"/>
        <w:spacing w:after="200"/>
        <w:ind w:right="-6"/>
        <w:jc w:val="center"/>
        <w:rPr>
          <w:rFonts w:ascii="Cambria" w:hAnsi="Cambria" w:cs="Cambria"/>
          <w:b/>
          <w:bCs/>
          <w:lang w:val="en-GB"/>
        </w:rPr>
      </w:pPr>
      <w:r>
        <w:rPr>
          <w:noProof/>
          <w:lang w:val="en-GB"/>
        </w:rPr>
        <w:drawing>
          <wp:inline distT="0" distB="0" distL="114300" distR="114300" wp14:anchorId="678758BC" wp14:editId="4E641C7B">
            <wp:extent cx="4526280" cy="2087880"/>
            <wp:effectExtent l="4445" t="4445" r="10795" b="10795"/>
            <wp:docPr id="4" name="Char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73E45D7" w14:textId="77777777" w:rsidR="00622BC0" w:rsidRDefault="00622BC0">
      <w:pPr>
        <w:widowControl w:val="0"/>
        <w:autoSpaceDE w:val="0"/>
        <w:autoSpaceDN w:val="0"/>
        <w:adjustRightInd w:val="0"/>
        <w:spacing w:after="200"/>
        <w:ind w:right="-6"/>
        <w:jc w:val="both"/>
        <w:rPr>
          <w:rFonts w:ascii="Cambria" w:hAnsi="Cambria" w:cs="Cambria"/>
          <w:lang w:val="en-GB"/>
        </w:rPr>
      </w:pPr>
    </w:p>
    <w:p w14:paraId="0B0A3648"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Viet Nam has undertaken several achievements to implement the laws and regulations of education stated above for persons with disabilities as follows:</w:t>
      </w:r>
    </w:p>
    <w:p w14:paraId="21D10E39" w14:textId="77777777" w:rsidR="00622BC0" w:rsidRDefault="00826C5A">
      <w:pPr>
        <w:widowControl w:val="0"/>
        <w:autoSpaceDE w:val="0"/>
        <w:autoSpaceDN w:val="0"/>
        <w:adjustRightInd w:val="0"/>
        <w:spacing w:after="200"/>
        <w:ind w:left="480" w:right="-6" w:hangingChars="200" w:hanging="480"/>
        <w:jc w:val="both"/>
        <w:rPr>
          <w:rFonts w:ascii="Cambria" w:hAnsi="Cambria" w:cs="Cambria"/>
          <w:lang w:val="en-GB"/>
        </w:rPr>
      </w:pPr>
      <w:r>
        <w:rPr>
          <w:rFonts w:ascii="Cambria" w:hAnsi="Cambria" w:cs="Cambria"/>
          <w:lang w:val="en-GB"/>
        </w:rPr>
        <w:t>1.</w:t>
      </w:r>
      <w:r>
        <w:rPr>
          <w:rFonts w:ascii="Cambria" w:hAnsi="Cambria" w:cs="Cambria"/>
          <w:lang w:val="en-GB"/>
        </w:rPr>
        <w:tab/>
        <w:t xml:space="preserve">The established system of inclusive education development support centres in 20 provinces and cities and 107 specialised educational facilities and 11 education centres for children with disabilities; </w:t>
      </w:r>
    </w:p>
    <w:p w14:paraId="6C1B5EAC" w14:textId="77777777" w:rsidR="00622BC0" w:rsidRDefault="00826C5A">
      <w:pPr>
        <w:widowControl w:val="0"/>
        <w:autoSpaceDE w:val="0"/>
        <w:autoSpaceDN w:val="0"/>
        <w:adjustRightInd w:val="0"/>
        <w:spacing w:after="200"/>
        <w:ind w:left="480" w:right="-6" w:hangingChars="200" w:hanging="480"/>
        <w:jc w:val="both"/>
        <w:rPr>
          <w:rFonts w:ascii="Cambria" w:hAnsi="Cambria" w:cs="Cambria"/>
          <w:lang w:val="en-GB"/>
        </w:rPr>
      </w:pPr>
      <w:r>
        <w:rPr>
          <w:rFonts w:ascii="Cambria" w:hAnsi="Cambria" w:cs="Cambria"/>
          <w:lang w:val="en-GB"/>
        </w:rPr>
        <w:t>2.</w:t>
      </w:r>
      <w:r>
        <w:rPr>
          <w:rFonts w:ascii="Cambria" w:hAnsi="Cambria" w:cs="Cambria"/>
          <w:lang w:val="en-GB"/>
        </w:rPr>
        <w:tab/>
        <w:t>Enrolled tenfold children with disabilities in education during the past two decades;</w:t>
      </w:r>
    </w:p>
    <w:p w14:paraId="710BCEA3" w14:textId="77777777" w:rsidR="00622BC0" w:rsidRDefault="00826C5A">
      <w:pPr>
        <w:widowControl w:val="0"/>
        <w:autoSpaceDE w:val="0"/>
        <w:autoSpaceDN w:val="0"/>
        <w:adjustRightInd w:val="0"/>
        <w:spacing w:after="200"/>
        <w:ind w:left="480" w:right="-6" w:hangingChars="200" w:hanging="480"/>
        <w:jc w:val="both"/>
        <w:rPr>
          <w:rFonts w:ascii="Cambria" w:hAnsi="Cambria" w:cs="Cambria"/>
          <w:lang w:val="en-GB"/>
        </w:rPr>
      </w:pPr>
      <w:r>
        <w:rPr>
          <w:rFonts w:ascii="Cambria" w:hAnsi="Cambria" w:cs="Cambria"/>
          <w:lang w:val="en-GB"/>
        </w:rPr>
        <w:t>3.</w:t>
      </w:r>
      <w:r>
        <w:rPr>
          <w:rFonts w:ascii="Cambria" w:hAnsi="Cambria" w:cs="Cambria"/>
          <w:lang w:val="en-GB"/>
        </w:rPr>
        <w:tab/>
        <w:t>Provide sign language at specialised schools and encourage the establishment of sign language and braille training clubs at the pedagogy universities;</w:t>
      </w:r>
    </w:p>
    <w:p w14:paraId="6D03419E" w14:textId="77777777" w:rsidR="00622BC0" w:rsidRDefault="00826C5A">
      <w:pPr>
        <w:widowControl w:val="0"/>
        <w:autoSpaceDE w:val="0"/>
        <w:autoSpaceDN w:val="0"/>
        <w:adjustRightInd w:val="0"/>
        <w:spacing w:after="200"/>
        <w:ind w:left="480" w:right="-6" w:hangingChars="200" w:hanging="480"/>
        <w:jc w:val="both"/>
        <w:rPr>
          <w:rFonts w:ascii="Cambria" w:hAnsi="Cambria" w:cs="Cambria"/>
          <w:lang w:val="en-GB"/>
        </w:rPr>
      </w:pPr>
      <w:r>
        <w:rPr>
          <w:rFonts w:ascii="Cambria" w:hAnsi="Cambria" w:cs="Cambria"/>
          <w:lang w:val="en-GB"/>
        </w:rPr>
        <w:t>4.</w:t>
      </w:r>
      <w:r>
        <w:rPr>
          <w:rFonts w:ascii="Cambria" w:hAnsi="Cambria" w:cs="Cambria"/>
          <w:lang w:val="en-GB"/>
        </w:rPr>
        <w:tab/>
        <w:t>Large universities such as the Hanoi Pedagogy University, the Ho Chi Minh City Pedagogy University, the National Pedagogy College, and the National Pedagogy College Ho Chi Minh City have provided formal training on special education;</w:t>
      </w:r>
    </w:p>
    <w:p w14:paraId="30F934B9" w14:textId="77777777" w:rsidR="00622BC0" w:rsidRDefault="00826C5A">
      <w:pPr>
        <w:widowControl w:val="0"/>
        <w:autoSpaceDE w:val="0"/>
        <w:autoSpaceDN w:val="0"/>
        <w:adjustRightInd w:val="0"/>
        <w:spacing w:after="200"/>
        <w:ind w:left="480" w:right="-6" w:hangingChars="200" w:hanging="480"/>
        <w:jc w:val="both"/>
        <w:rPr>
          <w:rFonts w:ascii="Cambria" w:hAnsi="Cambria" w:cs="Cambria"/>
          <w:lang w:val="en-GB"/>
        </w:rPr>
      </w:pPr>
      <w:r>
        <w:rPr>
          <w:rFonts w:ascii="Cambria" w:hAnsi="Cambria" w:cs="Cambria"/>
          <w:lang w:val="en-GB"/>
        </w:rPr>
        <w:t>5.</w:t>
      </w:r>
      <w:r>
        <w:rPr>
          <w:rFonts w:ascii="Cambria" w:hAnsi="Cambria" w:cs="Cambria"/>
          <w:lang w:val="en-GB"/>
        </w:rPr>
        <w:tab/>
        <w:t>Each year 800 special education bachelors graduated from pedagogy universities and colleges;</w:t>
      </w:r>
    </w:p>
    <w:p w14:paraId="63686D74" w14:textId="77777777" w:rsidR="00622BC0" w:rsidRDefault="00826C5A">
      <w:pPr>
        <w:widowControl w:val="0"/>
        <w:autoSpaceDE w:val="0"/>
        <w:autoSpaceDN w:val="0"/>
        <w:adjustRightInd w:val="0"/>
        <w:spacing w:after="200"/>
        <w:ind w:left="480" w:right="-6" w:hangingChars="200" w:hanging="480"/>
        <w:jc w:val="both"/>
        <w:rPr>
          <w:rFonts w:ascii="Cambria" w:hAnsi="Cambria" w:cs="Cambria"/>
          <w:lang w:val="en-GB"/>
        </w:rPr>
      </w:pPr>
      <w:r>
        <w:rPr>
          <w:rFonts w:ascii="Cambria" w:hAnsi="Cambria" w:cs="Cambria"/>
          <w:lang w:val="en-GB"/>
        </w:rPr>
        <w:t>6.</w:t>
      </w:r>
      <w:r>
        <w:rPr>
          <w:rFonts w:ascii="Cambria" w:hAnsi="Cambria" w:cs="Cambria"/>
          <w:lang w:val="en-GB"/>
        </w:rPr>
        <w:tab/>
        <w:t>There are approximately 10,000 pre-schools, primary and lower secondary school teachers who obtained short term training on special education.</w:t>
      </w:r>
    </w:p>
    <w:p w14:paraId="383BE996"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Overall, citizens in Viet Nam belong to the rights of education, including children and persons with disabilities, as enshrined in the Constitution and The Education Law 2005. Besides, the LPD ensures the families and guardians of persons and children with disabilities choose a suitable approach education system that encourages their learning abilities. In light of that, the Viet Nam government provides inclusive and specialised education to accommodate children with disabilities, although inclusive education remains to be chosen as the most common approach. Children and persons with disabilities enrolled in public and special schools within general education establishments shall follow the specialised education curriculum for each type of disability as regulated by the Ministry and Training. </w:t>
      </w:r>
    </w:p>
    <w:p w14:paraId="6D7CEF4A"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To support the education system, Viet Nam established inclusive education development support centres in 20 provinces and cities; 107 special educational facilities; 12 education centres for children with disabilities. The enrolled children with disabilities have shown progress in the 2015-2016 academic year with 1,043 children attended to nursery schools, 7,333 children attended to kindergartens, 60,659 children went to primary education school, 16,679 children had lower-secondary education, 2,658 students with disabilities studied in higher-secondary schools and many of students with disabilities attended colleges and universities. </w:t>
      </w:r>
    </w:p>
    <w:p w14:paraId="6CF4D4E1" w14:textId="593AFD7B"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Participation of Civil Society and OPD</w:t>
      </w:r>
      <w:r w:rsidR="0067025E">
        <w:rPr>
          <w:rFonts w:ascii="Cambria" w:hAnsi="Cambria" w:cs="Cambria"/>
          <w:b/>
          <w:bCs/>
          <w:lang w:val="en-GB"/>
        </w:rPr>
        <w:t>s</w:t>
      </w:r>
    </w:p>
    <w:p w14:paraId="0797A444" w14:textId="798F901D" w:rsidR="00622BC0" w:rsidRDefault="00826C5A">
      <w:pPr>
        <w:widowControl w:val="0"/>
        <w:autoSpaceDE w:val="0"/>
        <w:autoSpaceDN w:val="0"/>
        <w:adjustRightInd w:val="0"/>
        <w:spacing w:before="280" w:after="200"/>
        <w:ind w:right="-6"/>
        <w:jc w:val="both"/>
        <w:rPr>
          <w:rFonts w:ascii="Cambria" w:hAnsi="Cambria" w:cs="Cambria"/>
          <w:lang w:val="en-GB"/>
        </w:rPr>
      </w:pPr>
      <w:r>
        <w:rPr>
          <w:rFonts w:ascii="Cambria" w:hAnsi="Cambria" w:cs="Cambria"/>
          <w:lang w:val="en-GB"/>
        </w:rPr>
        <w:t>The participation of OPD</w:t>
      </w:r>
      <w:r w:rsidR="0067025E">
        <w:rPr>
          <w:rFonts w:ascii="Cambria" w:hAnsi="Cambria" w:cs="Cambria"/>
          <w:lang w:val="en-GB"/>
        </w:rPr>
        <w:t>s</w:t>
      </w:r>
      <w:r>
        <w:rPr>
          <w:rFonts w:ascii="Cambria" w:hAnsi="Cambria" w:cs="Cambria"/>
          <w:lang w:val="en-GB"/>
        </w:rPr>
        <w:t xml:space="preserve"> in the field of education remains rare compared to other sectors such as gender, health, legal cases, accessibility, and employment. The social organisation, including OPD</w:t>
      </w:r>
      <w:r w:rsidR="0067025E">
        <w:rPr>
          <w:rFonts w:ascii="Cambria" w:hAnsi="Cambria" w:cs="Cambria"/>
          <w:lang w:val="en-GB"/>
        </w:rPr>
        <w:t>s</w:t>
      </w:r>
      <w:r>
        <w:rPr>
          <w:rFonts w:ascii="Cambria" w:hAnsi="Cambria" w:cs="Cambria"/>
          <w:lang w:val="en-GB"/>
        </w:rPr>
        <w:t xml:space="preserve">, might encounter a barrier to collect data from the government in this sector, even more, when the programme activities are funded by international funding or donors due to some limitations given by the government. </w:t>
      </w:r>
    </w:p>
    <w:p w14:paraId="5F85872A" w14:textId="77777777" w:rsidR="00622BC0" w:rsidRDefault="00826C5A">
      <w:pPr>
        <w:widowControl w:val="0"/>
        <w:autoSpaceDE w:val="0"/>
        <w:autoSpaceDN w:val="0"/>
        <w:adjustRightInd w:val="0"/>
        <w:spacing w:before="280" w:after="200"/>
        <w:ind w:right="-6"/>
        <w:jc w:val="both"/>
        <w:rPr>
          <w:rFonts w:ascii="Cambria" w:hAnsi="Cambria" w:cs="Cambria"/>
          <w:lang w:val="en-GB"/>
        </w:rPr>
      </w:pPr>
      <w:r>
        <w:rPr>
          <w:rFonts w:ascii="Cambria" w:hAnsi="Cambria" w:cs="Cambria"/>
          <w:lang w:val="en-GB"/>
        </w:rPr>
        <w:t xml:space="preserve">In fact, a vast majority of persons with disabilities or 75% live in rural areas and attend school at rates far below those of persons without disabilities. Literacy rates are much lower for adult persons with disabilities (76.3%) than those without disabilities (95.2%). One of the barriers to social, political, and economic participation in the absence of children with disabilities in mainstream education systems. Inclusive education is essential for imparting marketable skills for enabling active citizenship and for instilling an ethic of respect for difference in all children. </w:t>
      </w:r>
    </w:p>
    <w:p w14:paraId="209F3485" w14:textId="77777777" w:rsidR="00622BC0" w:rsidRDefault="00826C5A">
      <w:pPr>
        <w:widowControl w:val="0"/>
        <w:autoSpaceDE w:val="0"/>
        <w:autoSpaceDN w:val="0"/>
        <w:adjustRightInd w:val="0"/>
        <w:spacing w:before="280" w:after="200"/>
        <w:ind w:right="-6"/>
        <w:jc w:val="both"/>
        <w:rPr>
          <w:rFonts w:ascii="Cambria" w:hAnsi="Cambria" w:cs="Cambria"/>
          <w:lang w:val="en-GB"/>
        </w:rPr>
      </w:pPr>
      <w:r>
        <w:rPr>
          <w:rFonts w:ascii="Cambria" w:hAnsi="Cambria" w:cs="Cambria"/>
          <w:lang w:val="en-GB"/>
        </w:rPr>
        <w:t>Children from other disadvantaged groups, especially the poorest households and those with disabilities, still lag in their educational attainment. Education for children and young people living with disabilities is also a challenge, and more than half of children with disabilities do not have access to education. Some of the reasons for these inequities include poverty, remoteness and distance (such as schools located too far away), poor infrastructure (such as broke road conditions leading to concerns about children's safety, poor classroom buildings, water and sanitation facilities) and harmful practices (such as discouraging girls from continuing their education).</w:t>
      </w:r>
    </w:p>
    <w:p w14:paraId="16AE9920"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VDS also indicated that school attendance rates for children with disabilities, particularly at higher levels of education, were also lower than that of children without </w:t>
      </w:r>
      <w:r w:rsidRPr="00826C5A">
        <w:rPr>
          <w:rFonts w:ascii="Cambria" w:hAnsi="Cambria" w:cs="Cambria"/>
          <w:lang w:val="en-GB"/>
        </w:rPr>
        <w:t>disabilities. At the secondary level, below one-third of children with disabilities went to school at the right age, compared to the proportion of two-thirds among kids without disabilities. Only 2% of primary and secondary schools in the country had been designed to accommodate the needs of children with disabilities, while only one-seventh of all-inclusive schools have a teacher trained in teaching disabled students.</w:t>
      </w:r>
    </w:p>
    <w:p w14:paraId="43352D0D" w14:textId="77777777" w:rsidR="00622BC0" w:rsidRDefault="00622BC0">
      <w:pPr>
        <w:widowControl w:val="0"/>
        <w:autoSpaceDE w:val="0"/>
        <w:autoSpaceDN w:val="0"/>
        <w:adjustRightInd w:val="0"/>
        <w:spacing w:after="200"/>
        <w:ind w:right="-6"/>
        <w:jc w:val="both"/>
        <w:rPr>
          <w:rFonts w:ascii="Cambria" w:hAnsi="Cambria" w:cs="Cambria"/>
          <w:lang w:val="en-GB"/>
        </w:rPr>
      </w:pPr>
    </w:p>
    <w:p w14:paraId="6A0E300D" w14:textId="77777777" w:rsidR="00622BC0" w:rsidRDefault="00826C5A">
      <w:pPr>
        <w:widowControl w:val="0"/>
        <w:tabs>
          <w:tab w:val="left" w:pos="240"/>
        </w:tabs>
        <w:autoSpaceDE w:val="0"/>
        <w:autoSpaceDN w:val="0"/>
        <w:adjustRightInd w:val="0"/>
        <w:spacing w:after="200"/>
        <w:ind w:right="-6"/>
        <w:rPr>
          <w:rFonts w:ascii="Cambria" w:hAnsi="Cambria" w:cs="Cambria"/>
          <w:b/>
          <w:bCs/>
          <w:lang w:val="en-GB"/>
        </w:rPr>
      </w:pPr>
      <w:r>
        <w:rPr>
          <w:rFonts w:ascii="Cambria" w:hAnsi="Cambria" w:cs="Cambria"/>
          <w:b/>
          <w:bCs/>
          <w:lang w:val="en-GB"/>
        </w:rPr>
        <w:t>5.</w:t>
      </w:r>
      <w:r>
        <w:rPr>
          <w:rFonts w:ascii="Cambria" w:hAnsi="Cambria" w:cs="Cambria"/>
          <w:b/>
          <w:bCs/>
          <w:lang w:val="en-GB"/>
        </w:rPr>
        <w:tab/>
        <w:t xml:space="preserve"> </w:t>
      </w:r>
      <w:r>
        <w:rPr>
          <w:rFonts w:ascii="Cambria" w:hAnsi="Cambria" w:cs="Cambria"/>
          <w:b/>
          <w:bCs/>
          <w:lang w:val="en-GB"/>
        </w:rPr>
        <w:tab/>
      </w:r>
      <w:r>
        <w:rPr>
          <w:rFonts w:ascii="Cambria" w:hAnsi="Cambria" w:cs="Cambria"/>
          <w:b/>
          <w:bCs/>
          <w:lang w:val="en-GB"/>
        </w:rPr>
        <w:tab/>
        <w:t>SDG Goal 5 - Gender Equality</w:t>
      </w:r>
    </w:p>
    <w:p w14:paraId="3D5644E1" w14:textId="77777777" w:rsidR="00622BC0" w:rsidRDefault="00826C5A">
      <w:pPr>
        <w:widowControl w:val="0"/>
        <w:autoSpaceDE w:val="0"/>
        <w:autoSpaceDN w:val="0"/>
        <w:adjustRightInd w:val="0"/>
        <w:spacing w:after="200"/>
        <w:ind w:right="-6"/>
        <w:rPr>
          <w:rFonts w:ascii="Cambria" w:hAnsi="Cambria" w:cs="Cambria"/>
          <w:b/>
          <w:bCs/>
          <w:lang w:val="en-GB"/>
        </w:rPr>
      </w:pPr>
      <w:r>
        <w:rPr>
          <w:rFonts w:ascii="Cambria" w:hAnsi="Cambria" w:cs="Cambria"/>
          <w:b/>
          <w:bCs/>
          <w:lang w:val="en-GB"/>
        </w:rPr>
        <w:t>Policy and Regulations</w:t>
      </w:r>
    </w:p>
    <w:p w14:paraId="319D43A1" w14:textId="77777777" w:rsidR="00622BC0" w:rsidRDefault="00826C5A">
      <w:pPr>
        <w:widowControl w:val="0"/>
        <w:tabs>
          <w:tab w:val="left" w:pos="240"/>
        </w:tabs>
        <w:autoSpaceDE w:val="0"/>
        <w:autoSpaceDN w:val="0"/>
        <w:adjustRightInd w:val="0"/>
        <w:spacing w:after="200"/>
        <w:ind w:right="-6"/>
        <w:jc w:val="center"/>
        <w:rPr>
          <w:lang w:val="en-GB"/>
        </w:rPr>
      </w:pPr>
      <w:r>
        <w:rPr>
          <w:rFonts w:ascii="Cambria" w:hAnsi="Cambria" w:cs="Cambria"/>
          <w:lang w:val="en-GB"/>
        </w:rPr>
        <w:t>Figure 8 Policies and Regulations on Gender Equality in Viet Nam</w:t>
      </w:r>
    </w:p>
    <w:p w14:paraId="793853CC" w14:textId="77777777" w:rsidR="00622BC0" w:rsidRDefault="00826C5A">
      <w:pPr>
        <w:widowControl w:val="0"/>
        <w:autoSpaceDE w:val="0"/>
        <w:autoSpaceDN w:val="0"/>
        <w:adjustRightInd w:val="0"/>
        <w:ind w:right="-6"/>
        <w:rPr>
          <w:lang w:val="en-GB"/>
        </w:rPr>
      </w:pPr>
      <w:r>
        <w:rPr>
          <w:rFonts w:ascii="Cambria" w:hAnsi="Cambria" w:cs="Cambria"/>
          <w:noProof/>
          <w:lang w:val="en-GB"/>
        </w:rPr>
        <w:drawing>
          <wp:anchor distT="0" distB="0" distL="114300" distR="114300" simplePos="0" relativeHeight="251659264" behindDoc="0" locked="0" layoutInCell="1" allowOverlap="1" wp14:anchorId="71A58202" wp14:editId="75797312">
            <wp:simplePos x="0" y="0"/>
            <wp:positionH relativeFrom="column">
              <wp:posOffset>470535</wp:posOffset>
            </wp:positionH>
            <wp:positionV relativeFrom="paragraph">
              <wp:posOffset>192405</wp:posOffset>
            </wp:positionV>
            <wp:extent cx="4587240" cy="1713865"/>
            <wp:effectExtent l="0" t="0" r="22860" b="635"/>
            <wp:wrapTopAndBottom/>
            <wp:docPr id="7" name="Diagram 7"/>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anchor>
        </w:drawing>
      </w:r>
    </w:p>
    <w:p w14:paraId="00F3B0ED" w14:textId="77777777" w:rsidR="00622BC0" w:rsidRDefault="00622BC0">
      <w:pPr>
        <w:widowControl w:val="0"/>
        <w:tabs>
          <w:tab w:val="left" w:pos="240"/>
        </w:tabs>
        <w:autoSpaceDE w:val="0"/>
        <w:autoSpaceDN w:val="0"/>
        <w:adjustRightInd w:val="0"/>
        <w:spacing w:after="200"/>
        <w:ind w:right="-6"/>
        <w:jc w:val="center"/>
        <w:rPr>
          <w:rFonts w:ascii="Cambria" w:hAnsi="Cambria" w:cs="Cambria"/>
          <w:lang w:val="en-GB"/>
        </w:rPr>
      </w:pPr>
    </w:p>
    <w:p w14:paraId="18E5A8CE"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Although the laws above do not explicitly refer to women and girls with disabilities, the laws in a figure show inclusive regulation and policy containing the rights of women and gender mainstreaming in Viet Nam that applies to all women, including women and girls with disabilities. The Law on Gender Equality was passed in 2006. Viet Nam has made substantial progress in several key measures of gender equality, ranking 77th overall out of 149 countries surveyed in measures of economic participation, educational attainment, health and security, and political empowerment in the World Economic Forum’s 2018 Global Gender Gap Report (World Economic Forum, 2018). </w:t>
      </w:r>
    </w:p>
    <w:p w14:paraId="3D89B8D8"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Nevertheless, Vietnamese society remains profoundly unequal in many ways due to cultural structures that privilege boys over girls, undervalue girls' education and economic potential, and place the burden of unpaid housework and childcare disproportionately on women. Women are concentrated in the lower level, poorly paid jobs, are subjected to gender-based violence in significant numbers, and have little opportunity for meaningful participation in local, regional, and national governance and decision-making. </w:t>
      </w:r>
    </w:p>
    <w:p w14:paraId="67851C08"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They are also forced out of public service at an earlier age than men as a result of mandatory retirement laws, thus depriving Viet Nam of its most senior, most experienced women leaders at the peak of their careers and reducing promotional and training opportunities available to younger women at all stages of their careers. These are some laws related to the rights of gender equality, including women with disabilities in Viet Nam.</w:t>
      </w:r>
    </w:p>
    <w:p w14:paraId="78915417" w14:textId="77777777" w:rsidR="00622BC0" w:rsidRDefault="00826C5A">
      <w:pPr>
        <w:widowControl w:val="0"/>
        <w:autoSpaceDE w:val="0"/>
        <w:autoSpaceDN w:val="0"/>
        <w:adjustRightInd w:val="0"/>
        <w:spacing w:after="200"/>
        <w:ind w:right="-6"/>
        <w:rPr>
          <w:rFonts w:ascii="Cambria" w:hAnsi="Cambria" w:cs="Cambria"/>
          <w:lang w:val="en-GB"/>
        </w:rPr>
      </w:pPr>
      <w:r>
        <w:rPr>
          <w:rFonts w:ascii="Cambria" w:hAnsi="Cambria" w:cs="Cambria"/>
          <w:b/>
          <w:bCs/>
          <w:lang w:val="en-GB"/>
        </w:rPr>
        <w:t>Implementation and Programmes</w:t>
      </w:r>
    </w:p>
    <w:p w14:paraId="7A53F9DA" w14:textId="77777777" w:rsidR="00622BC0" w:rsidRDefault="00826C5A">
      <w:pPr>
        <w:widowControl w:val="0"/>
        <w:autoSpaceDE w:val="0"/>
        <w:autoSpaceDN w:val="0"/>
        <w:adjustRightInd w:val="0"/>
        <w:spacing w:after="120"/>
        <w:ind w:right="-6"/>
        <w:jc w:val="both"/>
        <w:rPr>
          <w:rFonts w:ascii="Cambria" w:hAnsi="Cambria" w:cs="Cambria"/>
          <w:lang w:val="en-GB"/>
        </w:rPr>
      </w:pPr>
      <w:r>
        <w:rPr>
          <w:rFonts w:ascii="Cambria" w:hAnsi="Cambria" w:cs="Cambria"/>
          <w:lang w:val="en-GB"/>
        </w:rPr>
        <w:t>Regarding women and girls with disabilities, there is overall lack of information about the situation of, in particular their access to social protection and an adequate standard of living, and their economic and employment conditions, and enjoyment of political rights by women with disabilities, mainly the overall exclusion of women with disabilities, in particular women and girls with intellectual or psychosocial disabilities, as well as other ethnic and religious minorities, in decision-making processes on matters affecting them.</w:t>
      </w:r>
    </w:p>
    <w:p w14:paraId="02A51802" w14:textId="77777777" w:rsidR="00622BC0" w:rsidRDefault="00826C5A">
      <w:pPr>
        <w:widowControl w:val="0"/>
        <w:autoSpaceDE w:val="0"/>
        <w:autoSpaceDN w:val="0"/>
        <w:adjustRightInd w:val="0"/>
        <w:spacing w:after="120"/>
        <w:ind w:right="-6"/>
        <w:jc w:val="both"/>
        <w:rPr>
          <w:rFonts w:ascii="Cambria" w:hAnsi="Cambria" w:cs="Cambria"/>
          <w:lang w:val="en-GB"/>
        </w:rPr>
      </w:pPr>
      <w:r>
        <w:rPr>
          <w:rFonts w:ascii="Cambria" w:hAnsi="Cambria" w:cs="Cambria"/>
          <w:lang w:val="en-GB"/>
        </w:rPr>
        <w:t xml:space="preserve">To fathom that situation, the government of Viet Nam through the Gender Equality Department under the Ministry of Labour, Invalids, and Social Affairs formed numerous socio-political organisations to promote, inform, and disseminate gender equality such as the National Committee for the Advancement of Women, the Viet Nam Women Union, Social Work Centres and many more at all levels in society (Vietnam CRPD State Report, 2019). Those organisations representing women complete the efforts of gender equality programmes from MOLISA, yet the detail of the programmes remains unclear. </w:t>
      </w:r>
    </w:p>
    <w:p w14:paraId="1296C94A" w14:textId="77777777" w:rsidR="00622BC0" w:rsidRDefault="00826C5A">
      <w:pPr>
        <w:widowControl w:val="0"/>
        <w:autoSpaceDE w:val="0"/>
        <w:autoSpaceDN w:val="0"/>
        <w:adjustRightInd w:val="0"/>
        <w:spacing w:after="120"/>
        <w:ind w:right="-6"/>
        <w:jc w:val="both"/>
        <w:rPr>
          <w:rFonts w:ascii="Cambria" w:hAnsi="Cambria" w:cs="Cambria"/>
          <w:lang w:val="en-GB"/>
        </w:rPr>
      </w:pPr>
      <w:r>
        <w:rPr>
          <w:rFonts w:ascii="Cambria" w:hAnsi="Cambria" w:cs="Cambria"/>
          <w:lang w:val="en-GB"/>
        </w:rPr>
        <w:t xml:space="preserve">There is a strong need to strengthen implementation and programmes regarding data collection and publication of the human rights situation of women and girls with disabilities. It essentials to develop the appropriate policies to combat sex and gender-based discrimination and ensure gender equality and disability-related legislation that mainstream the rights of women and girls with disabilities. Further, it can allocate specific human, technical and budgetary resources for the advancement of the rights of women and girls with disabilities, and promote the full participation of organisations of women with disabilities in their work, and have consultations with women and girls with disabilities to use these as a basis for implementing law reform and policy changes, with particular attention to their family lives, education, health services, employment and all forms of gender-based violence against women, as well as discriminatory practices. </w:t>
      </w:r>
    </w:p>
    <w:p w14:paraId="3DB4D714" w14:textId="77777777" w:rsidR="00622BC0" w:rsidRDefault="00622BC0">
      <w:pPr>
        <w:widowControl w:val="0"/>
        <w:autoSpaceDE w:val="0"/>
        <w:autoSpaceDN w:val="0"/>
        <w:adjustRightInd w:val="0"/>
        <w:spacing w:after="200"/>
        <w:ind w:right="-6"/>
        <w:rPr>
          <w:rFonts w:ascii="Cambria" w:hAnsi="Cambria" w:cs="Cambria"/>
          <w:b/>
          <w:bCs/>
          <w:lang w:val="en-GB"/>
        </w:rPr>
      </w:pPr>
    </w:p>
    <w:p w14:paraId="5DABF7C6" w14:textId="1398B45B" w:rsidR="00622BC0" w:rsidRDefault="00826C5A">
      <w:pPr>
        <w:widowControl w:val="0"/>
        <w:autoSpaceDE w:val="0"/>
        <w:autoSpaceDN w:val="0"/>
        <w:adjustRightInd w:val="0"/>
        <w:spacing w:after="200"/>
        <w:ind w:right="-6"/>
        <w:rPr>
          <w:rFonts w:ascii="Cambria" w:hAnsi="Cambria" w:cs="Cambria"/>
          <w:b/>
          <w:bCs/>
          <w:lang w:val="en-GB"/>
        </w:rPr>
      </w:pPr>
      <w:r>
        <w:rPr>
          <w:rFonts w:ascii="Cambria" w:hAnsi="Cambria" w:cs="Cambria"/>
          <w:b/>
          <w:bCs/>
          <w:lang w:val="en-GB"/>
        </w:rPr>
        <w:t>Participation of Civil Society and OPD</w:t>
      </w:r>
      <w:r w:rsidR="0067025E">
        <w:rPr>
          <w:rFonts w:ascii="Cambria" w:hAnsi="Cambria" w:cs="Cambria"/>
          <w:b/>
          <w:bCs/>
          <w:lang w:val="en-GB"/>
        </w:rPr>
        <w:t>s</w:t>
      </w:r>
    </w:p>
    <w:p w14:paraId="294D5B25"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There is gap and inequality between men with disabilities and women with disabilities, as women with disabilities face significantly more difficulties - in both public and private spheres - in attaining access to adequate housing, health, education, vocational training, and employment, and are more likely to be institutionalised. Such challenges also reflect in inequality in hiring, promotion rates and pay for equal work, access to training and retraining, credit and other productive resources, and rarely participate in economic decision making. </w:t>
      </w:r>
    </w:p>
    <w:p w14:paraId="17AE69B8" w14:textId="644BB86F"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Furthermore, the OPD</w:t>
      </w:r>
      <w:r w:rsidR="0067025E">
        <w:rPr>
          <w:rFonts w:ascii="Cambria" w:hAnsi="Cambria" w:cs="Cambria"/>
          <w:lang w:val="en-GB"/>
        </w:rPr>
        <w:t>s</w:t>
      </w:r>
      <w:r>
        <w:rPr>
          <w:rFonts w:ascii="Cambria" w:hAnsi="Cambria" w:cs="Cambria"/>
          <w:lang w:val="en-GB"/>
        </w:rPr>
        <w:t>’ participation and advocacy in this regard face multiple challenges and stigma, which places them at higher risk of voicing gender-based violence, sexual abuse, neglect, maltreatment, and exploitation cases towards women with disabilities. Despite the undertaken efforts, many women with disabilities continue to live on the margin of society, face social exclusion, discrimination, and stigma. The multiple challenges and stigma are contributed from the unequal patriarchy system that disadvantages women and girls with disabilities and doubled or multiplied by other identities or backgrounds such as races, religions, nationalities, and political views.</w:t>
      </w:r>
    </w:p>
    <w:p w14:paraId="191A7211" w14:textId="77777777" w:rsidR="00622BC0" w:rsidRDefault="00622BC0">
      <w:pPr>
        <w:widowControl w:val="0"/>
        <w:autoSpaceDE w:val="0"/>
        <w:autoSpaceDN w:val="0"/>
        <w:adjustRightInd w:val="0"/>
        <w:spacing w:after="200"/>
        <w:ind w:right="-6"/>
        <w:jc w:val="both"/>
        <w:rPr>
          <w:rFonts w:ascii="Cambria" w:hAnsi="Cambria" w:cs="Cambria"/>
          <w:lang w:val="en-GB"/>
        </w:rPr>
      </w:pPr>
    </w:p>
    <w:p w14:paraId="2696AED3"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6.</w:t>
      </w:r>
      <w:r>
        <w:rPr>
          <w:rFonts w:ascii="Cambria" w:hAnsi="Cambria" w:cs="Cambria"/>
          <w:b/>
          <w:bCs/>
          <w:lang w:val="en-GB"/>
        </w:rPr>
        <w:tab/>
        <w:t>SDG Goal 8 - Decent Work and Economic Growth</w:t>
      </w:r>
    </w:p>
    <w:p w14:paraId="7DBD946A" w14:textId="77777777" w:rsidR="00622BC0" w:rsidRDefault="00826C5A">
      <w:pPr>
        <w:widowControl w:val="0"/>
        <w:autoSpaceDE w:val="0"/>
        <w:autoSpaceDN w:val="0"/>
        <w:adjustRightInd w:val="0"/>
        <w:spacing w:after="200"/>
        <w:ind w:right="-6"/>
        <w:rPr>
          <w:rFonts w:ascii="Cambria" w:hAnsi="Cambria" w:cs="Cambria"/>
          <w:lang w:val="en-GB"/>
        </w:rPr>
      </w:pPr>
      <w:r>
        <w:rPr>
          <w:rFonts w:ascii="Cambria" w:hAnsi="Cambria" w:cs="Cambria"/>
          <w:b/>
          <w:bCs/>
          <w:lang w:val="en-GB"/>
        </w:rPr>
        <w:t>Policy and Regulations</w:t>
      </w:r>
    </w:p>
    <w:p w14:paraId="6CF39673"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Persons with disabilities are one of the most disadvantaged groups in Viet Nam when it comes to accessing vocational training and employment opportunities. The VDS reveals that persons with disabilities need to work for income and their independent livelihood, but less than one third have a job. The following legal and policy documents have been issued for implementation: </w:t>
      </w:r>
    </w:p>
    <w:p w14:paraId="57DFA200" w14:textId="77777777" w:rsidR="00622BC0" w:rsidRDefault="00622BC0">
      <w:pPr>
        <w:widowControl w:val="0"/>
        <w:autoSpaceDE w:val="0"/>
        <w:autoSpaceDN w:val="0"/>
        <w:adjustRightInd w:val="0"/>
        <w:spacing w:after="200"/>
        <w:ind w:right="21"/>
        <w:jc w:val="center"/>
        <w:rPr>
          <w:rFonts w:ascii="Cambria" w:hAnsi="Cambria" w:cs="Cambria"/>
          <w:lang w:val="en-GB"/>
        </w:rPr>
      </w:pPr>
    </w:p>
    <w:p w14:paraId="3956CD51" w14:textId="77777777" w:rsidR="00622BC0" w:rsidRDefault="00622BC0">
      <w:pPr>
        <w:widowControl w:val="0"/>
        <w:autoSpaceDE w:val="0"/>
        <w:autoSpaceDN w:val="0"/>
        <w:adjustRightInd w:val="0"/>
        <w:spacing w:after="200"/>
        <w:ind w:right="21"/>
        <w:jc w:val="center"/>
        <w:rPr>
          <w:rFonts w:ascii="Cambria" w:hAnsi="Cambria" w:cs="Cambria"/>
          <w:lang w:val="en-GB"/>
        </w:rPr>
      </w:pPr>
    </w:p>
    <w:p w14:paraId="520F64CE" w14:textId="77777777" w:rsidR="00622BC0" w:rsidRDefault="00826C5A">
      <w:pPr>
        <w:widowControl w:val="0"/>
        <w:autoSpaceDE w:val="0"/>
        <w:autoSpaceDN w:val="0"/>
        <w:adjustRightInd w:val="0"/>
        <w:spacing w:after="200"/>
        <w:ind w:right="21"/>
        <w:jc w:val="center"/>
        <w:rPr>
          <w:rFonts w:ascii="Cambria" w:hAnsi="Cambria" w:cs="Cambria"/>
          <w:lang w:val="en-GB"/>
        </w:rPr>
      </w:pPr>
      <w:r>
        <w:rPr>
          <w:rFonts w:ascii="Cambria" w:hAnsi="Cambria" w:cs="Cambria"/>
          <w:lang w:val="en-GB"/>
        </w:rPr>
        <w:t>Table 12 Policy and Regulations on Employment in Viet Nam</w:t>
      </w:r>
    </w:p>
    <w:tbl>
      <w:tblPr>
        <w:tblW w:w="8365"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3307"/>
        <w:gridCol w:w="5058"/>
      </w:tblGrid>
      <w:tr w:rsidR="00622BC0" w14:paraId="2E76ABAF" w14:textId="77777777">
        <w:tc>
          <w:tcPr>
            <w:tcW w:w="3307" w:type="dxa"/>
            <w:vMerge w:val="restart"/>
            <w:tcBorders>
              <w:top w:val="single" w:sz="8" w:space="0" w:color="BFBFBF"/>
              <w:left w:val="single" w:sz="8" w:space="0" w:color="BFBFBF"/>
              <w:right w:val="single" w:sz="8" w:space="0" w:color="BFBFBF"/>
            </w:tcBorders>
            <w:shd w:val="clear" w:color="auto" w:fill="auto"/>
            <w:tcMar>
              <w:left w:w="0" w:type="dxa"/>
              <w:right w:w="0" w:type="dxa"/>
            </w:tcMar>
            <w:vAlign w:val="center"/>
          </w:tcPr>
          <w:p w14:paraId="339B1E82"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Laws</w:t>
            </w:r>
          </w:p>
        </w:tc>
        <w:tc>
          <w:tcPr>
            <w:tcW w:w="505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60EE3BBD"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Labour Code, 2019</w:t>
            </w:r>
          </w:p>
        </w:tc>
      </w:tr>
      <w:tr w:rsidR="00622BC0" w14:paraId="5ADDF0E5" w14:textId="77777777">
        <w:tblPrEx>
          <w:tblBorders>
            <w:top w:val="none" w:sz="0" w:space="0" w:color="auto"/>
          </w:tblBorders>
        </w:tblPrEx>
        <w:tc>
          <w:tcPr>
            <w:tcW w:w="3307" w:type="dxa"/>
            <w:vMerge/>
            <w:tcBorders>
              <w:left w:val="single" w:sz="8" w:space="0" w:color="BFBFBF"/>
              <w:right w:val="single" w:sz="8" w:space="0" w:color="BFBFBF"/>
            </w:tcBorders>
            <w:shd w:val="clear" w:color="auto" w:fill="auto"/>
            <w:tcMar>
              <w:left w:w="0" w:type="dxa"/>
              <w:right w:w="0" w:type="dxa"/>
            </w:tcMar>
            <w:vAlign w:val="center"/>
          </w:tcPr>
          <w:p w14:paraId="19A5333D" w14:textId="77777777" w:rsidR="00622BC0" w:rsidRDefault="00622BC0">
            <w:pPr>
              <w:widowControl w:val="0"/>
              <w:autoSpaceDE w:val="0"/>
              <w:autoSpaceDN w:val="0"/>
              <w:adjustRightInd w:val="0"/>
              <w:rPr>
                <w:rFonts w:ascii="Cambria" w:hAnsi="Cambria" w:cs="Cambria"/>
                <w:lang w:val="en-GB"/>
              </w:rPr>
            </w:pPr>
          </w:p>
        </w:tc>
        <w:tc>
          <w:tcPr>
            <w:tcW w:w="505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71AB7CC1"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on Enterprise Income Tax, 2008</w:t>
            </w:r>
          </w:p>
        </w:tc>
      </w:tr>
      <w:tr w:rsidR="00622BC0" w14:paraId="36C2591C" w14:textId="77777777">
        <w:tblPrEx>
          <w:tblBorders>
            <w:top w:val="none" w:sz="0" w:space="0" w:color="auto"/>
          </w:tblBorders>
        </w:tblPrEx>
        <w:tc>
          <w:tcPr>
            <w:tcW w:w="3307" w:type="dxa"/>
            <w:vMerge/>
            <w:tcBorders>
              <w:left w:val="single" w:sz="8" w:space="0" w:color="BFBFBF"/>
              <w:right w:val="single" w:sz="8" w:space="0" w:color="BFBFBF"/>
            </w:tcBorders>
            <w:shd w:val="clear" w:color="auto" w:fill="auto"/>
            <w:tcMar>
              <w:top w:w="0" w:type="dxa"/>
              <w:right w:w="0" w:type="dxa"/>
            </w:tcMar>
            <w:vAlign w:val="center"/>
          </w:tcPr>
          <w:p w14:paraId="0F6F79E7" w14:textId="77777777" w:rsidR="00622BC0" w:rsidRDefault="00622BC0">
            <w:pPr>
              <w:widowControl w:val="0"/>
              <w:autoSpaceDE w:val="0"/>
              <w:autoSpaceDN w:val="0"/>
              <w:adjustRightInd w:val="0"/>
              <w:spacing w:line="276" w:lineRule="auto"/>
              <w:ind w:right="-6"/>
              <w:rPr>
                <w:rFonts w:ascii="Cambria" w:hAnsi="Cambria" w:cs="Cambria"/>
                <w:lang w:val="en-GB"/>
              </w:rPr>
            </w:pPr>
          </w:p>
        </w:tc>
        <w:tc>
          <w:tcPr>
            <w:tcW w:w="505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42A45E4C"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on Employment, 2013</w:t>
            </w:r>
          </w:p>
        </w:tc>
      </w:tr>
      <w:tr w:rsidR="00622BC0" w14:paraId="5A50C8DD" w14:textId="77777777">
        <w:tblPrEx>
          <w:tblBorders>
            <w:top w:val="none" w:sz="0" w:space="0" w:color="auto"/>
          </w:tblBorders>
        </w:tblPrEx>
        <w:tc>
          <w:tcPr>
            <w:tcW w:w="3307" w:type="dxa"/>
            <w:vMerge/>
            <w:tcBorders>
              <w:left w:val="single" w:sz="8" w:space="0" w:color="BFBFBF"/>
              <w:right w:val="single" w:sz="8" w:space="0" w:color="BFBFBF"/>
            </w:tcBorders>
            <w:shd w:val="clear" w:color="auto" w:fill="auto"/>
            <w:tcMar>
              <w:top w:w="0" w:type="dxa"/>
              <w:right w:w="0" w:type="dxa"/>
            </w:tcMar>
            <w:vAlign w:val="center"/>
          </w:tcPr>
          <w:p w14:paraId="58E1564C" w14:textId="77777777" w:rsidR="00622BC0" w:rsidRDefault="00622BC0">
            <w:pPr>
              <w:widowControl w:val="0"/>
              <w:autoSpaceDE w:val="0"/>
              <w:autoSpaceDN w:val="0"/>
              <w:adjustRightInd w:val="0"/>
              <w:spacing w:line="276" w:lineRule="auto"/>
              <w:ind w:right="-6"/>
              <w:rPr>
                <w:rFonts w:ascii="Cambria" w:hAnsi="Cambria" w:cs="Cambria"/>
                <w:lang w:val="en-GB"/>
              </w:rPr>
            </w:pPr>
          </w:p>
        </w:tc>
        <w:tc>
          <w:tcPr>
            <w:tcW w:w="505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57B87441"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on Professional Education, 2014</w:t>
            </w:r>
          </w:p>
        </w:tc>
      </w:tr>
      <w:tr w:rsidR="00622BC0" w14:paraId="6B2B9929" w14:textId="77777777">
        <w:tblPrEx>
          <w:tblBorders>
            <w:top w:val="none" w:sz="0" w:space="0" w:color="auto"/>
          </w:tblBorders>
        </w:tblPrEx>
        <w:tc>
          <w:tcPr>
            <w:tcW w:w="3307" w:type="dxa"/>
            <w:vMerge/>
            <w:tcBorders>
              <w:left w:val="single" w:sz="8" w:space="0" w:color="BFBFBF"/>
              <w:bottom w:val="single" w:sz="8" w:space="0" w:color="BFBFBF"/>
              <w:right w:val="single" w:sz="8" w:space="0" w:color="BFBFBF"/>
            </w:tcBorders>
            <w:shd w:val="clear" w:color="auto" w:fill="auto"/>
            <w:tcMar>
              <w:top w:w="0" w:type="dxa"/>
              <w:right w:w="0" w:type="dxa"/>
            </w:tcMar>
            <w:vAlign w:val="center"/>
          </w:tcPr>
          <w:p w14:paraId="6836ABA9" w14:textId="77777777" w:rsidR="00622BC0" w:rsidRDefault="00622BC0">
            <w:pPr>
              <w:widowControl w:val="0"/>
              <w:autoSpaceDE w:val="0"/>
              <w:autoSpaceDN w:val="0"/>
              <w:adjustRightInd w:val="0"/>
              <w:spacing w:line="276" w:lineRule="auto"/>
              <w:ind w:right="-6"/>
              <w:rPr>
                <w:rFonts w:ascii="Cambria" w:hAnsi="Cambria" w:cs="Cambria"/>
                <w:lang w:val="en-GB"/>
              </w:rPr>
            </w:pPr>
          </w:p>
        </w:tc>
        <w:tc>
          <w:tcPr>
            <w:tcW w:w="505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14646962"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on Enterprise, 2014</w:t>
            </w:r>
          </w:p>
        </w:tc>
      </w:tr>
      <w:tr w:rsidR="00622BC0" w14:paraId="78CFB1F6" w14:textId="77777777">
        <w:tblPrEx>
          <w:tblBorders>
            <w:top w:val="none" w:sz="0" w:space="0" w:color="auto"/>
          </w:tblBorders>
        </w:tblPrEx>
        <w:tc>
          <w:tcPr>
            <w:tcW w:w="3307" w:type="dxa"/>
            <w:vMerge w:val="restart"/>
            <w:tcBorders>
              <w:top w:val="single" w:sz="8" w:space="0" w:color="BFBFBF"/>
              <w:left w:val="single" w:sz="8" w:space="0" w:color="BFBFBF"/>
              <w:right w:val="single" w:sz="8" w:space="0" w:color="BFBFBF"/>
            </w:tcBorders>
            <w:shd w:val="clear" w:color="auto" w:fill="auto"/>
            <w:tcMar>
              <w:left w:w="0" w:type="dxa"/>
              <w:right w:w="0" w:type="dxa"/>
            </w:tcMar>
            <w:vAlign w:val="center"/>
          </w:tcPr>
          <w:p w14:paraId="029F9B75"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Regulations</w:t>
            </w:r>
          </w:p>
        </w:tc>
        <w:tc>
          <w:tcPr>
            <w:tcW w:w="505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401B77CC"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Prime Minister Decision No. 46/2015/QD-</w:t>
            </w:r>
            <w:proofErr w:type="spellStart"/>
            <w:r>
              <w:rPr>
                <w:rFonts w:ascii="Cambria" w:hAnsi="Cambria" w:cs="Cambria"/>
                <w:lang w:val="en-GB"/>
              </w:rPr>
              <w:t>TTg</w:t>
            </w:r>
            <w:proofErr w:type="spellEnd"/>
            <w:r>
              <w:rPr>
                <w:rFonts w:ascii="Cambria" w:hAnsi="Cambria" w:cs="Cambria"/>
                <w:lang w:val="en-GB"/>
              </w:rPr>
              <w:t xml:space="preserve"> dated September 28</w:t>
            </w:r>
            <w:r>
              <w:rPr>
                <w:rFonts w:ascii="Cambria" w:hAnsi="Cambria" w:cs="Cambria"/>
                <w:vertAlign w:val="superscript"/>
                <w:lang w:val="en-GB"/>
              </w:rPr>
              <w:t>th</w:t>
            </w:r>
            <w:r>
              <w:rPr>
                <w:rFonts w:ascii="Cambria" w:hAnsi="Cambria" w:cs="Cambria"/>
                <w:lang w:val="en-GB"/>
              </w:rPr>
              <w:t>, 2015 regulating policies to support short-term vocational training (under three months)</w:t>
            </w:r>
          </w:p>
        </w:tc>
      </w:tr>
      <w:tr w:rsidR="00622BC0" w14:paraId="0E356097" w14:textId="77777777">
        <w:tblPrEx>
          <w:tblBorders>
            <w:top w:val="none" w:sz="0" w:space="0" w:color="auto"/>
          </w:tblBorders>
        </w:tblPrEx>
        <w:tc>
          <w:tcPr>
            <w:tcW w:w="3307" w:type="dxa"/>
            <w:vMerge/>
            <w:tcBorders>
              <w:left w:val="single" w:sz="8" w:space="0" w:color="BFBFBF"/>
              <w:right w:val="single" w:sz="8" w:space="0" w:color="BFBFBF"/>
            </w:tcBorders>
            <w:shd w:val="clear" w:color="auto" w:fill="auto"/>
            <w:tcMar>
              <w:left w:w="0" w:type="dxa"/>
              <w:right w:w="0" w:type="dxa"/>
            </w:tcMar>
            <w:vAlign w:val="center"/>
          </w:tcPr>
          <w:p w14:paraId="52EB2DF1" w14:textId="77777777" w:rsidR="00622BC0" w:rsidRDefault="00622BC0">
            <w:pPr>
              <w:widowControl w:val="0"/>
              <w:autoSpaceDE w:val="0"/>
              <w:autoSpaceDN w:val="0"/>
              <w:adjustRightInd w:val="0"/>
              <w:rPr>
                <w:rFonts w:ascii="Cambria" w:hAnsi="Cambria" w:cs="Cambria"/>
                <w:lang w:val="en-GB"/>
              </w:rPr>
            </w:pPr>
          </w:p>
        </w:tc>
        <w:tc>
          <w:tcPr>
            <w:tcW w:w="505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234E4EE5"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Decree No. 113/2015/ND-CP dated November 9</w:t>
            </w:r>
            <w:r>
              <w:rPr>
                <w:rFonts w:ascii="Cambria" w:hAnsi="Cambria" w:cs="Cambria"/>
                <w:vertAlign w:val="superscript"/>
                <w:lang w:val="en-GB"/>
              </w:rPr>
              <w:t>th</w:t>
            </w:r>
            <w:r>
              <w:rPr>
                <w:rFonts w:ascii="Cambria" w:hAnsi="Cambria" w:cs="Cambria"/>
                <w:lang w:val="en-GB"/>
              </w:rPr>
              <w:t>, 2015 of the government regulating allowances, preferential allowances for teachers working in public vocational training facilities</w:t>
            </w:r>
          </w:p>
        </w:tc>
      </w:tr>
      <w:tr w:rsidR="00622BC0" w14:paraId="0F8B58F6" w14:textId="77777777">
        <w:tblPrEx>
          <w:tblBorders>
            <w:top w:val="none" w:sz="0" w:space="0" w:color="auto"/>
          </w:tblBorders>
        </w:tblPrEx>
        <w:tc>
          <w:tcPr>
            <w:tcW w:w="3307" w:type="dxa"/>
            <w:vMerge/>
            <w:tcBorders>
              <w:left w:val="single" w:sz="8" w:space="0" w:color="BFBFBF"/>
              <w:right w:val="single" w:sz="8" w:space="0" w:color="BFBFBF"/>
            </w:tcBorders>
            <w:shd w:val="clear" w:color="auto" w:fill="auto"/>
            <w:tcMar>
              <w:top w:w="0" w:type="dxa"/>
              <w:right w:w="0" w:type="dxa"/>
            </w:tcMar>
            <w:vAlign w:val="center"/>
          </w:tcPr>
          <w:p w14:paraId="30C73994" w14:textId="77777777" w:rsidR="00622BC0" w:rsidRDefault="00622BC0">
            <w:pPr>
              <w:widowControl w:val="0"/>
              <w:autoSpaceDE w:val="0"/>
              <w:autoSpaceDN w:val="0"/>
              <w:adjustRightInd w:val="0"/>
              <w:spacing w:line="276" w:lineRule="auto"/>
              <w:ind w:right="-6"/>
              <w:rPr>
                <w:rFonts w:ascii="Cambria" w:hAnsi="Cambria" w:cs="Cambria"/>
                <w:lang w:val="en-GB"/>
              </w:rPr>
            </w:pPr>
          </w:p>
        </w:tc>
        <w:tc>
          <w:tcPr>
            <w:tcW w:w="505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65F8A97F"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Decree No. 218/2013/ND-CP dated December 26</w:t>
            </w:r>
            <w:r>
              <w:rPr>
                <w:rFonts w:ascii="Cambria" w:hAnsi="Cambria" w:cs="Cambria"/>
                <w:vertAlign w:val="superscript"/>
                <w:lang w:val="en-GB"/>
              </w:rPr>
              <w:t>th</w:t>
            </w:r>
            <w:r>
              <w:rPr>
                <w:rFonts w:ascii="Cambria" w:hAnsi="Cambria" w:cs="Cambria"/>
                <w:lang w:val="en-GB"/>
              </w:rPr>
              <w:t>, 2013, guiding the implementation of the Law on Enterprise Income Tax.</w:t>
            </w:r>
          </w:p>
        </w:tc>
      </w:tr>
      <w:tr w:rsidR="00622BC0" w14:paraId="42F21F39" w14:textId="77777777">
        <w:tblPrEx>
          <w:tblBorders>
            <w:top w:val="none" w:sz="0" w:space="0" w:color="auto"/>
          </w:tblBorders>
        </w:tblPrEx>
        <w:tc>
          <w:tcPr>
            <w:tcW w:w="3307" w:type="dxa"/>
            <w:vMerge/>
            <w:tcBorders>
              <w:left w:val="single" w:sz="8" w:space="0" w:color="BFBFBF"/>
              <w:right w:val="single" w:sz="8" w:space="0" w:color="BFBFBF"/>
            </w:tcBorders>
            <w:shd w:val="clear" w:color="auto" w:fill="auto"/>
            <w:tcMar>
              <w:top w:w="0" w:type="dxa"/>
              <w:right w:w="0" w:type="dxa"/>
            </w:tcMar>
            <w:vAlign w:val="center"/>
          </w:tcPr>
          <w:p w14:paraId="6FE09774" w14:textId="77777777" w:rsidR="00622BC0" w:rsidRDefault="00622BC0">
            <w:pPr>
              <w:widowControl w:val="0"/>
              <w:autoSpaceDE w:val="0"/>
              <w:autoSpaceDN w:val="0"/>
              <w:adjustRightInd w:val="0"/>
              <w:spacing w:line="276" w:lineRule="auto"/>
              <w:ind w:right="-6"/>
              <w:rPr>
                <w:rFonts w:ascii="Cambria" w:hAnsi="Cambria" w:cs="Cambria"/>
                <w:lang w:val="en-GB"/>
              </w:rPr>
            </w:pPr>
          </w:p>
        </w:tc>
        <w:tc>
          <w:tcPr>
            <w:tcW w:w="505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161F1EED"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Decree No. 61/2015/ND-CP dated July 9</w:t>
            </w:r>
            <w:r>
              <w:rPr>
                <w:rFonts w:ascii="Cambria" w:hAnsi="Cambria" w:cs="Cambria"/>
                <w:vertAlign w:val="superscript"/>
                <w:lang w:val="en-GB"/>
              </w:rPr>
              <w:t>th</w:t>
            </w:r>
            <w:r>
              <w:rPr>
                <w:rFonts w:ascii="Cambria" w:hAnsi="Cambria" w:cs="Cambria"/>
                <w:lang w:val="en-GB"/>
              </w:rPr>
              <w:t>, 2015 of the government guiding the implementation of job creation policies and the National Employment Fund</w:t>
            </w:r>
          </w:p>
        </w:tc>
      </w:tr>
      <w:tr w:rsidR="00622BC0" w14:paraId="58BA8BEE" w14:textId="77777777">
        <w:tblPrEx>
          <w:tblBorders>
            <w:top w:val="none" w:sz="0" w:space="0" w:color="auto"/>
          </w:tblBorders>
        </w:tblPrEx>
        <w:tc>
          <w:tcPr>
            <w:tcW w:w="3307" w:type="dxa"/>
            <w:vMerge/>
            <w:tcBorders>
              <w:left w:val="single" w:sz="8" w:space="0" w:color="BFBFBF"/>
              <w:right w:val="single" w:sz="8" w:space="0" w:color="BFBFBF"/>
            </w:tcBorders>
            <w:shd w:val="clear" w:color="auto" w:fill="auto"/>
            <w:tcMar>
              <w:top w:w="0" w:type="dxa"/>
              <w:right w:w="0" w:type="dxa"/>
            </w:tcMar>
            <w:vAlign w:val="center"/>
          </w:tcPr>
          <w:p w14:paraId="5DA49F3A" w14:textId="77777777" w:rsidR="00622BC0" w:rsidRDefault="00622BC0">
            <w:pPr>
              <w:widowControl w:val="0"/>
              <w:autoSpaceDE w:val="0"/>
              <w:autoSpaceDN w:val="0"/>
              <w:adjustRightInd w:val="0"/>
              <w:spacing w:line="276" w:lineRule="auto"/>
              <w:ind w:right="-6"/>
              <w:rPr>
                <w:rFonts w:ascii="Cambria" w:hAnsi="Cambria" w:cs="Cambria"/>
                <w:lang w:val="en-GB"/>
              </w:rPr>
            </w:pPr>
          </w:p>
        </w:tc>
        <w:tc>
          <w:tcPr>
            <w:tcW w:w="505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0F7D65E4"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Circular No. 78/2014/TT-BTC dated June 18</w:t>
            </w:r>
            <w:r>
              <w:rPr>
                <w:rFonts w:ascii="Cambria" w:hAnsi="Cambria" w:cs="Cambria"/>
                <w:vertAlign w:val="superscript"/>
                <w:lang w:val="en-GB"/>
              </w:rPr>
              <w:t>th</w:t>
            </w:r>
            <w:r>
              <w:rPr>
                <w:rFonts w:ascii="Cambria" w:hAnsi="Cambria" w:cs="Cambria"/>
                <w:lang w:val="en-GB"/>
              </w:rPr>
              <w:t>, 2014 of MOF guiding the implementation of Decree 218/2013/ND-CP dated December 26</w:t>
            </w:r>
            <w:r>
              <w:rPr>
                <w:rFonts w:ascii="Cambria" w:hAnsi="Cambria" w:cs="Cambria"/>
                <w:vertAlign w:val="superscript"/>
                <w:lang w:val="en-GB"/>
              </w:rPr>
              <w:t>th</w:t>
            </w:r>
            <w:r>
              <w:rPr>
                <w:rFonts w:ascii="Cambria" w:hAnsi="Cambria" w:cs="Cambria"/>
                <w:lang w:val="en-GB"/>
              </w:rPr>
              <w:t>, 2013 guiding the implementation of the Law on Enterprise Income Tax</w:t>
            </w:r>
          </w:p>
        </w:tc>
      </w:tr>
      <w:tr w:rsidR="00622BC0" w14:paraId="02A6DF01" w14:textId="77777777">
        <w:tblPrEx>
          <w:tblBorders>
            <w:top w:val="none" w:sz="0" w:space="0" w:color="auto"/>
          </w:tblBorders>
        </w:tblPrEx>
        <w:tc>
          <w:tcPr>
            <w:tcW w:w="3307" w:type="dxa"/>
            <w:vMerge/>
            <w:tcBorders>
              <w:left w:val="single" w:sz="8" w:space="0" w:color="BFBFBF"/>
              <w:right w:val="single" w:sz="8" w:space="0" w:color="BFBFBF"/>
            </w:tcBorders>
            <w:shd w:val="clear" w:color="auto" w:fill="auto"/>
            <w:tcMar>
              <w:top w:w="0" w:type="dxa"/>
              <w:right w:w="0" w:type="dxa"/>
            </w:tcMar>
            <w:vAlign w:val="center"/>
          </w:tcPr>
          <w:p w14:paraId="07971AD5" w14:textId="77777777" w:rsidR="00622BC0" w:rsidRDefault="00622BC0">
            <w:pPr>
              <w:widowControl w:val="0"/>
              <w:autoSpaceDE w:val="0"/>
              <w:autoSpaceDN w:val="0"/>
              <w:adjustRightInd w:val="0"/>
              <w:spacing w:line="276" w:lineRule="auto"/>
              <w:ind w:right="-6"/>
              <w:rPr>
                <w:rFonts w:ascii="Cambria" w:hAnsi="Cambria" w:cs="Cambria"/>
                <w:lang w:val="en-GB"/>
              </w:rPr>
            </w:pPr>
          </w:p>
        </w:tc>
        <w:tc>
          <w:tcPr>
            <w:tcW w:w="505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4AED0A09"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Inter-Circular No. 112/2010/TTLT-BTC-BLDTBXH dated July 30</w:t>
            </w:r>
            <w:r>
              <w:rPr>
                <w:rFonts w:ascii="Cambria" w:hAnsi="Cambria" w:cs="Cambria"/>
                <w:vertAlign w:val="superscript"/>
                <w:lang w:val="en-GB"/>
              </w:rPr>
              <w:t>th</w:t>
            </w:r>
            <w:r>
              <w:rPr>
                <w:rFonts w:ascii="Cambria" w:hAnsi="Cambria" w:cs="Cambria"/>
                <w:lang w:val="en-GB"/>
              </w:rPr>
              <w:t>, 2010 of MOF and MOLISA guiding budget management and use under the "Vocational training for rural laborers until 2020" National Plan, approved under Prime Minister Decision 1956/QD-</w:t>
            </w:r>
            <w:proofErr w:type="spellStart"/>
            <w:r>
              <w:rPr>
                <w:rFonts w:ascii="Cambria" w:hAnsi="Cambria" w:cs="Cambria"/>
                <w:lang w:val="en-GB"/>
              </w:rPr>
              <w:t>TTg</w:t>
            </w:r>
            <w:proofErr w:type="spellEnd"/>
            <w:r>
              <w:rPr>
                <w:rFonts w:ascii="Cambria" w:hAnsi="Cambria" w:cs="Cambria"/>
                <w:lang w:val="en-GB"/>
              </w:rPr>
              <w:t xml:space="preserve"> dated November 27</w:t>
            </w:r>
            <w:r>
              <w:rPr>
                <w:rFonts w:ascii="Cambria" w:hAnsi="Cambria" w:cs="Cambria"/>
                <w:vertAlign w:val="superscript"/>
                <w:lang w:val="en-GB"/>
              </w:rPr>
              <w:t>th</w:t>
            </w:r>
            <w:r>
              <w:rPr>
                <w:rFonts w:ascii="Cambria" w:hAnsi="Cambria" w:cs="Cambria"/>
                <w:lang w:val="en-GB"/>
              </w:rPr>
              <w:t>, 2009</w:t>
            </w:r>
          </w:p>
        </w:tc>
      </w:tr>
      <w:tr w:rsidR="00622BC0" w14:paraId="635AB6EA" w14:textId="77777777">
        <w:tblPrEx>
          <w:tblBorders>
            <w:top w:val="none" w:sz="0" w:space="0" w:color="auto"/>
            <w:bottom w:val="single" w:sz="4" w:space="0" w:color="auto"/>
          </w:tblBorders>
        </w:tblPrEx>
        <w:tc>
          <w:tcPr>
            <w:tcW w:w="3307" w:type="dxa"/>
            <w:vMerge/>
            <w:tcBorders>
              <w:left w:val="single" w:sz="8" w:space="0" w:color="BFBFBF"/>
              <w:bottom w:val="single" w:sz="8" w:space="0" w:color="BFBFBF"/>
              <w:right w:val="single" w:sz="8" w:space="0" w:color="BFBFBF"/>
            </w:tcBorders>
            <w:shd w:val="clear" w:color="auto" w:fill="auto"/>
            <w:tcMar>
              <w:top w:w="0" w:type="dxa"/>
              <w:right w:w="0" w:type="dxa"/>
            </w:tcMar>
            <w:vAlign w:val="center"/>
          </w:tcPr>
          <w:p w14:paraId="56C5D3C6" w14:textId="77777777" w:rsidR="00622BC0" w:rsidRDefault="00622BC0">
            <w:pPr>
              <w:widowControl w:val="0"/>
              <w:autoSpaceDE w:val="0"/>
              <w:autoSpaceDN w:val="0"/>
              <w:adjustRightInd w:val="0"/>
              <w:spacing w:line="276" w:lineRule="auto"/>
              <w:ind w:right="-6"/>
              <w:rPr>
                <w:rFonts w:ascii="Cambria" w:hAnsi="Cambria" w:cs="Cambria"/>
                <w:lang w:val="en-GB"/>
              </w:rPr>
            </w:pPr>
          </w:p>
        </w:tc>
        <w:tc>
          <w:tcPr>
            <w:tcW w:w="5058" w:type="dxa"/>
            <w:tcBorders>
              <w:top w:val="single" w:sz="8" w:space="0" w:color="BFBFBF"/>
              <w:left w:val="single" w:sz="8" w:space="0" w:color="BFBFBF"/>
              <w:bottom w:val="single" w:sz="8" w:space="0" w:color="BFBFBF"/>
              <w:right w:val="single" w:sz="8" w:space="0" w:color="BFBFBF"/>
            </w:tcBorders>
            <w:shd w:val="clear" w:color="auto" w:fill="auto"/>
            <w:tcMar>
              <w:left w:w="0" w:type="dxa"/>
              <w:right w:w="0" w:type="dxa"/>
            </w:tcMar>
          </w:tcPr>
          <w:p w14:paraId="7E5A256D"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MOLISA Circular No. 45/2015/TT-BLDTBXH dated November 11</w:t>
            </w:r>
            <w:r>
              <w:rPr>
                <w:rFonts w:ascii="Cambria" w:hAnsi="Cambria" w:cs="Cambria"/>
                <w:vertAlign w:val="superscript"/>
                <w:lang w:val="en-GB"/>
              </w:rPr>
              <w:t>th</w:t>
            </w:r>
            <w:r>
              <w:rPr>
                <w:rFonts w:ascii="Cambria" w:hAnsi="Cambria" w:cs="Cambria"/>
                <w:lang w:val="en-GB"/>
              </w:rPr>
              <w:t>, 2015 guiding the implementation of some articles under Decree 61/2015/ND-CP dated July 9</w:t>
            </w:r>
            <w:r>
              <w:rPr>
                <w:rFonts w:ascii="Cambria" w:hAnsi="Cambria" w:cs="Cambria"/>
                <w:vertAlign w:val="superscript"/>
                <w:lang w:val="en-GB"/>
              </w:rPr>
              <w:t>th</w:t>
            </w:r>
            <w:r>
              <w:rPr>
                <w:rFonts w:ascii="Cambria" w:hAnsi="Cambria" w:cs="Cambria"/>
                <w:lang w:val="en-GB"/>
              </w:rPr>
              <w:t>, 2015 of the government guiding the implementation of job creation policies and the National Employment Fund</w:t>
            </w:r>
          </w:p>
        </w:tc>
      </w:tr>
    </w:tbl>
    <w:p w14:paraId="2A2813A3" w14:textId="77777777" w:rsidR="00622BC0" w:rsidRDefault="00622BC0">
      <w:pPr>
        <w:widowControl w:val="0"/>
        <w:autoSpaceDE w:val="0"/>
        <w:autoSpaceDN w:val="0"/>
        <w:adjustRightInd w:val="0"/>
        <w:spacing w:after="200"/>
        <w:ind w:right="-6"/>
        <w:rPr>
          <w:rFonts w:ascii="Cambria" w:hAnsi="Cambria" w:cs="Cambria"/>
          <w:b/>
          <w:bCs/>
          <w:lang w:val="en-GB"/>
        </w:rPr>
      </w:pPr>
    </w:p>
    <w:p w14:paraId="5E862BE1" w14:textId="77777777" w:rsidR="00622BC0" w:rsidRDefault="00826C5A">
      <w:pPr>
        <w:widowControl w:val="0"/>
        <w:autoSpaceDE w:val="0"/>
        <w:autoSpaceDN w:val="0"/>
        <w:adjustRightInd w:val="0"/>
        <w:spacing w:after="200"/>
        <w:ind w:right="-6"/>
        <w:rPr>
          <w:rFonts w:ascii="Cambria" w:hAnsi="Cambria" w:cs="Cambria"/>
          <w:lang w:val="en-GB"/>
        </w:rPr>
      </w:pPr>
      <w:r>
        <w:rPr>
          <w:rFonts w:ascii="Cambria" w:hAnsi="Cambria" w:cs="Cambria"/>
          <w:b/>
          <w:bCs/>
          <w:lang w:val="en-GB"/>
        </w:rPr>
        <w:t>Implementation and Programmes</w:t>
      </w:r>
    </w:p>
    <w:p w14:paraId="5C4E4482"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NPA to Support persons with disabilities for 2012–2020 provides vocational training and suitable jobs to 250,000 working-age persons with disabilities. The project works on various issues, such as accessibility to public buildings and transportation, early intervention, inclusive education, medical services, and legal services. </w:t>
      </w:r>
    </w:p>
    <w:p w14:paraId="41A70D09"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Figure 9 Employment Sectors of Persons with Disabilities in Viet Nam</w:t>
      </w:r>
    </w:p>
    <w:p w14:paraId="40ABFBFE" w14:textId="77777777" w:rsidR="00622BC0" w:rsidRDefault="00826C5A">
      <w:pPr>
        <w:widowControl w:val="0"/>
        <w:autoSpaceDE w:val="0"/>
        <w:autoSpaceDN w:val="0"/>
        <w:adjustRightInd w:val="0"/>
        <w:spacing w:after="200"/>
        <w:ind w:right="-6"/>
        <w:jc w:val="both"/>
        <w:rPr>
          <w:rFonts w:ascii="Cambria" w:hAnsi="Cambria" w:cs="Cambria"/>
          <w:sz w:val="22"/>
          <w:szCs w:val="22"/>
          <w:lang w:val="en-GB"/>
        </w:rPr>
      </w:pPr>
      <w:r>
        <w:rPr>
          <w:rFonts w:ascii="Cambria" w:hAnsi="Cambria" w:cs="Cambria"/>
          <w:noProof/>
          <w:lang w:val="en-GB"/>
        </w:rPr>
        <w:drawing>
          <wp:inline distT="0" distB="0" distL="114300" distR="114300" wp14:anchorId="4F406C8E" wp14:editId="75915687">
            <wp:extent cx="5257800" cy="2316480"/>
            <wp:effectExtent l="4445" t="4445" r="10795" b="10795"/>
            <wp:docPr id="8" name="Char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1554BAF"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As illustrated above in Figure 9, data from the NPA shows that 93.4% of persons with disabilities over 16 years old do not have a professional qualification. The employment of persons with disabilities is mainly identified in the sectors of free trade (56%), services (16%), the private enterprises (8.82%) and state own enterprises (4.9%).</w:t>
      </w:r>
    </w:p>
    <w:p w14:paraId="10452323"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Figure 10 Monthly Income Persons with Disabilities in Viet Nam</w:t>
      </w:r>
    </w:p>
    <w:p w14:paraId="4761AFC9"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noProof/>
          <w:lang w:val="en-GB"/>
        </w:rPr>
        <w:drawing>
          <wp:inline distT="0" distB="0" distL="114300" distR="114300" wp14:anchorId="63B17C2A" wp14:editId="2AF552AB">
            <wp:extent cx="4998720" cy="1402080"/>
            <wp:effectExtent l="4445" t="4445" r="10795" b="10795"/>
            <wp:docPr id="9" name="Char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142EF7BA" w14:textId="77777777" w:rsidR="00622BC0" w:rsidRDefault="00826C5A">
      <w:pPr>
        <w:widowControl w:val="0"/>
        <w:autoSpaceDE w:val="0"/>
        <w:autoSpaceDN w:val="0"/>
        <w:adjustRightInd w:val="0"/>
        <w:spacing w:before="280" w:after="200"/>
        <w:ind w:right="-6"/>
        <w:jc w:val="both"/>
        <w:rPr>
          <w:rFonts w:ascii="Cambria" w:hAnsi="Cambria" w:cs="Cambria"/>
          <w:lang w:val="en-GB"/>
        </w:rPr>
      </w:pPr>
      <w:r>
        <w:rPr>
          <w:rFonts w:ascii="Cambria" w:hAnsi="Cambria" w:cs="Cambria"/>
          <w:lang w:val="en-GB"/>
        </w:rPr>
        <w:t xml:space="preserve">Following the data from NPA, income per month of persons with disabilities’ employment is relatively low. Those in a vulnerable situation are often unstable, amounted to 31% who earn 1 million/month. The number of persons with disabilities is slightly higher, around 27% who make 1 and 2 million, and 26% get 2.1-3 million. A few numbers of persons with disabilities approx. 16% receive 3.1-4 million or more per month as shown in the figure above. </w:t>
      </w:r>
    </w:p>
    <w:p w14:paraId="68E26366" w14:textId="77777777" w:rsidR="00622BC0" w:rsidRDefault="00826C5A">
      <w:pPr>
        <w:widowControl w:val="0"/>
        <w:autoSpaceDE w:val="0"/>
        <w:autoSpaceDN w:val="0"/>
        <w:adjustRightInd w:val="0"/>
        <w:spacing w:before="280" w:after="200"/>
        <w:ind w:right="-6"/>
        <w:jc w:val="both"/>
        <w:rPr>
          <w:rFonts w:ascii="Cambria" w:hAnsi="Cambria" w:cs="Cambria"/>
          <w:lang w:val="en-GB"/>
        </w:rPr>
      </w:pPr>
      <w:r>
        <w:rPr>
          <w:rFonts w:ascii="Cambria" w:hAnsi="Cambria" w:cs="Cambria"/>
          <w:lang w:val="en-GB"/>
        </w:rPr>
        <w:t>Even among those employed persons with disabilities who have access to vocational training, only 60% were able to find a job after completion of training. This figure demonstrates the limited access and quality of vocation training available for persons with disabilities in Viet Nam. There is a remarkable difference in vocational training, according to the VDS. Out of every 100 persons with disabilities aged 15 years or older, only seven people are trained in vocational secondary schools (or 7.3%) while this number for people without disabilities is 22 (or 21.9%). Even among those who have access to vocational training, only 60% were able to find a job after completion of training. Even a few persons with disabilities have stable jobs and regular incomes. Many remain outside of formal employment systems. As a group, they have lower labour participation rates and higher unemployment rates in both rural and urban areas than persons with disabilities.</w:t>
      </w:r>
    </w:p>
    <w:p w14:paraId="500C2F2C"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In urban areas, persons with disabilities are three times more likely to be unemployed than persons without disabilities (4.3% compared with 14%). With low levels of education and training, most persons with disabilities cannot cover their daily expenses. As a result, they and their families face numerous difficulties. </w:t>
      </w:r>
    </w:p>
    <w:p w14:paraId="7E7A9322"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Regarding social protection, the Government has made efforts to support persons with disabilities, and out of every 10 persons with disabilities, four people receive a monthly allowance; one in every two receives support to purchase health insurance cards, and one in three is exempted from medical expenses. The allowances do not include extra costs for persons with disabilities yet, the programme was established as an affirmative measure to protect and fulfil the basic needs and rights for persons with disabilities, which different from social care programmes for unemployment issues. </w:t>
      </w:r>
    </w:p>
    <w:p w14:paraId="3F6B6BA0" w14:textId="47EF6F10"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Participation of Civil Society and OPD</w:t>
      </w:r>
      <w:r w:rsidR="0067025E">
        <w:rPr>
          <w:rFonts w:ascii="Cambria" w:hAnsi="Cambria" w:cs="Cambria"/>
          <w:b/>
          <w:bCs/>
          <w:lang w:val="en-GB"/>
        </w:rPr>
        <w:t>s</w:t>
      </w:r>
    </w:p>
    <w:p w14:paraId="170C9EBC" w14:textId="47849280" w:rsidR="00622BC0" w:rsidRDefault="00826C5A">
      <w:pPr>
        <w:widowControl w:val="0"/>
        <w:autoSpaceDE w:val="0"/>
        <w:autoSpaceDN w:val="0"/>
        <w:adjustRightInd w:val="0"/>
        <w:spacing w:after="120"/>
        <w:ind w:right="-6"/>
        <w:jc w:val="both"/>
        <w:rPr>
          <w:rFonts w:ascii="Cambria" w:hAnsi="Cambria" w:cs="Cambria"/>
          <w:lang w:val="en-GB"/>
        </w:rPr>
      </w:pPr>
      <w:r>
        <w:rPr>
          <w:rFonts w:ascii="Cambria" w:hAnsi="Cambria" w:cs="Cambria"/>
          <w:lang w:val="en-GB"/>
        </w:rPr>
        <w:t>The government of Vietnam supports the facilitation of vocational education so that persons with disabilities are capable of applying for inclusive education and encourages OPD</w:t>
      </w:r>
      <w:r w:rsidR="0067025E">
        <w:rPr>
          <w:rFonts w:ascii="Cambria" w:hAnsi="Cambria" w:cs="Cambria"/>
          <w:lang w:val="en-GB"/>
        </w:rPr>
        <w:t>s</w:t>
      </w:r>
      <w:r>
        <w:rPr>
          <w:rFonts w:ascii="Cambria" w:hAnsi="Cambria" w:cs="Cambria"/>
          <w:lang w:val="en-GB"/>
        </w:rPr>
        <w:t xml:space="preserve"> or individuals to participate in the establishment of vocational education. The vocational education aims to assist those committed to attaining training location and equipment facilitation for persons with disabilities yet do not afford adequate funds to do so. </w:t>
      </w:r>
    </w:p>
    <w:p w14:paraId="5A326252" w14:textId="77777777" w:rsidR="00622BC0" w:rsidRDefault="00826C5A">
      <w:pPr>
        <w:widowControl w:val="0"/>
        <w:autoSpaceDE w:val="0"/>
        <w:autoSpaceDN w:val="0"/>
        <w:adjustRightInd w:val="0"/>
        <w:spacing w:after="120"/>
        <w:ind w:right="-6"/>
        <w:jc w:val="both"/>
        <w:rPr>
          <w:rFonts w:ascii="Cambria" w:hAnsi="Cambria" w:cs="Cambria"/>
          <w:lang w:val="en-GB"/>
        </w:rPr>
      </w:pPr>
      <w:r>
        <w:rPr>
          <w:rFonts w:ascii="Cambria" w:hAnsi="Cambria" w:cs="Cambria"/>
          <w:lang w:val="en-GB"/>
        </w:rPr>
        <w:t>Thus in 2014-2015, the National Targeted Programme on employment and vocational training disbursed funding for employment assistance for persons with disabilities by the fund scheme under National Employment Fund. It has been applied to the Blind Association, which employed about 6,700 persons, including persons who are blind, persons with disabilities, and their families, to approach low-interest loans.</w:t>
      </w:r>
    </w:p>
    <w:p w14:paraId="59F2BD54" w14:textId="77777777" w:rsidR="00622BC0" w:rsidRDefault="00622BC0">
      <w:pPr>
        <w:widowControl w:val="0"/>
        <w:autoSpaceDE w:val="0"/>
        <w:autoSpaceDN w:val="0"/>
        <w:adjustRightInd w:val="0"/>
        <w:spacing w:after="120"/>
        <w:ind w:right="-6"/>
        <w:jc w:val="both"/>
        <w:rPr>
          <w:rFonts w:ascii="Cambria" w:hAnsi="Cambria" w:cs="Cambria"/>
          <w:lang w:val="en-GB"/>
        </w:rPr>
      </w:pPr>
    </w:p>
    <w:p w14:paraId="50561BAD" w14:textId="77777777" w:rsidR="00622BC0" w:rsidRDefault="00826C5A">
      <w:pPr>
        <w:widowControl w:val="0"/>
        <w:autoSpaceDE w:val="0"/>
        <w:autoSpaceDN w:val="0"/>
        <w:adjustRightInd w:val="0"/>
        <w:spacing w:after="200"/>
        <w:ind w:right="-6"/>
        <w:rPr>
          <w:rFonts w:ascii="Cambria" w:hAnsi="Cambria" w:cs="Cambria"/>
          <w:b/>
          <w:bCs/>
          <w:lang w:val="en-GB"/>
        </w:rPr>
      </w:pPr>
      <w:r>
        <w:rPr>
          <w:rFonts w:ascii="Cambria" w:hAnsi="Cambria" w:cs="Cambria"/>
          <w:b/>
          <w:bCs/>
          <w:lang w:val="en-GB"/>
        </w:rPr>
        <w:t>7.</w:t>
      </w:r>
      <w:r>
        <w:rPr>
          <w:rFonts w:ascii="Cambria" w:hAnsi="Cambria" w:cs="Cambria"/>
          <w:b/>
          <w:bCs/>
          <w:lang w:val="en-GB"/>
        </w:rPr>
        <w:tab/>
        <w:t>SDG Goal 11 - Sustainable Cities and Communities</w:t>
      </w:r>
    </w:p>
    <w:p w14:paraId="1270A5B9"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Policy and Regulations</w:t>
      </w:r>
    </w:p>
    <w:p w14:paraId="069276F0"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As quoted from the Initial State Report of Viet Nam Government to CRPD, the accessibility aspect in physical and non-physical developments have been addressed quite well in the Law on Persons with Disabilities. The law does not only ensure solid constructions which accessible and benevolent to be used by persons with disabilities but also embodied with the needs of broader infrastructure such as information, communication, and technological services in public buildings and transportation. It also linked persons with disabilities not only to the business areas but also to the tourism, sports, and parks, and art centres (Vietnam CRPD State Report, 2019). </w:t>
      </w:r>
    </w:p>
    <w:p w14:paraId="3BE988AA"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 Other laws that stipulate the protection and fulfilment of the rights for persons with disabilities for living independently in the sustainable cities are Law on Construction, Law on Road Traffic, and Law on Access to Information. These laws incorporate persons with disabilities necessities to pull through their daily activities, especially those persons with disabilities living in remote and mountainous areas, small islands, borderlines, and limited access to the public facilities. Albeit the NAP for Persons with Disabilities also reiterates those rights and fulfilment, but the plan of action is running out of time in 2020; thus, the government of Viet Nam should evaluate the NAP urgently and wisely for overcoming challenges and solving emerging problems.</w:t>
      </w:r>
    </w:p>
    <w:p w14:paraId="092CB36F" w14:textId="77777777" w:rsidR="00622BC0" w:rsidRDefault="00622BC0">
      <w:pPr>
        <w:widowControl w:val="0"/>
        <w:autoSpaceDE w:val="0"/>
        <w:autoSpaceDN w:val="0"/>
        <w:adjustRightInd w:val="0"/>
        <w:spacing w:after="200"/>
        <w:ind w:right="-6"/>
        <w:jc w:val="both"/>
        <w:rPr>
          <w:rFonts w:ascii="Cambria" w:hAnsi="Cambria" w:cs="Cambria"/>
          <w:b/>
          <w:bCs/>
          <w:lang w:val="en-GB"/>
        </w:rPr>
      </w:pPr>
    </w:p>
    <w:p w14:paraId="12EC5C5A"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Implementation and Programmes</w:t>
      </w:r>
    </w:p>
    <w:p w14:paraId="109FB6EC" w14:textId="77777777" w:rsidR="00622BC0" w:rsidRDefault="00826C5A">
      <w:pPr>
        <w:widowControl w:val="0"/>
        <w:autoSpaceDE w:val="0"/>
        <w:autoSpaceDN w:val="0"/>
        <w:adjustRightInd w:val="0"/>
        <w:spacing w:after="200"/>
        <w:ind w:right="-6"/>
        <w:jc w:val="center"/>
        <w:rPr>
          <w:rFonts w:ascii="Cambria" w:hAnsi="Cambria" w:cs="Cambria"/>
          <w:b/>
          <w:bCs/>
          <w:lang w:val="en-GB"/>
        </w:rPr>
      </w:pPr>
      <w:r>
        <w:rPr>
          <w:rFonts w:ascii="Cambria" w:hAnsi="Cambria" w:cs="Cambria"/>
          <w:lang w:val="en-GB"/>
        </w:rPr>
        <w:t>Figure 11 Accessibility Building and Transportation in Viet Nam</w:t>
      </w:r>
    </w:p>
    <w:p w14:paraId="5A39477C" w14:textId="77777777" w:rsidR="00622BC0" w:rsidRDefault="00826C5A">
      <w:pPr>
        <w:widowControl w:val="0"/>
        <w:autoSpaceDE w:val="0"/>
        <w:autoSpaceDN w:val="0"/>
        <w:adjustRightInd w:val="0"/>
        <w:spacing w:after="200"/>
        <w:ind w:right="-6"/>
        <w:rPr>
          <w:rFonts w:ascii="Calibri" w:hAnsi="Calibri" w:cs="Calibri"/>
          <w:lang w:val="en-GB"/>
        </w:rPr>
      </w:pPr>
      <w:r>
        <w:rPr>
          <w:noProof/>
          <w:lang w:val="en-GB"/>
        </w:rPr>
        <w:drawing>
          <wp:inline distT="0" distB="0" distL="114300" distR="114300" wp14:anchorId="207123D1" wp14:editId="2F77DD85">
            <wp:extent cx="5303520" cy="2697480"/>
            <wp:effectExtent l="4445" t="4445" r="10795" b="10795"/>
            <wp:docPr id="6" name="Char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CFD80D9" w14:textId="77777777" w:rsidR="00622BC0" w:rsidRDefault="00622BC0">
      <w:pPr>
        <w:widowControl w:val="0"/>
        <w:autoSpaceDE w:val="0"/>
        <w:autoSpaceDN w:val="0"/>
        <w:adjustRightInd w:val="0"/>
        <w:spacing w:after="200"/>
        <w:ind w:right="-6"/>
        <w:jc w:val="both"/>
        <w:rPr>
          <w:rFonts w:ascii="Cambria" w:hAnsi="Cambria" w:cs="Cambria"/>
          <w:lang w:val="en-GB"/>
        </w:rPr>
      </w:pPr>
    </w:p>
    <w:p w14:paraId="6444D959" w14:textId="6F537C73"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figure above demonstrates the latest data obtained by the government of Viet Nam regarding the standards requirement of accessibility in public buildings, facilities, and transportation for persons with disabilities until now. The number in left corners shows the% of a public building, facilities, and transportation that have met the criteria of accessible design, </w:t>
      </w:r>
      <w:r w:rsidRPr="00826C5A">
        <w:rPr>
          <w:rFonts w:ascii="Cambria" w:hAnsi="Cambria" w:cs="Cambria"/>
          <w:lang w:val="en-GB"/>
        </w:rPr>
        <w:t>construction, service, and facilitation. The health care and educational facilities achieved the highest percentage with 22,6 and 20,8%, respectively. Meanwhile, the least accessible sector</w:t>
      </w:r>
      <w:r>
        <w:rPr>
          <w:rFonts w:ascii="Cambria" w:hAnsi="Cambria" w:cs="Cambria"/>
          <w:lang w:val="en-GB"/>
        </w:rPr>
        <w:t xml:space="preserve">, as identified by the data, is bank buildings with only 2% of satisfaction. Moderate attainment of services and facilitation for persons with disabilities are galleries and exhibitions, convention centres and office buildings, elders nursing homes, and retirement clubs around 5 to 10%. </w:t>
      </w:r>
    </w:p>
    <w:p w14:paraId="40532757"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In terms of ICT, Viet Nam adopted several national accessibility standards on information technology and communication, such as the national standards on public internet access points – technical requirements to support older adults and persons with disabilities. To ensure accessibility in air transportation, the government infused professional equipment in the form of elevators and wheelchairs to support passengers with disabilities both on the ground and onboard. To date, there are 22 airports whose ramps for wheelchair users and accessibility access in toilets, except a few local airports. </w:t>
      </w:r>
    </w:p>
    <w:p w14:paraId="5118FFAF"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Concerning to the transportation, the government of Viet Nam has invested in the building of coach stations amounted to 30% of the total 457 stations up till now. The government claimed it had ensured the principle of accessibility though it is limited to disabilities with visual, hearing, and speaking impairments. There are only 5,000 passengers with disabilities out of a total of 11 million passengers using trains per year. This number is considerably low as there are remain persons with severe and moderate disabilities hardly access the trains. (Vietnam CRPD State Report, 2019). </w:t>
      </w:r>
    </w:p>
    <w:p w14:paraId="4715B690"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Based on data provided by the government of Viet Nam (Vietnam CRPD State Report, 2019), in 2016, Viet Nam has applied to fee-cutting or exemption ranging from 25% to 100% for 20,016,222 people with disabilities’ times accessing in public transportation. Approximately 6,293 persons with disabilities participating in rail transportation have been enjoying a 30% reduction of train tickets, and 25% of people with severe disabilities have been pleasing to access fee reduction in-land water transportation. </w:t>
      </w:r>
    </w:p>
    <w:p w14:paraId="270991EC" w14:textId="43F52299"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Participation of Civil Society and OPD</w:t>
      </w:r>
      <w:r w:rsidR="0067025E">
        <w:rPr>
          <w:rFonts w:ascii="Cambria" w:hAnsi="Cambria" w:cs="Cambria"/>
          <w:b/>
          <w:bCs/>
          <w:lang w:val="en-GB"/>
        </w:rPr>
        <w:t>s</w:t>
      </w:r>
    </w:p>
    <w:p w14:paraId="352FDBE2"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Available libraries are providing access to books in braille or alternative forms in the Viet Nam, and even more, there are two specific libraries built for persons with Disabilities with equipped facilitation such as accessible entrance, toilets, elevators, computers, tables, and other facilities and types of equipment. Regarding this, there are over 100 agencies and organisations provided library-information services to persons with disabilities with alternative texts and more than 100 libraries, blind association, schools, and centres teaching children with disability are accommodated by information for children with visual impairment and hearing disability (Vietnam CRPD State Report, 2019).</w:t>
      </w:r>
    </w:p>
    <w:p w14:paraId="08133C14" w14:textId="77777777" w:rsidR="00622BC0" w:rsidRDefault="00622BC0">
      <w:pPr>
        <w:widowControl w:val="0"/>
        <w:autoSpaceDE w:val="0"/>
        <w:autoSpaceDN w:val="0"/>
        <w:adjustRightInd w:val="0"/>
        <w:spacing w:after="200"/>
        <w:ind w:right="-6"/>
        <w:jc w:val="both"/>
        <w:rPr>
          <w:rFonts w:ascii="Cambria" w:hAnsi="Cambria" w:cs="Cambria"/>
          <w:lang w:val="en-GB"/>
        </w:rPr>
      </w:pPr>
    </w:p>
    <w:p w14:paraId="64F48FF9" w14:textId="77777777" w:rsidR="00622BC0" w:rsidRDefault="00826C5A">
      <w:pPr>
        <w:widowControl w:val="0"/>
        <w:autoSpaceDE w:val="0"/>
        <w:autoSpaceDN w:val="0"/>
        <w:adjustRightInd w:val="0"/>
        <w:spacing w:after="200"/>
        <w:ind w:left="399" w:right="-6" w:hanging="399"/>
        <w:jc w:val="both"/>
        <w:rPr>
          <w:rFonts w:ascii="Cambria" w:hAnsi="Cambria" w:cs="Cambria"/>
          <w:b/>
          <w:bCs/>
          <w:lang w:val="en-GB"/>
        </w:rPr>
      </w:pPr>
      <w:r>
        <w:rPr>
          <w:rFonts w:ascii="Cambria" w:hAnsi="Cambria" w:cs="Cambria"/>
          <w:b/>
          <w:bCs/>
          <w:lang w:val="en-GB"/>
        </w:rPr>
        <w:t xml:space="preserve">8. </w:t>
      </w:r>
      <w:r>
        <w:rPr>
          <w:rFonts w:ascii="Cambria" w:hAnsi="Cambria" w:cs="Cambria"/>
          <w:b/>
          <w:bCs/>
        </w:rPr>
        <w:t xml:space="preserve"> </w:t>
      </w:r>
      <w:r>
        <w:rPr>
          <w:rFonts w:ascii="Cambria" w:hAnsi="Cambria" w:cs="Cambria"/>
          <w:b/>
          <w:bCs/>
          <w:lang w:val="en-GB"/>
        </w:rPr>
        <w:t>Challenges and Recommendations for the Implementation of CRPD and SDGs in Viet Nam</w:t>
      </w:r>
    </w:p>
    <w:p w14:paraId="154432F4" w14:textId="77777777" w:rsidR="00622BC0" w:rsidRDefault="00826C5A">
      <w:pPr>
        <w:widowControl w:val="0"/>
        <w:tabs>
          <w:tab w:val="left" w:pos="360"/>
        </w:tabs>
        <w:autoSpaceDE w:val="0"/>
        <w:autoSpaceDN w:val="0"/>
        <w:adjustRightInd w:val="0"/>
        <w:spacing w:after="200"/>
        <w:ind w:right="-6"/>
        <w:jc w:val="both"/>
        <w:rPr>
          <w:rFonts w:ascii="Cambria" w:hAnsi="Cambria" w:cs="Cambria"/>
          <w:lang w:val="en-GB"/>
        </w:rPr>
      </w:pPr>
      <w:r>
        <w:rPr>
          <w:rFonts w:ascii="Cambria" w:hAnsi="Cambria" w:cs="Cambria"/>
          <w:lang w:val="en-GB"/>
        </w:rPr>
        <w:t>Despite the existence of policies and laws that protect the rights of persons with disabilities, there are remaining challenges both in society and government levels as indicated below:</w:t>
      </w:r>
    </w:p>
    <w:p w14:paraId="746378E7" w14:textId="77777777" w:rsidR="00622BC0" w:rsidRDefault="00826C5A">
      <w:pPr>
        <w:widowControl w:val="0"/>
        <w:tabs>
          <w:tab w:val="left" w:pos="720"/>
        </w:tabs>
        <w:autoSpaceDE w:val="0"/>
        <w:autoSpaceDN w:val="0"/>
        <w:adjustRightInd w:val="0"/>
        <w:spacing w:after="200"/>
        <w:ind w:left="480" w:right="-6" w:hangingChars="200" w:hanging="480"/>
        <w:jc w:val="both"/>
        <w:rPr>
          <w:rFonts w:ascii="Calibri" w:hAnsi="Calibri" w:cs="Calibri"/>
          <w:lang w:val="en-GB"/>
        </w:rPr>
      </w:pPr>
      <w:r>
        <w:rPr>
          <w:rFonts w:ascii="Helvetica" w:hAnsi="Helvetica" w:cs="Helvetica"/>
          <w:lang w:val="en-GB"/>
        </w:rPr>
        <w:t>●</w:t>
      </w:r>
      <w:r>
        <w:rPr>
          <w:rFonts w:ascii="Helvetica" w:hAnsi="Helvetica" w:cs="Helvetica"/>
          <w:lang w:val="en-GB"/>
        </w:rPr>
        <w:tab/>
      </w:r>
      <w:r>
        <w:rPr>
          <w:rFonts w:ascii="Cambria" w:hAnsi="Cambria" w:cs="Cambria"/>
          <w:lang w:val="en-GB"/>
        </w:rPr>
        <w:t>Disability is associated with the imperfection of the self. Hence, it is regarded as a less significant life form caused by sins or evil deeds committed by one's ancestors. Within this context, disability, whether acquired or congenital, is associated with shame and pity. There is an indication of the cultural and social implications of such a perspective that cause harmful stigma and treatment, for instance, force sterilisation and other gender-based violence against women and girls with disabilities;</w:t>
      </w:r>
    </w:p>
    <w:p w14:paraId="272233F3" w14:textId="77777777" w:rsidR="00622BC0" w:rsidRDefault="00826C5A">
      <w:pPr>
        <w:widowControl w:val="0"/>
        <w:tabs>
          <w:tab w:val="left" w:pos="720"/>
        </w:tabs>
        <w:autoSpaceDE w:val="0"/>
        <w:autoSpaceDN w:val="0"/>
        <w:adjustRightInd w:val="0"/>
        <w:spacing w:after="200"/>
        <w:ind w:left="480" w:right="-6" w:hangingChars="200" w:hanging="480"/>
        <w:jc w:val="both"/>
        <w:rPr>
          <w:rFonts w:ascii="Calibri" w:hAnsi="Calibri" w:cs="Calibri"/>
          <w:lang w:val="en-GB"/>
        </w:rPr>
      </w:pPr>
      <w:r>
        <w:rPr>
          <w:rFonts w:ascii="Helvetica" w:hAnsi="Helvetica" w:cs="Helvetica"/>
          <w:lang w:val="en-GB"/>
        </w:rPr>
        <w:t>●</w:t>
      </w:r>
      <w:r>
        <w:rPr>
          <w:rFonts w:ascii="Helvetica" w:hAnsi="Helvetica" w:cs="Helvetica"/>
          <w:lang w:val="en-GB"/>
        </w:rPr>
        <w:tab/>
      </w:r>
      <w:r>
        <w:rPr>
          <w:rFonts w:ascii="Cambria" w:hAnsi="Cambria" w:cs="Cambria"/>
          <w:lang w:val="en-GB"/>
        </w:rPr>
        <w:t>The large gap between laws and practices for persons with disabilities which cause numerous barriers and stigma in everyday lives, including multiple barriers to participation in public life;</w:t>
      </w:r>
    </w:p>
    <w:p w14:paraId="662FB8D5" w14:textId="77777777" w:rsidR="00622BC0" w:rsidRDefault="00826C5A">
      <w:pPr>
        <w:widowControl w:val="0"/>
        <w:tabs>
          <w:tab w:val="left" w:pos="720"/>
        </w:tabs>
        <w:autoSpaceDE w:val="0"/>
        <w:autoSpaceDN w:val="0"/>
        <w:adjustRightInd w:val="0"/>
        <w:spacing w:after="200"/>
        <w:ind w:left="480" w:right="-6" w:hangingChars="200" w:hanging="480"/>
        <w:jc w:val="both"/>
        <w:rPr>
          <w:rFonts w:ascii="Calibri" w:hAnsi="Calibri" w:cs="Calibri"/>
          <w:lang w:val="en-GB"/>
        </w:rPr>
      </w:pPr>
      <w:r>
        <w:rPr>
          <w:rFonts w:ascii="Helvetica" w:hAnsi="Helvetica" w:cs="Helvetica"/>
          <w:lang w:val="en-GB"/>
        </w:rPr>
        <w:t>●</w:t>
      </w:r>
      <w:r>
        <w:rPr>
          <w:rFonts w:ascii="Helvetica" w:hAnsi="Helvetica" w:cs="Helvetica"/>
          <w:lang w:val="en-GB"/>
        </w:rPr>
        <w:tab/>
      </w:r>
      <w:r>
        <w:rPr>
          <w:rFonts w:ascii="Cambria" w:hAnsi="Cambria" w:cs="Cambria"/>
          <w:lang w:val="en-GB"/>
        </w:rPr>
        <w:t>Disability rights are not seen as a new paradigm for the designing and drafting of legislation and policies for persons with disabilities in Viet Nam;</w:t>
      </w:r>
    </w:p>
    <w:p w14:paraId="4FD2AF20" w14:textId="77777777" w:rsidR="00622BC0" w:rsidRDefault="00826C5A">
      <w:pPr>
        <w:widowControl w:val="0"/>
        <w:tabs>
          <w:tab w:val="left" w:pos="720"/>
        </w:tabs>
        <w:autoSpaceDE w:val="0"/>
        <w:autoSpaceDN w:val="0"/>
        <w:adjustRightInd w:val="0"/>
        <w:spacing w:after="200"/>
        <w:ind w:left="480" w:right="-6" w:hangingChars="200" w:hanging="480"/>
        <w:jc w:val="both"/>
        <w:rPr>
          <w:rFonts w:ascii="Calibri" w:hAnsi="Calibri" w:cs="Calibri"/>
          <w:lang w:val="en-GB"/>
        </w:rPr>
      </w:pPr>
      <w:r>
        <w:rPr>
          <w:rFonts w:ascii="Helvetica" w:hAnsi="Helvetica" w:cs="Helvetica"/>
          <w:lang w:val="en-GB"/>
        </w:rPr>
        <w:t>●</w:t>
      </w:r>
      <w:r>
        <w:rPr>
          <w:rFonts w:ascii="Helvetica" w:hAnsi="Helvetica" w:cs="Helvetica"/>
          <w:lang w:val="en-GB"/>
        </w:rPr>
        <w:tab/>
      </w:r>
      <w:r>
        <w:rPr>
          <w:rFonts w:ascii="Cambria" w:hAnsi="Cambria" w:cs="Cambria"/>
          <w:lang w:val="en-GB"/>
        </w:rPr>
        <w:t>The ministerial status of MOLISA, which is in charge of coordinating the implementation of the CRPD but lack both authority vis-à-vis line ministries, and the resources to effectively perform their coordinating role and obligations to implement CRPD;</w:t>
      </w:r>
    </w:p>
    <w:p w14:paraId="6095401B" w14:textId="77777777" w:rsidR="00622BC0" w:rsidRDefault="00826C5A">
      <w:pPr>
        <w:widowControl w:val="0"/>
        <w:tabs>
          <w:tab w:val="left" w:pos="720"/>
        </w:tabs>
        <w:autoSpaceDE w:val="0"/>
        <w:autoSpaceDN w:val="0"/>
        <w:adjustRightInd w:val="0"/>
        <w:spacing w:after="200"/>
        <w:ind w:left="480" w:right="-6" w:hangingChars="200" w:hanging="480"/>
        <w:jc w:val="both"/>
        <w:rPr>
          <w:rFonts w:ascii="Calibri" w:hAnsi="Calibri" w:cs="Calibri"/>
          <w:lang w:val="en-GB"/>
        </w:rPr>
      </w:pPr>
      <w:r>
        <w:rPr>
          <w:rFonts w:ascii="Helvetica" w:hAnsi="Helvetica" w:cs="Helvetica"/>
          <w:lang w:val="en-GB"/>
        </w:rPr>
        <w:t>●</w:t>
      </w:r>
      <w:r>
        <w:rPr>
          <w:rFonts w:ascii="Helvetica" w:hAnsi="Helvetica" w:cs="Helvetica"/>
          <w:lang w:val="en-GB"/>
        </w:rPr>
        <w:tab/>
      </w:r>
      <w:r>
        <w:rPr>
          <w:rFonts w:ascii="Cambria" w:hAnsi="Cambria" w:cs="Cambria"/>
          <w:lang w:val="en-GB"/>
        </w:rPr>
        <w:t>Viet Nam at present does not have a national human rights institution as recommended by relevant human rights treaty monitoring bodies;</w:t>
      </w:r>
    </w:p>
    <w:p w14:paraId="58C931B6" w14:textId="77777777" w:rsidR="00622BC0" w:rsidRDefault="00826C5A">
      <w:pPr>
        <w:widowControl w:val="0"/>
        <w:tabs>
          <w:tab w:val="left" w:pos="720"/>
        </w:tabs>
        <w:autoSpaceDE w:val="0"/>
        <w:autoSpaceDN w:val="0"/>
        <w:adjustRightInd w:val="0"/>
        <w:spacing w:after="200"/>
        <w:ind w:left="480" w:right="-6" w:hangingChars="200" w:hanging="480"/>
        <w:jc w:val="both"/>
        <w:rPr>
          <w:rFonts w:ascii="Calibri" w:hAnsi="Calibri" w:cs="Calibri"/>
          <w:lang w:val="en-GB"/>
        </w:rPr>
      </w:pPr>
      <w:r>
        <w:rPr>
          <w:rFonts w:ascii="Helvetica" w:hAnsi="Helvetica" w:cs="Helvetica"/>
          <w:lang w:val="en-GB"/>
        </w:rPr>
        <w:t>●</w:t>
      </w:r>
      <w:r>
        <w:rPr>
          <w:rFonts w:ascii="Helvetica" w:hAnsi="Helvetica" w:cs="Helvetica"/>
          <w:lang w:val="en-GB"/>
        </w:rPr>
        <w:tab/>
      </w:r>
      <w:r>
        <w:rPr>
          <w:rFonts w:ascii="Cambria" w:hAnsi="Cambria" w:cs="Cambria"/>
          <w:lang w:val="en-GB"/>
        </w:rPr>
        <w:t>Achieving SDGs will be a challenging task for Viet Nam, as it must keep up with its past achievements in terms of growth and poverty reduction in the new context of declining financial support from multinational and international donors;</w:t>
      </w:r>
    </w:p>
    <w:p w14:paraId="3984EE28" w14:textId="77777777" w:rsidR="00622BC0" w:rsidRDefault="00826C5A">
      <w:pPr>
        <w:widowControl w:val="0"/>
        <w:tabs>
          <w:tab w:val="left" w:pos="720"/>
        </w:tabs>
        <w:autoSpaceDE w:val="0"/>
        <w:autoSpaceDN w:val="0"/>
        <w:adjustRightInd w:val="0"/>
        <w:spacing w:after="200"/>
        <w:ind w:left="480" w:right="-6" w:hangingChars="200" w:hanging="480"/>
        <w:jc w:val="both"/>
        <w:rPr>
          <w:rFonts w:ascii="Calibri" w:hAnsi="Calibri" w:cs="Calibri"/>
          <w:lang w:val="en-GB"/>
        </w:rPr>
      </w:pPr>
      <w:r>
        <w:rPr>
          <w:rFonts w:ascii="Helvetica" w:hAnsi="Helvetica" w:cs="Helvetica"/>
          <w:lang w:val="en-GB"/>
        </w:rPr>
        <w:t>●</w:t>
      </w:r>
      <w:r>
        <w:rPr>
          <w:rFonts w:ascii="Helvetica" w:hAnsi="Helvetica" w:cs="Helvetica"/>
          <w:lang w:val="en-GB"/>
        </w:rPr>
        <w:tab/>
      </w:r>
      <w:r>
        <w:rPr>
          <w:rFonts w:ascii="Cambria" w:hAnsi="Cambria" w:cs="Cambria"/>
          <w:lang w:val="en-GB"/>
        </w:rPr>
        <w:t>In Viet Nam, traditional legal capacity laws still tend to follow a medical model to a disability, placing 'best interests' over 'individual choice.' A determination of legal incapacity often means also a loss of the right to participate in political life;</w:t>
      </w:r>
    </w:p>
    <w:p w14:paraId="3BB1429B" w14:textId="77777777" w:rsidR="00622BC0" w:rsidRDefault="00826C5A">
      <w:pPr>
        <w:widowControl w:val="0"/>
        <w:tabs>
          <w:tab w:val="left" w:pos="720"/>
        </w:tabs>
        <w:autoSpaceDE w:val="0"/>
        <w:autoSpaceDN w:val="0"/>
        <w:adjustRightInd w:val="0"/>
        <w:spacing w:after="200"/>
        <w:ind w:left="480" w:right="-6" w:hangingChars="200" w:hanging="480"/>
        <w:jc w:val="both"/>
        <w:rPr>
          <w:rFonts w:ascii="Calibri" w:hAnsi="Calibri" w:cs="Calibri"/>
          <w:lang w:val="en-GB"/>
        </w:rPr>
      </w:pPr>
      <w:r>
        <w:rPr>
          <w:rFonts w:ascii="Helvetica" w:hAnsi="Helvetica" w:cs="Helvetica"/>
          <w:lang w:val="en-GB"/>
        </w:rPr>
        <w:t>●</w:t>
      </w:r>
      <w:r>
        <w:rPr>
          <w:rFonts w:ascii="Helvetica" w:hAnsi="Helvetica" w:cs="Helvetica"/>
          <w:lang w:val="en-GB"/>
        </w:rPr>
        <w:tab/>
      </w:r>
      <w:r>
        <w:rPr>
          <w:rFonts w:ascii="Cambria" w:hAnsi="Cambria" w:cs="Cambria"/>
          <w:lang w:val="en-GB"/>
        </w:rPr>
        <w:t>Media consumption by persons with disabilities remains low due to inaccessibility (such as the absence of captioning and the lack of legal status for sign language in some countries) and access to published materials can also be limited by intellectual property barriers;</w:t>
      </w:r>
    </w:p>
    <w:p w14:paraId="1A55187E" w14:textId="77777777" w:rsidR="00622BC0" w:rsidRDefault="00826C5A">
      <w:pPr>
        <w:widowControl w:val="0"/>
        <w:tabs>
          <w:tab w:val="left" w:pos="720"/>
        </w:tabs>
        <w:autoSpaceDE w:val="0"/>
        <w:autoSpaceDN w:val="0"/>
        <w:adjustRightInd w:val="0"/>
        <w:spacing w:after="200"/>
        <w:ind w:left="480" w:right="-6" w:hangingChars="200" w:hanging="480"/>
        <w:jc w:val="both"/>
        <w:rPr>
          <w:rFonts w:ascii="Calibri" w:hAnsi="Calibri" w:cs="Calibri"/>
          <w:lang w:val="en-GB"/>
        </w:rPr>
      </w:pPr>
      <w:r>
        <w:rPr>
          <w:rFonts w:ascii="Helvetica" w:hAnsi="Helvetica" w:cs="Helvetica"/>
          <w:lang w:val="en-GB"/>
        </w:rPr>
        <w:t>●</w:t>
      </w:r>
      <w:r>
        <w:rPr>
          <w:rFonts w:ascii="Helvetica" w:hAnsi="Helvetica" w:cs="Helvetica"/>
          <w:lang w:val="en-GB"/>
        </w:rPr>
        <w:tab/>
      </w:r>
      <w:r>
        <w:rPr>
          <w:rFonts w:ascii="Cambria" w:hAnsi="Cambria" w:cs="Cambria"/>
          <w:lang w:val="en-GB"/>
        </w:rPr>
        <w:t xml:space="preserve">Access to justice is crucial to enabling persons with disabilities to advance their rights and challenge regarding discriminatory behaviour. Unfortunately, in the current Criminal Code, disability is still not acknowledged as grounds for hate-crime; </w:t>
      </w:r>
    </w:p>
    <w:p w14:paraId="4D9947A1" w14:textId="7B62F074" w:rsidR="00622BC0" w:rsidRDefault="00826C5A">
      <w:pPr>
        <w:widowControl w:val="0"/>
        <w:tabs>
          <w:tab w:val="left" w:pos="720"/>
        </w:tabs>
        <w:autoSpaceDE w:val="0"/>
        <w:autoSpaceDN w:val="0"/>
        <w:adjustRightInd w:val="0"/>
        <w:spacing w:after="200"/>
        <w:ind w:left="480" w:right="-6" w:hangingChars="200" w:hanging="480"/>
        <w:jc w:val="both"/>
        <w:rPr>
          <w:rFonts w:ascii="Calibri" w:hAnsi="Calibri" w:cs="Calibri"/>
          <w:lang w:val="en-GB"/>
        </w:rPr>
      </w:pPr>
      <w:r>
        <w:rPr>
          <w:rFonts w:ascii="Helvetica" w:hAnsi="Helvetica" w:cs="Helvetica"/>
          <w:lang w:val="en-GB"/>
        </w:rPr>
        <w:t>●</w:t>
      </w:r>
      <w:r>
        <w:rPr>
          <w:rFonts w:ascii="Helvetica" w:hAnsi="Helvetica" w:cs="Helvetica"/>
          <w:lang w:val="en-GB"/>
        </w:rPr>
        <w:tab/>
      </w:r>
      <w:r>
        <w:rPr>
          <w:rFonts w:ascii="Cambria" w:hAnsi="Cambria" w:cs="Cambria"/>
          <w:lang w:val="en-GB"/>
        </w:rPr>
        <w:t>The OPD</w:t>
      </w:r>
      <w:r w:rsidR="0067025E">
        <w:rPr>
          <w:rFonts w:ascii="Cambria" w:hAnsi="Cambria" w:cs="Cambria"/>
          <w:lang w:val="en-GB"/>
        </w:rPr>
        <w:t>s</w:t>
      </w:r>
      <w:r>
        <w:rPr>
          <w:rFonts w:ascii="Cambria" w:hAnsi="Cambria" w:cs="Cambria"/>
          <w:lang w:val="en-GB"/>
        </w:rPr>
        <w:t xml:space="preserve"> in Viet Nam does not have a standing point to participate in legal proceedings or bring cases on their clients' behalf to the courts. While many OPD</w:t>
      </w:r>
      <w:r w:rsidR="0067025E">
        <w:rPr>
          <w:rFonts w:ascii="Cambria" w:hAnsi="Cambria" w:cs="Cambria"/>
          <w:lang w:val="en-GB"/>
        </w:rPr>
        <w:t>s</w:t>
      </w:r>
      <w:r>
        <w:rPr>
          <w:rFonts w:ascii="Cambria" w:hAnsi="Cambria" w:cs="Cambria"/>
          <w:lang w:val="en-GB"/>
        </w:rPr>
        <w:t xml:space="preserve"> are funded by donors or through member contributions, they may not qualify to get legal aid, and their resources may not allow for meaningful access to justice.</w:t>
      </w:r>
    </w:p>
    <w:p w14:paraId="0C5DCBA0" w14:textId="77777777" w:rsidR="00622BC0" w:rsidRDefault="00826C5A">
      <w:pPr>
        <w:widowControl w:val="0"/>
        <w:tabs>
          <w:tab w:val="left" w:pos="720"/>
        </w:tabs>
        <w:autoSpaceDE w:val="0"/>
        <w:autoSpaceDN w:val="0"/>
        <w:adjustRightInd w:val="0"/>
        <w:spacing w:after="200"/>
        <w:ind w:left="480" w:right="-6" w:hangingChars="200" w:hanging="480"/>
        <w:jc w:val="both"/>
        <w:rPr>
          <w:rFonts w:ascii="Calibri" w:hAnsi="Calibri" w:cs="Calibri"/>
          <w:lang w:val="en-GB"/>
        </w:rPr>
      </w:pPr>
      <w:r>
        <w:rPr>
          <w:rFonts w:ascii="Helvetica" w:hAnsi="Helvetica" w:cs="Helvetica"/>
          <w:lang w:val="en-GB"/>
        </w:rPr>
        <w:t>●</w:t>
      </w:r>
      <w:r>
        <w:rPr>
          <w:rFonts w:ascii="Helvetica" w:hAnsi="Helvetica" w:cs="Helvetica"/>
          <w:lang w:val="en-GB"/>
        </w:rPr>
        <w:tab/>
      </w:r>
      <w:r>
        <w:rPr>
          <w:rFonts w:ascii="Cambria" w:hAnsi="Cambria" w:cs="Cambria"/>
          <w:lang w:val="en-GB"/>
        </w:rPr>
        <w:t>Official Development Assistance (ODA) targeted to social protection is decreasing. In the past, ODA has made an essential contribution to improving social protection schemes for persons with disabilities.</w:t>
      </w:r>
    </w:p>
    <w:p w14:paraId="05596E54" w14:textId="77777777" w:rsidR="00622BC0" w:rsidRDefault="00826C5A">
      <w:pPr>
        <w:widowControl w:val="0"/>
        <w:tabs>
          <w:tab w:val="left" w:pos="360"/>
        </w:tabs>
        <w:autoSpaceDE w:val="0"/>
        <w:autoSpaceDN w:val="0"/>
        <w:adjustRightInd w:val="0"/>
        <w:spacing w:after="200"/>
        <w:ind w:right="-6"/>
        <w:jc w:val="both"/>
        <w:rPr>
          <w:rFonts w:ascii="Cambria" w:hAnsi="Cambria" w:cs="Cambria"/>
          <w:lang w:val="en-GB"/>
        </w:rPr>
      </w:pPr>
      <w:r>
        <w:rPr>
          <w:rFonts w:ascii="Cambria" w:hAnsi="Cambria" w:cs="Cambria"/>
          <w:lang w:val="en-GB"/>
        </w:rPr>
        <w:t>Although the challenges remain unsolved, the authors describe some recommendations that might be considered by the government and other stakeholders in Viet Nam as follows,</w:t>
      </w:r>
    </w:p>
    <w:p w14:paraId="52EA3EA4" w14:textId="77777777" w:rsidR="00622BC0" w:rsidRDefault="00826C5A">
      <w:pPr>
        <w:widowControl w:val="0"/>
        <w:tabs>
          <w:tab w:val="left" w:pos="360"/>
        </w:tabs>
        <w:autoSpaceDE w:val="0"/>
        <w:autoSpaceDN w:val="0"/>
        <w:adjustRightInd w:val="0"/>
        <w:spacing w:after="200"/>
        <w:ind w:right="-6"/>
        <w:jc w:val="both"/>
        <w:rPr>
          <w:rFonts w:ascii="Cambria" w:hAnsi="Cambria" w:cs="Cambria"/>
          <w:lang w:val="en-GB"/>
        </w:rPr>
      </w:pPr>
      <w:r>
        <w:rPr>
          <w:rFonts w:ascii="Cambria" w:hAnsi="Cambria" w:cs="Cambria"/>
          <w:lang w:val="en-GB"/>
        </w:rPr>
        <w:t xml:space="preserve">State actors should ensure that persons with disabilities have equal opportunities to participate in political, cultural, and public life. In this regard, state actors must respect the principle of participation and recognise that all persons with disabilities, including intellectual and psycho-social disabilities, have their own individual will and preferences that have to be respected. The state actors should meaningfully include persons with disabilities in decision-making and policy framing processes. Also, new technologies and accessible media formats must be provided to ensure that all voters can make informed and independent voting decisions for persons with disabilities. In this regard, state actors should ratify the Marrakesh Treaty to Facilitate Access to Published Works for Persons Who Are Blind, Visually Impaired, or Otherwise Print Disabled, to reduce copyright and intellectual property barriers for accessing printed works, and the Optional Protocol to the CRPD. </w:t>
      </w:r>
    </w:p>
    <w:p w14:paraId="7F720745" w14:textId="77777777" w:rsidR="00622BC0" w:rsidRDefault="00826C5A">
      <w:pPr>
        <w:widowControl w:val="0"/>
        <w:tabs>
          <w:tab w:val="left" w:pos="360"/>
        </w:tabs>
        <w:autoSpaceDE w:val="0"/>
        <w:autoSpaceDN w:val="0"/>
        <w:adjustRightInd w:val="0"/>
        <w:spacing w:before="280" w:after="280"/>
        <w:ind w:right="-6"/>
        <w:jc w:val="both"/>
        <w:rPr>
          <w:rFonts w:ascii="Cambria" w:hAnsi="Cambria" w:cs="Cambria"/>
          <w:lang w:val="en-GB"/>
        </w:rPr>
      </w:pPr>
      <w:r>
        <w:rPr>
          <w:rFonts w:ascii="Cambria" w:hAnsi="Cambria" w:cs="Cambria"/>
          <w:lang w:val="en-GB"/>
        </w:rPr>
        <w:t xml:space="preserve">With sound data, policymakers can assess the role that environmental factors, such as societal attitudes and physical barriers, have on the experience of persons with disabilities. Importantly, data helps inform policies and programmes, facilitate the planning and monitoring of social services, and improve the participation and quality of life of persons with disabilities and their families. Data collection is crucial for rational disability policy-making in terms of design, monitoring, and reporting; the need for disability dis-aggregation in all data collection has been noted explicitly in SDG 17 of the SDGs. </w:t>
      </w:r>
    </w:p>
    <w:p w14:paraId="548DDF45" w14:textId="77777777" w:rsidR="00622BC0" w:rsidRDefault="00826C5A">
      <w:pPr>
        <w:widowControl w:val="0"/>
        <w:tabs>
          <w:tab w:val="left" w:pos="360"/>
        </w:tabs>
        <w:autoSpaceDE w:val="0"/>
        <w:autoSpaceDN w:val="0"/>
        <w:adjustRightInd w:val="0"/>
        <w:spacing w:before="280" w:after="280"/>
        <w:ind w:right="-6"/>
        <w:jc w:val="both"/>
        <w:rPr>
          <w:rFonts w:ascii="Cambria" w:hAnsi="Cambria" w:cs="Cambria"/>
          <w:lang w:val="en-GB"/>
        </w:rPr>
      </w:pPr>
      <w:r>
        <w:rPr>
          <w:rFonts w:ascii="Cambria" w:hAnsi="Cambria" w:cs="Cambria"/>
          <w:lang w:val="en-GB"/>
        </w:rPr>
        <w:t xml:space="preserve">The government’s partners need to implement systematic data collection; they should encourage the use of existing tools that are designed specifically for disability data and particularly for persons with disabilities to use them. Data collection should also include information about the barriers faced by persons with disabilities and not just about the prevalence of disability. </w:t>
      </w:r>
    </w:p>
    <w:p w14:paraId="61BB47FC" w14:textId="77777777" w:rsidR="00622BC0" w:rsidRDefault="00826C5A">
      <w:pPr>
        <w:widowControl w:val="0"/>
        <w:tabs>
          <w:tab w:val="left" w:pos="360"/>
        </w:tabs>
        <w:autoSpaceDE w:val="0"/>
        <w:autoSpaceDN w:val="0"/>
        <w:adjustRightInd w:val="0"/>
        <w:spacing w:before="280" w:after="280"/>
        <w:ind w:right="-6"/>
        <w:jc w:val="both"/>
        <w:rPr>
          <w:rFonts w:ascii="Cambria" w:hAnsi="Cambria" w:cs="Cambria"/>
          <w:lang w:val="en-GB"/>
        </w:rPr>
      </w:pPr>
      <w:r>
        <w:rPr>
          <w:rFonts w:ascii="Cambria" w:hAnsi="Cambria" w:cs="Cambria"/>
          <w:lang w:val="en-GB"/>
        </w:rPr>
        <w:t xml:space="preserve">The review of laws and policies to ensure compatibility with the CRPD and SDGs should be ongoing, as laws and policies that do not directly target persons with disabilities can have a significant, even disproportionate impact on them. All new legislation and amendments to existing legislation should be assessed for their impact on all persons with disabilities and according to the rights-based approach to legal reform that will strengthen the capacity of all stakeholders. </w:t>
      </w:r>
    </w:p>
    <w:p w14:paraId="68C57A4B" w14:textId="77777777" w:rsidR="00622BC0" w:rsidRDefault="00826C5A">
      <w:pPr>
        <w:widowControl w:val="0"/>
        <w:tabs>
          <w:tab w:val="left" w:pos="360"/>
        </w:tabs>
        <w:autoSpaceDE w:val="0"/>
        <w:autoSpaceDN w:val="0"/>
        <w:adjustRightInd w:val="0"/>
        <w:spacing w:before="280" w:after="280"/>
        <w:ind w:right="21"/>
        <w:jc w:val="both"/>
        <w:rPr>
          <w:rFonts w:ascii="Cambria" w:hAnsi="Cambria" w:cs="Cambria"/>
          <w:lang w:val="en-GB"/>
        </w:rPr>
      </w:pPr>
      <w:r>
        <w:rPr>
          <w:rFonts w:ascii="Cambria" w:hAnsi="Cambria" w:cs="Cambria"/>
          <w:lang w:val="en-GB"/>
        </w:rPr>
        <w:t>Information on the CRPD and its implementation should also be disseminated among children and parents, civil society and all sectors and levels of government, including creative initiatives to reach vulnerable groups, including persons with disabilities. Further, the country should seek to ensure that the CRPD is fully integrated into the curricula at all levels of the educational system, including relevant universities like law universities, universities of education, and teacher training.</w:t>
      </w:r>
    </w:p>
    <w:p w14:paraId="7AF170B9" w14:textId="77777777" w:rsidR="00622BC0" w:rsidRDefault="00826C5A">
      <w:pPr>
        <w:widowControl w:val="0"/>
        <w:tabs>
          <w:tab w:val="left" w:pos="360"/>
        </w:tabs>
        <w:autoSpaceDE w:val="0"/>
        <w:autoSpaceDN w:val="0"/>
        <w:adjustRightInd w:val="0"/>
        <w:spacing w:before="280" w:after="280"/>
        <w:ind w:right="21"/>
        <w:jc w:val="both"/>
        <w:rPr>
          <w:rFonts w:ascii="Cambria" w:hAnsi="Cambria" w:cs="Cambria"/>
          <w:lang w:val="en-GB"/>
        </w:rPr>
      </w:pPr>
      <w:r>
        <w:rPr>
          <w:rFonts w:ascii="Cambria" w:hAnsi="Cambria" w:cs="Cambria"/>
          <w:lang w:val="en-GB"/>
        </w:rPr>
        <w:t>More efforts would be made to promote the CRPD and SDGs through, among other things, the use of ethnic minority languages and traditional methods of communication in ethnic minority communities and areas. State actors should implement their commitments made under the CRPD and SDGs towards achieving inclusive education for all learners. In this regard, they should take note of the guidelines and clarifications provided explicitly by the CRPD Committee in its General Comment no. 4 on Article 24 about Right to Inclusive Education.</w:t>
      </w:r>
    </w:p>
    <w:p w14:paraId="1B7E757A" w14:textId="1DAF8B4D" w:rsidR="00622BC0" w:rsidRDefault="00826C5A">
      <w:pPr>
        <w:widowControl w:val="0"/>
        <w:tabs>
          <w:tab w:val="left" w:pos="360"/>
        </w:tabs>
        <w:autoSpaceDE w:val="0"/>
        <w:autoSpaceDN w:val="0"/>
        <w:adjustRightInd w:val="0"/>
        <w:spacing w:before="280" w:after="280"/>
        <w:ind w:right="-6"/>
        <w:jc w:val="both"/>
        <w:rPr>
          <w:rFonts w:ascii="Cambria" w:hAnsi="Cambria" w:cs="Cambria"/>
          <w:lang w:val="en-GB"/>
        </w:rPr>
      </w:pPr>
      <w:r>
        <w:rPr>
          <w:rFonts w:ascii="Cambria" w:hAnsi="Cambria" w:cs="Cambria"/>
          <w:lang w:val="en-GB"/>
        </w:rPr>
        <w:t>Systematic and on-going training programmes on human rights, including disability rights for state officials and parliamentarians, should be developed and conducted. In addition to such training programmes, specific modules on disability rights should be included in the curricula of professionals working with and for persons with disabilities, such as judges, lawyers, law enforcement personnel, teachers, school administrators, health personnel, psychologists and social workers, as well as local community leaders. Law enforcement agencies and CSOs, together with OPD</w:t>
      </w:r>
      <w:r w:rsidR="0067025E">
        <w:rPr>
          <w:rFonts w:ascii="Cambria" w:hAnsi="Cambria" w:cs="Cambria"/>
          <w:lang w:val="en-GB"/>
        </w:rPr>
        <w:t>s</w:t>
      </w:r>
      <w:r>
        <w:rPr>
          <w:rFonts w:ascii="Cambria" w:hAnsi="Cambria" w:cs="Cambria"/>
          <w:lang w:val="en-GB"/>
        </w:rPr>
        <w:t>, should work together to provide specialist assistance to persons with disabilities to combat crime and to seek appropriate remedies.</w:t>
      </w:r>
    </w:p>
    <w:p w14:paraId="5D6D7DFE" w14:textId="77777777" w:rsidR="00622BC0" w:rsidRDefault="00826C5A">
      <w:pPr>
        <w:widowControl w:val="0"/>
        <w:autoSpaceDE w:val="0"/>
        <w:autoSpaceDN w:val="0"/>
        <w:adjustRightInd w:val="0"/>
        <w:spacing w:after="200"/>
        <w:ind w:right="-6"/>
        <w:rPr>
          <w:rFonts w:ascii="Cambria" w:hAnsi="Cambria" w:cs="Cambria"/>
          <w:lang w:val="en-GB"/>
        </w:rPr>
      </w:pPr>
      <w:r>
        <w:rPr>
          <w:rFonts w:ascii="Calibri" w:hAnsi="Calibri" w:cs="Calibri"/>
          <w:lang w:val="en-GB"/>
        </w:rPr>
        <w:br w:type="page"/>
      </w:r>
    </w:p>
    <w:p w14:paraId="4C876DB6" w14:textId="77777777" w:rsidR="00622BC0" w:rsidRDefault="00826C5A">
      <w:pPr>
        <w:widowControl w:val="0"/>
        <w:autoSpaceDE w:val="0"/>
        <w:autoSpaceDN w:val="0"/>
        <w:adjustRightInd w:val="0"/>
        <w:spacing w:after="200"/>
        <w:ind w:right="-6"/>
        <w:jc w:val="center"/>
        <w:rPr>
          <w:rFonts w:ascii="Cambria" w:hAnsi="Cambria" w:cs="Cambria"/>
          <w:b/>
          <w:bCs/>
          <w:lang w:val="en-GB"/>
        </w:rPr>
      </w:pPr>
      <w:r>
        <w:rPr>
          <w:rFonts w:ascii="Cambria" w:hAnsi="Cambria" w:cs="Cambria"/>
          <w:b/>
          <w:bCs/>
          <w:lang w:val="en-GB"/>
        </w:rPr>
        <w:t>Chapter 6. How Thailand Achieve 2030 Agenda for Persons with Disabilities?</w:t>
      </w:r>
    </w:p>
    <w:p w14:paraId="0288C34D" w14:textId="77777777" w:rsidR="00622BC0" w:rsidRDefault="00826C5A">
      <w:pPr>
        <w:widowControl w:val="0"/>
        <w:autoSpaceDE w:val="0"/>
        <w:autoSpaceDN w:val="0"/>
        <w:adjustRightInd w:val="0"/>
        <w:spacing w:after="200"/>
        <w:ind w:right="-6"/>
        <w:jc w:val="center"/>
        <w:rPr>
          <w:rFonts w:ascii="Cambria" w:hAnsi="Cambria" w:cs="Cambria"/>
          <w:b/>
          <w:bCs/>
          <w:lang w:val="en-GB"/>
        </w:rPr>
      </w:pPr>
      <w:r>
        <w:rPr>
          <w:rFonts w:ascii="Cambria" w:hAnsi="Cambria" w:cs="Cambria"/>
          <w:b/>
          <w:bCs/>
          <w:lang w:val="en-GB"/>
        </w:rPr>
        <w:t xml:space="preserve">By: </w:t>
      </w:r>
      <w:proofErr w:type="spellStart"/>
      <w:r>
        <w:rPr>
          <w:rFonts w:ascii="Cambria" w:hAnsi="Cambria" w:cs="Cambria"/>
          <w:b/>
          <w:bCs/>
          <w:lang w:val="en-GB"/>
        </w:rPr>
        <w:t>Nantanoot</w:t>
      </w:r>
      <w:proofErr w:type="spellEnd"/>
      <w:r>
        <w:rPr>
          <w:rFonts w:ascii="Cambria" w:hAnsi="Cambria" w:cs="Cambria"/>
          <w:b/>
          <w:bCs/>
          <w:lang w:val="en-GB"/>
        </w:rPr>
        <w:t xml:space="preserve"> </w:t>
      </w:r>
      <w:proofErr w:type="spellStart"/>
      <w:r>
        <w:rPr>
          <w:rFonts w:ascii="Cambria" w:hAnsi="Cambria" w:cs="Cambria"/>
          <w:b/>
          <w:bCs/>
          <w:lang w:val="en-GB"/>
        </w:rPr>
        <w:t>Suwannawut</w:t>
      </w:r>
      <w:proofErr w:type="spellEnd"/>
    </w:p>
    <w:p w14:paraId="53B90ED4" w14:textId="77777777" w:rsidR="00622BC0" w:rsidRDefault="00622BC0">
      <w:pPr>
        <w:widowControl w:val="0"/>
        <w:autoSpaceDE w:val="0"/>
        <w:autoSpaceDN w:val="0"/>
        <w:adjustRightInd w:val="0"/>
        <w:spacing w:after="200"/>
        <w:ind w:right="-6"/>
        <w:rPr>
          <w:rFonts w:ascii="Cambria" w:hAnsi="Cambria" w:cs="Cambria"/>
          <w:lang w:val="en-GB"/>
        </w:rPr>
      </w:pPr>
    </w:p>
    <w:p w14:paraId="7D7ABB26" w14:textId="77777777" w:rsidR="00622BC0" w:rsidRDefault="00826C5A">
      <w:pPr>
        <w:widowControl w:val="0"/>
        <w:numPr>
          <w:ilvl w:val="0"/>
          <w:numId w:val="16"/>
        </w:numPr>
        <w:autoSpaceDE w:val="0"/>
        <w:autoSpaceDN w:val="0"/>
        <w:adjustRightInd w:val="0"/>
        <w:spacing w:before="40"/>
        <w:ind w:left="0" w:right="-6" w:firstLine="0"/>
        <w:rPr>
          <w:rFonts w:ascii="Cambria" w:hAnsi="Cambria" w:cs="Cambria"/>
          <w:b/>
          <w:bCs/>
          <w:lang w:val="en-GB"/>
        </w:rPr>
      </w:pPr>
      <w:r>
        <w:rPr>
          <w:rFonts w:ascii="Cambria" w:hAnsi="Cambria" w:cs="Cambria"/>
          <w:b/>
          <w:bCs/>
          <w:lang w:val="en-GB"/>
        </w:rPr>
        <w:t>Introduction</w:t>
      </w:r>
    </w:p>
    <w:p w14:paraId="686A935E" w14:textId="77777777" w:rsidR="00622BC0" w:rsidRDefault="00622BC0">
      <w:pPr>
        <w:widowControl w:val="0"/>
        <w:autoSpaceDE w:val="0"/>
        <w:autoSpaceDN w:val="0"/>
        <w:adjustRightInd w:val="0"/>
        <w:spacing w:after="200"/>
        <w:ind w:right="-6"/>
        <w:jc w:val="both"/>
        <w:rPr>
          <w:rFonts w:ascii="Cambria" w:hAnsi="Cambria" w:cs="Cambria"/>
          <w:lang w:val="en-GB"/>
        </w:rPr>
      </w:pPr>
    </w:p>
    <w:p w14:paraId="5BA47302"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rPr>
        <w:t>T</w:t>
      </w:r>
      <w:proofErr w:type="spellStart"/>
      <w:r>
        <w:rPr>
          <w:rFonts w:ascii="Cambria" w:hAnsi="Cambria" w:cs="Cambria"/>
          <w:lang w:val="en-GB"/>
        </w:rPr>
        <w:t>hailand</w:t>
      </w:r>
      <w:proofErr w:type="spellEnd"/>
      <w:r>
        <w:rPr>
          <w:rFonts w:ascii="Cambria" w:hAnsi="Cambria" w:cs="Cambria"/>
          <w:lang w:val="en-GB"/>
        </w:rPr>
        <w:t xml:space="preserve"> through its active participation in the CRPD Ad-Hoc Drafting Committee had been actively involved in the Convention from start to completion. Thereafter, the country was among the first to sign the CRPD on the opening date, 30 March 2007. The Thai Cabinet ratified the Convention on the 29 July 2008. </w:t>
      </w:r>
    </w:p>
    <w:p w14:paraId="4EDD0937"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One of the main CRPD outcomes was the 2007 enactment of the Persons with Disabilities Empowerment Act. Other persons with disabilities’ laws and policies in line with the CRPD came in quick order: the Thai Constitution B.E. 2560 (2017); the Empowerment of Persons with Disabilities Act B.E. 2550 (2007); and the Persons with Disabilities Education Act B.E. 2551 (2008). These laws and policies mainly have anti-discrimination provisions and guarantee access to social welfare and services for persons with disabilities. </w:t>
      </w:r>
    </w:p>
    <w:p w14:paraId="10B755A1" w14:textId="77777777" w:rsidR="00622BC0" w:rsidRDefault="00622BC0">
      <w:pPr>
        <w:widowControl w:val="0"/>
        <w:autoSpaceDE w:val="0"/>
        <w:autoSpaceDN w:val="0"/>
        <w:adjustRightInd w:val="0"/>
        <w:spacing w:after="200"/>
        <w:ind w:right="-6"/>
        <w:jc w:val="both"/>
        <w:rPr>
          <w:rFonts w:ascii="Cambria" w:hAnsi="Cambria" w:cs="Cambria"/>
          <w:lang w:val="en-GB"/>
        </w:rPr>
      </w:pPr>
    </w:p>
    <w:p w14:paraId="645CC260" w14:textId="77777777" w:rsidR="00622BC0" w:rsidRDefault="00826C5A">
      <w:pPr>
        <w:widowControl w:val="0"/>
        <w:numPr>
          <w:ilvl w:val="0"/>
          <w:numId w:val="16"/>
        </w:numPr>
        <w:autoSpaceDE w:val="0"/>
        <w:autoSpaceDN w:val="0"/>
        <w:adjustRightInd w:val="0"/>
        <w:spacing w:after="200"/>
        <w:ind w:left="0" w:right="-6" w:firstLine="0"/>
        <w:rPr>
          <w:rFonts w:ascii="Cambria" w:hAnsi="Cambria" w:cs="Cambria"/>
          <w:b/>
          <w:bCs/>
          <w:lang w:val="en-GB"/>
        </w:rPr>
      </w:pPr>
      <w:r>
        <w:rPr>
          <w:rFonts w:ascii="Cambria" w:hAnsi="Cambria" w:cs="Cambria"/>
          <w:b/>
          <w:bCs/>
          <w:lang w:val="en-GB"/>
        </w:rPr>
        <w:t>Preview Situation of Persons with Disabilities in Thailand</w:t>
      </w:r>
    </w:p>
    <w:p w14:paraId="5599C241"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2019 UNESCAP report showed that disability prevalence in Thailand was at 2.6%, a 0.4% increase from 2015 (UNESCAP, Disability at Glance, 2019) and implying a much lower percentage compared to the global 15% prevalence rate, according to </w:t>
      </w:r>
      <w:r>
        <w:rPr>
          <w:rFonts w:ascii="Cambria" w:hAnsi="Cambria" w:cs="Cambria"/>
        </w:rPr>
        <w:t>World Heart Organization (</w:t>
      </w:r>
      <w:r>
        <w:rPr>
          <w:rFonts w:ascii="Cambria" w:hAnsi="Cambria" w:cs="Cambria"/>
          <w:lang w:val="en-GB"/>
        </w:rPr>
        <w:t>WHO</w:t>
      </w:r>
      <w:r>
        <w:rPr>
          <w:rFonts w:ascii="Cambria" w:hAnsi="Cambria" w:cs="Cambria"/>
        </w:rPr>
        <w:t>)</w:t>
      </w:r>
      <w:r>
        <w:rPr>
          <w:rFonts w:ascii="Cambria" w:hAnsi="Cambria" w:cs="Cambria"/>
          <w:lang w:val="en-GB"/>
        </w:rPr>
        <w:t>. An earlier 2015 UNESCAP Report estimated that Thailand had 1.4 million persons with disabilities; women with disabilities and over 50 years old comprised a significant proportion. The Thai government submitted its first official report on the realisation of the CRPD in 2012.</w:t>
      </w:r>
    </w:p>
    <w:p w14:paraId="41AA0467"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report outlined the following signs of progress: increased accessibility, independent living, inclusive society, freedom of expression, education, health, employment and participation in political and public life. However, the report noted that challenges remained in the fields of humanitarian emergency preparedness and response, and access to justice for persons with disabilities (CRPD Thailand State Report, 2012).</w:t>
      </w:r>
    </w:p>
    <w:p w14:paraId="3277A9ED" w14:textId="727FD7DF"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Thailand’s second State Party report focused on employment, public management of the national fund for persons with disabilities, national action plan, role of the national human rights commission to the fulfilment of the rights of persons with disabilities, and the participation of persons with disabilities in realizing and monitoring compliance of the CRPD. On the other hand, OPD</w:t>
      </w:r>
      <w:r w:rsidR="0067025E">
        <w:rPr>
          <w:rFonts w:ascii="Cambria" w:hAnsi="Cambria" w:cs="Cambria"/>
          <w:lang w:val="en-GB"/>
        </w:rPr>
        <w:t>s</w:t>
      </w:r>
      <w:r>
        <w:rPr>
          <w:rFonts w:ascii="Cambria" w:hAnsi="Cambria" w:cs="Cambria"/>
          <w:lang w:val="en-GB"/>
        </w:rPr>
        <w:t xml:space="preserve"> in Thailand, represented by Disabilities Thailand and supported by the Thailand Research Institute for Empowerment of Persons with Disabilities Foundation, also in 2016 submitted a coordinated shadow report on CRPD implementation.</w:t>
      </w:r>
    </w:p>
    <w:p w14:paraId="37D927E7"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Thai government has consistently developed disability policies aimed at improving the quality of life of persons with disabilities and enhancing their dignity. The Department of Empowerment of Persons with Disabilities (DEP) in Ministry of Social Development and Human and Security (MSDW) was made the national focal point and coordinating body on CRPD for both the central and provincial administrations, as well as the liaison with multi-sectoral partnerships comprising governmental and non-governmental agencies (</w:t>
      </w:r>
      <w:proofErr w:type="spellStart"/>
      <w:r>
        <w:rPr>
          <w:rFonts w:ascii="Cambria" w:hAnsi="Cambria" w:cs="Cambria"/>
          <w:lang w:val="en-GB"/>
        </w:rPr>
        <w:t>Onanong</w:t>
      </w:r>
      <w:proofErr w:type="spellEnd"/>
      <w:r>
        <w:rPr>
          <w:rFonts w:ascii="Cambria" w:hAnsi="Cambria" w:cs="Cambria"/>
          <w:lang w:val="en-GB"/>
        </w:rPr>
        <w:t xml:space="preserve"> </w:t>
      </w:r>
      <w:proofErr w:type="spellStart"/>
      <w:r>
        <w:rPr>
          <w:rFonts w:ascii="Cambria" w:hAnsi="Cambria" w:cs="Cambria"/>
          <w:lang w:val="en-GB"/>
        </w:rPr>
        <w:t>Kamhaeng</w:t>
      </w:r>
      <w:proofErr w:type="spellEnd"/>
      <w:r>
        <w:rPr>
          <w:rFonts w:ascii="Cambria" w:hAnsi="Cambria" w:cs="Cambria"/>
          <w:lang w:val="en-GB"/>
        </w:rPr>
        <w:t>, 2019). The primary responsibilities of DEP are as follows:</w:t>
      </w:r>
    </w:p>
    <w:p w14:paraId="20DCA994" w14:textId="77777777" w:rsidR="00622BC0" w:rsidRDefault="00826C5A">
      <w:pPr>
        <w:widowControl w:val="0"/>
        <w:numPr>
          <w:ilvl w:val="0"/>
          <w:numId w:val="17"/>
        </w:numPr>
        <w:autoSpaceDE w:val="0"/>
        <w:autoSpaceDN w:val="0"/>
        <w:adjustRightInd w:val="0"/>
        <w:ind w:right="-6" w:hanging="450"/>
        <w:jc w:val="both"/>
        <w:rPr>
          <w:rFonts w:ascii="Cambria" w:hAnsi="Cambria" w:cs="Cambria"/>
          <w:lang w:val="en-GB"/>
        </w:rPr>
      </w:pPr>
      <w:r>
        <w:rPr>
          <w:rFonts w:ascii="Cambria" w:hAnsi="Cambria" w:cs="Cambria"/>
          <w:lang w:val="en-GB"/>
        </w:rPr>
        <w:t>To establish procedure, criteria, and road map to implement the CRPD;</w:t>
      </w:r>
    </w:p>
    <w:p w14:paraId="4C625261" w14:textId="77777777" w:rsidR="00622BC0" w:rsidRDefault="00826C5A">
      <w:pPr>
        <w:widowControl w:val="0"/>
        <w:numPr>
          <w:ilvl w:val="0"/>
          <w:numId w:val="17"/>
        </w:numPr>
        <w:autoSpaceDE w:val="0"/>
        <w:autoSpaceDN w:val="0"/>
        <w:adjustRightInd w:val="0"/>
        <w:ind w:right="-6" w:hanging="450"/>
        <w:jc w:val="both"/>
        <w:rPr>
          <w:rFonts w:ascii="Cambria" w:hAnsi="Cambria" w:cs="Cambria"/>
          <w:lang w:val="en-GB"/>
        </w:rPr>
      </w:pPr>
      <w:r>
        <w:rPr>
          <w:rFonts w:ascii="Cambria" w:hAnsi="Cambria" w:cs="Cambria"/>
          <w:lang w:val="en-GB"/>
        </w:rPr>
        <w:t>To coordinate advocacy for and monitor the CRPD implementation in addition to making recommendations to stakeholders;</w:t>
      </w:r>
    </w:p>
    <w:p w14:paraId="72FF353E" w14:textId="77777777" w:rsidR="00622BC0" w:rsidRDefault="00826C5A">
      <w:pPr>
        <w:widowControl w:val="0"/>
        <w:numPr>
          <w:ilvl w:val="0"/>
          <w:numId w:val="17"/>
        </w:numPr>
        <w:autoSpaceDE w:val="0"/>
        <w:autoSpaceDN w:val="0"/>
        <w:adjustRightInd w:val="0"/>
        <w:ind w:right="-6" w:hanging="450"/>
        <w:jc w:val="both"/>
        <w:rPr>
          <w:rFonts w:ascii="Cambria" w:hAnsi="Cambria" w:cs="Cambria"/>
          <w:lang w:val="en-GB"/>
        </w:rPr>
      </w:pPr>
      <w:r>
        <w:rPr>
          <w:rFonts w:ascii="Cambria" w:hAnsi="Cambria" w:cs="Cambria"/>
          <w:lang w:val="en-GB"/>
        </w:rPr>
        <w:t>To promote civil society participation, particularly by persons with disabilities and OPDs, to undertake sustained activity and monitoring of the CRPD;</w:t>
      </w:r>
    </w:p>
    <w:p w14:paraId="43AA7BD7" w14:textId="77777777" w:rsidR="00622BC0" w:rsidRDefault="00826C5A">
      <w:pPr>
        <w:widowControl w:val="0"/>
        <w:numPr>
          <w:ilvl w:val="0"/>
          <w:numId w:val="17"/>
        </w:numPr>
        <w:autoSpaceDE w:val="0"/>
        <w:autoSpaceDN w:val="0"/>
        <w:adjustRightInd w:val="0"/>
        <w:ind w:right="-6" w:hanging="450"/>
        <w:jc w:val="both"/>
        <w:rPr>
          <w:rFonts w:ascii="Cambria" w:hAnsi="Cambria" w:cs="Cambria"/>
          <w:lang w:val="en-GB"/>
        </w:rPr>
      </w:pPr>
      <w:r>
        <w:rPr>
          <w:rFonts w:ascii="Cambria" w:hAnsi="Cambria" w:cs="Cambria"/>
          <w:lang w:val="en-GB"/>
        </w:rPr>
        <w:t>To support measurable implementation of the CRPD from policy to practice;</w:t>
      </w:r>
    </w:p>
    <w:p w14:paraId="7E5DCBBB" w14:textId="77777777" w:rsidR="00622BC0" w:rsidRDefault="00826C5A">
      <w:pPr>
        <w:widowControl w:val="0"/>
        <w:numPr>
          <w:ilvl w:val="0"/>
          <w:numId w:val="17"/>
        </w:numPr>
        <w:autoSpaceDE w:val="0"/>
        <w:autoSpaceDN w:val="0"/>
        <w:adjustRightInd w:val="0"/>
        <w:spacing w:after="200"/>
        <w:ind w:right="-6" w:hanging="450"/>
        <w:jc w:val="both"/>
        <w:rPr>
          <w:rFonts w:ascii="Cambria" w:hAnsi="Cambria" w:cs="Cambria"/>
          <w:lang w:val="en-GB"/>
        </w:rPr>
      </w:pPr>
      <w:r>
        <w:rPr>
          <w:rFonts w:ascii="Cambria" w:hAnsi="Cambria" w:cs="Cambria"/>
          <w:lang w:val="en-GB"/>
        </w:rPr>
        <w:t>To report the progress and the implementation of the CRPD to the relevant agencies;</w:t>
      </w:r>
    </w:p>
    <w:p w14:paraId="6F5DC2F6"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Moreover, the National Committee for the Empowerment of Persons with Disabilities chaired by the Prime Minister was established as an authority to formulate policies and regulations. The government also set up a sub-committee in every province to implement policies and enhance the protection of persons with disabilities at the local level.</w:t>
      </w:r>
    </w:p>
    <w:p w14:paraId="7B0D4549"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DEP continues to collaborate with various government agencies and the private sector, civil societies, and OPDs in particular, to implement the CRPD in Thailand. These bodies include the Ministry of Defence, Ministry of Foreign Affairs, Ministry of Transport, Ministry of Digital Economy and Society, Ministry of Interior, Ministry of Justice, Ministry of </w:t>
      </w:r>
      <w:r w:rsidRPr="00826C5A">
        <w:rPr>
          <w:rFonts w:ascii="Cambria" w:hAnsi="Cambria" w:cs="Cambria"/>
          <w:lang w:val="en-GB"/>
        </w:rPr>
        <w:t xml:space="preserve">Labour, Ministry of Education and Ministry of Public Health. Others are Office of the National Security Council, National Statistical Office, Office of the National Human rights Commission of Thailand and the National </w:t>
      </w:r>
      <w:r w:rsidRPr="00826C5A">
        <w:rPr>
          <w:rFonts w:ascii="Cambria" w:hAnsi="Cambria" w:cs="Cambria"/>
          <w:i/>
          <w:iCs/>
          <w:lang w:val="en-GB"/>
        </w:rPr>
        <w:t>Council</w:t>
      </w:r>
      <w:r w:rsidRPr="00826C5A">
        <w:rPr>
          <w:rFonts w:ascii="Cambria" w:hAnsi="Cambria" w:cs="Cambria"/>
          <w:lang w:val="en-GB"/>
        </w:rPr>
        <w:t xml:space="preserve"> on </w:t>
      </w:r>
      <w:r w:rsidRPr="00826C5A">
        <w:rPr>
          <w:rFonts w:ascii="Cambria" w:hAnsi="Cambria" w:cs="Cambria"/>
          <w:i/>
          <w:iCs/>
          <w:lang w:val="en-GB"/>
        </w:rPr>
        <w:t>Social Welfare</w:t>
      </w:r>
      <w:r w:rsidRPr="00826C5A">
        <w:rPr>
          <w:rFonts w:ascii="Cambria" w:hAnsi="Cambria" w:cs="Cambria"/>
          <w:lang w:val="en-GB"/>
        </w:rPr>
        <w:t xml:space="preserve"> of Thailand Under Patronage, Thailand Association of the Blind (TAB). Notable include the National Association of the Deaf in Thailand (NADT), Association of the Physically Handicapped of Thailand (APHT), Association for Persons with Intellectual Disability</w:t>
      </w:r>
      <w:r>
        <w:rPr>
          <w:rFonts w:ascii="Cambria" w:hAnsi="Cambria" w:cs="Cambria"/>
          <w:lang w:val="en-GB"/>
        </w:rPr>
        <w:t xml:space="preserve"> of Thailand, Association for the Mentally Ill of Thailand, Association of Parents for Thai Persons with Autism, and the Disability Thailand.</w:t>
      </w:r>
    </w:p>
    <w:p w14:paraId="4727ED57" w14:textId="77777777" w:rsidR="00622BC0" w:rsidRDefault="00622BC0">
      <w:pPr>
        <w:widowControl w:val="0"/>
        <w:autoSpaceDE w:val="0"/>
        <w:autoSpaceDN w:val="0"/>
        <w:adjustRightInd w:val="0"/>
        <w:spacing w:after="200"/>
        <w:ind w:right="-6"/>
        <w:jc w:val="both"/>
        <w:rPr>
          <w:rFonts w:ascii="Cambria" w:hAnsi="Cambria" w:cs="Cambria"/>
          <w:lang w:val="en-GB"/>
        </w:rPr>
      </w:pPr>
    </w:p>
    <w:p w14:paraId="61C90B21"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Regarding SDGs, Thailand has a practical framework of “Sufficiency Economy,” whose aim is to drive the achievement of the SDGs. The office of the National Economic and Social Development Council is the Thai focal point for SDGs. The National Committee for Sustainable Development (CSD), chaired by the Prime Minister, is the main responsible body for monitoring the implementation of the SDGs in Thailand. The committee and relevant agencies prioritise collaboration with the public, private sector, and the civil society for development and cooperation. </w:t>
      </w:r>
    </w:p>
    <w:p w14:paraId="78BCD9BC" w14:textId="775F8739"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Despite such wide collaboration, only four people in the 38 member committee represented the civil society, and OPD</w:t>
      </w:r>
      <w:r w:rsidR="0067025E">
        <w:rPr>
          <w:rFonts w:ascii="Cambria" w:hAnsi="Cambria" w:cs="Cambria"/>
          <w:lang w:val="en-GB"/>
        </w:rPr>
        <w:t>s</w:t>
      </w:r>
      <w:r>
        <w:rPr>
          <w:rFonts w:ascii="Cambria" w:hAnsi="Cambria" w:cs="Cambria"/>
          <w:lang w:val="en-GB"/>
        </w:rPr>
        <w:t xml:space="preserve"> </w:t>
      </w:r>
      <w:proofErr w:type="spellStart"/>
      <w:r>
        <w:rPr>
          <w:rFonts w:ascii="Cambria" w:hAnsi="Cambria" w:cs="Cambria"/>
          <w:lang w:val="en-GB"/>
        </w:rPr>
        <w:t>w</w:t>
      </w:r>
      <w:r w:rsidR="0067025E">
        <w:rPr>
          <w:rFonts w:ascii="Cambria" w:hAnsi="Cambria" w:cs="Cambria"/>
          <w:lang w:val="en-GB"/>
        </w:rPr>
        <w:t>er</w:t>
      </w:r>
      <w:proofErr w:type="spellEnd"/>
      <w:r>
        <w:rPr>
          <w:rFonts w:ascii="Cambria" w:hAnsi="Cambria" w:cs="Cambria"/>
          <w:lang w:val="en-GB"/>
        </w:rPr>
        <w:t xml:space="preserve"> not represented (Open Development Thailand, 2018). From 2017-2018, however, the government established three additional committees; namely, </w:t>
      </w:r>
    </w:p>
    <w:p w14:paraId="7FF9FEF3" w14:textId="77777777" w:rsidR="00622BC0" w:rsidRDefault="00826C5A">
      <w:pPr>
        <w:widowControl w:val="0"/>
        <w:numPr>
          <w:ilvl w:val="0"/>
          <w:numId w:val="18"/>
        </w:numPr>
        <w:autoSpaceDE w:val="0"/>
        <w:autoSpaceDN w:val="0"/>
        <w:adjustRightInd w:val="0"/>
        <w:spacing w:after="200"/>
        <w:ind w:left="960" w:right="-6" w:hanging="425"/>
        <w:rPr>
          <w:rFonts w:ascii="Cambria" w:hAnsi="Cambria" w:cs="Cambria"/>
          <w:lang w:val="en-GB"/>
        </w:rPr>
      </w:pPr>
      <w:r>
        <w:rPr>
          <w:rFonts w:ascii="Cambria" w:hAnsi="Cambria" w:cs="Cambria"/>
          <w:lang w:val="en-GB"/>
        </w:rPr>
        <w:t>The Steering Committee on Country Policies, focusing on the country reform agenda and sustainable development goals at the micro-level;</w:t>
      </w:r>
    </w:p>
    <w:p w14:paraId="34B6A1A5" w14:textId="77777777" w:rsidR="00622BC0" w:rsidRDefault="00826C5A">
      <w:pPr>
        <w:widowControl w:val="0"/>
        <w:numPr>
          <w:ilvl w:val="0"/>
          <w:numId w:val="18"/>
        </w:numPr>
        <w:autoSpaceDE w:val="0"/>
        <w:autoSpaceDN w:val="0"/>
        <w:adjustRightInd w:val="0"/>
        <w:spacing w:after="200"/>
        <w:ind w:left="960" w:right="-6" w:hanging="425"/>
        <w:rPr>
          <w:rFonts w:ascii="Cambria" w:hAnsi="Cambria" w:cs="Cambria"/>
          <w:lang w:val="en-GB"/>
        </w:rPr>
      </w:pPr>
      <w:r>
        <w:rPr>
          <w:rFonts w:ascii="Cambria" w:hAnsi="Cambria" w:cs="Cambria"/>
          <w:lang w:val="en-GB"/>
        </w:rPr>
        <w:t>The Committee on Capacity Building of the Local Community;</w:t>
      </w:r>
    </w:p>
    <w:p w14:paraId="5D640A09" w14:textId="77777777" w:rsidR="00622BC0" w:rsidRDefault="00826C5A">
      <w:pPr>
        <w:widowControl w:val="0"/>
        <w:numPr>
          <w:ilvl w:val="0"/>
          <w:numId w:val="18"/>
        </w:numPr>
        <w:autoSpaceDE w:val="0"/>
        <w:autoSpaceDN w:val="0"/>
        <w:adjustRightInd w:val="0"/>
        <w:spacing w:after="200"/>
        <w:ind w:left="960" w:right="-6" w:hanging="425"/>
        <w:rPr>
          <w:rFonts w:ascii="Cambria" w:hAnsi="Cambria" w:cs="Cambria"/>
          <w:lang w:val="en-GB"/>
        </w:rPr>
      </w:pPr>
      <w:r>
        <w:rPr>
          <w:rFonts w:ascii="Cambria" w:hAnsi="Cambria" w:cs="Cambria"/>
          <w:lang w:val="en-GB"/>
        </w:rPr>
        <w:t xml:space="preserve">The Committee on Thailand Sustainable Project and Economy Development at the Grassroots Level. </w:t>
      </w:r>
    </w:p>
    <w:p w14:paraId="61E1E5F7" w14:textId="26D39802"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These new committees provide more opportunities for the communities and CSOs, including OPD</w:t>
      </w:r>
      <w:r w:rsidR="0067025E">
        <w:rPr>
          <w:rFonts w:ascii="Cambria" w:hAnsi="Cambria" w:cs="Cambria"/>
          <w:lang w:val="en-GB"/>
        </w:rPr>
        <w:t>s</w:t>
      </w:r>
      <w:r>
        <w:rPr>
          <w:rFonts w:ascii="Cambria" w:hAnsi="Cambria" w:cs="Cambria"/>
          <w:lang w:val="en-GB"/>
        </w:rPr>
        <w:t>, to work with the government on specific issues of interest. The focus of the “Sufficiency Economy” framework is sustainability, which has been the principle of the National Economic and Social Development Plan since 2002. Likewise, the SDGs have been integrated into the 20-year Thai National Strategy, the B.E. 2560-2579 (2017-2036), the 12</w:t>
      </w:r>
      <w:r>
        <w:rPr>
          <w:rFonts w:ascii="Cambria" w:hAnsi="Cambria" w:cs="Cambria"/>
          <w:vertAlign w:val="superscript"/>
          <w:lang w:val="en-GB"/>
        </w:rPr>
        <w:t>th</w:t>
      </w:r>
      <w:r>
        <w:rPr>
          <w:rFonts w:ascii="Cambria" w:hAnsi="Cambria" w:cs="Cambria"/>
          <w:lang w:val="en-GB"/>
        </w:rPr>
        <w:t xml:space="preserve"> National Economic and Social Development Plan B.E. 2560-2564 (2017-2021), as well as the Thailand 4.0 policy. As a result, all plans and budgets of government agencies must be compliant with the SDGs. </w:t>
      </w:r>
    </w:p>
    <w:p w14:paraId="324027BF"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Thailand achieved several MDG targets, such as those on poverty eradication, education, gender equality, and health. Looking ahead towards the realisation of SDGs, the government continues to implement development policies in a way that helps to narrow gaps among people and empower vulnerable and disadvantage groups, including persons with disabilities. The 12</w:t>
      </w:r>
      <w:r>
        <w:rPr>
          <w:rFonts w:ascii="Cambria" w:hAnsi="Cambria" w:cs="Cambria"/>
          <w:vertAlign w:val="superscript"/>
          <w:lang w:val="en-GB"/>
        </w:rPr>
        <w:t>th</w:t>
      </w:r>
      <w:r>
        <w:rPr>
          <w:rFonts w:ascii="Cambria" w:hAnsi="Cambria" w:cs="Cambria"/>
          <w:lang w:val="en-GB"/>
        </w:rPr>
        <w:t xml:space="preserve"> National Economic and Social Development Plan (2017-2021) and the 3</w:t>
      </w:r>
      <w:r>
        <w:rPr>
          <w:rFonts w:ascii="Cambria" w:hAnsi="Cambria" w:cs="Cambria"/>
          <w:vertAlign w:val="superscript"/>
          <w:lang w:val="en-GB"/>
        </w:rPr>
        <w:t>rd</w:t>
      </w:r>
      <w:r>
        <w:rPr>
          <w:rFonts w:ascii="Cambria" w:hAnsi="Cambria" w:cs="Cambria"/>
          <w:lang w:val="en-GB"/>
        </w:rPr>
        <w:t xml:space="preserve"> National Human Rights Plan (2014-2018) also include the SDGs frameworks for persons with disabilities. </w:t>
      </w:r>
    </w:p>
    <w:p w14:paraId="62419D41"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Thai government first reported its implementation of SDGs in 2017. The report to HLPF on Sustainable Development in New York would note that Thailand had adopted two main themes for the SDGs implementation; namely, “localizing the SDGs” and “stakeholder engagement” (Thailand VNR Report, 2018).</w:t>
      </w:r>
    </w:p>
    <w:p w14:paraId="0A3AC2C6" w14:textId="77777777" w:rsidR="00622BC0" w:rsidRDefault="00622BC0">
      <w:pPr>
        <w:widowControl w:val="0"/>
        <w:autoSpaceDE w:val="0"/>
        <w:autoSpaceDN w:val="0"/>
        <w:adjustRightInd w:val="0"/>
        <w:spacing w:after="200"/>
        <w:ind w:right="-6"/>
        <w:jc w:val="both"/>
        <w:rPr>
          <w:rFonts w:ascii="Cambria" w:hAnsi="Cambria" w:cs="Cambria"/>
          <w:lang w:val="en-GB"/>
        </w:rPr>
      </w:pPr>
    </w:p>
    <w:p w14:paraId="0B4ED896"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process of this VNR report was inclusive as it was owned by multiple-stakeholders and sectors, led by the Taskforce on Reporting the Implementation of the 2030 Agenda. Regarding the monitoring of SDG projects, three components are involved; namely, strategies that apply the SDGs; programmes with a specific time frame; and monitoring and evaluation mechanisms that apply indicators developed by the United Nations or other agencies. The Thai VNR is one of the mechanisms to implement SDGs all stakeholders should participate in it; yet, unfortunately, persons with disabilities were not sufficiently involved in the previous report. </w:t>
      </w:r>
    </w:p>
    <w:p w14:paraId="6AD79DE0"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Regarding policy background, the Thailand government endorsed many plans to promote quality life for persons with disabilities. The National Plan on Empowerment of Persons with disabilities (Volume V) B.E. 2560-2564 (2017-2021) has the vision to enhance persons with disabilities’ to access their rights and live independently in an inclusive and sustainable society. The National Plan on Empowerment of Women with Disabilities Volume II 2560-2564 (2017-2021) marked a significant milestone in the effort to protect the rights of approximately 944,134 women and girls with disabilities in Thailand. The latest instrument underway is the National Plan on Disability Inclusive Disaster Risk and Reduction Volume I B.E. 2560-2564 (2017-2021). The plan’s purpose is to protect the lives of persons with disabilities and their assistants from disasters and emergencies that have been frequent in Thailand and the Southeast Asia region. In this regard, the government emphasises that both the public and private sectors should get involved in the monitoring and evaluation mechanisms at all levels, aside from the National Committee for the Empowerment of Persons with Disabilities. </w:t>
      </w:r>
    </w:p>
    <w:p w14:paraId="6CD07ABB" w14:textId="77777777" w:rsidR="00622BC0" w:rsidRDefault="00622BC0">
      <w:pPr>
        <w:widowControl w:val="0"/>
        <w:autoSpaceDE w:val="0"/>
        <w:autoSpaceDN w:val="0"/>
        <w:adjustRightInd w:val="0"/>
        <w:spacing w:after="200"/>
        <w:ind w:right="-6" w:hanging="720"/>
        <w:jc w:val="both"/>
        <w:rPr>
          <w:rFonts w:ascii="Cambria" w:hAnsi="Cambria" w:cs="Cambria"/>
          <w:lang w:val="en-GB"/>
        </w:rPr>
      </w:pPr>
    </w:p>
    <w:p w14:paraId="1501488E"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rPr>
        <w:t xml:space="preserve">3. </w:t>
      </w:r>
      <w:r>
        <w:rPr>
          <w:rFonts w:ascii="Cambria" w:hAnsi="Cambria" w:cs="Cambria"/>
          <w:b/>
          <w:bCs/>
        </w:rPr>
        <w:tab/>
        <w:t>S</w:t>
      </w:r>
      <w:r>
        <w:rPr>
          <w:rFonts w:ascii="Cambria" w:hAnsi="Cambria" w:cs="Cambria"/>
          <w:b/>
          <w:bCs/>
          <w:lang w:val="en-GB"/>
        </w:rPr>
        <w:t>DG Goal 3 - Health and Well-being</w:t>
      </w:r>
    </w:p>
    <w:p w14:paraId="6D49235C"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Policy and Regulations</w:t>
      </w:r>
    </w:p>
    <w:p w14:paraId="29DE6DF8" w14:textId="3A759EB1"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Constitution of the Kingdom of Thailand B.E. 2560 (2017) in Section 51 guarantees rights to health services and welfare. It states that a person shall enjoy equal rights to standard public health services, and indigent persons shall have the right to receive free medical treatment at state-run hospitals. The supreme law requires the state to promptly prevent and eradicate harmful contagious diseases without charge to the public. Public health services, therefore, include health promotion, prevention and eradication of harmful, contagious diseases, as well as medical treatment or rehabilitation upon the occurrence thereof. The state is to continuously improve public health services up to the standards and quality as may be needed by persons with disabilities. </w:t>
      </w:r>
    </w:p>
    <w:p w14:paraId="4CE2D6D9"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National Health Security Act B.E. 2545 (2002) Section 5 and 6 and the Regulation of National Committee for Health Security on the Rights to Access to Public Health Services of Veteran and the Disabled B.E. 2556 (2013) state that holders of health insurance cards for persons with disabilities (T74) shall receive free health services at public hospitals where they are registered or, in emergency, any other public hospital.</w:t>
      </w:r>
    </w:p>
    <w:p w14:paraId="3559242A"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Community level health facilities offer only essential care services. Thus, the government should set up more state level public hospitals at this level, at par with those at provincial level, to provide, for example, assistive devices, rehabilitation and intervention services. </w:t>
      </w:r>
    </w:p>
    <w:p w14:paraId="37CD3739" w14:textId="1E7B59C6"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2005 the government established the Committee on the Health of Persons with Disabilities as the supporting mechanism for collaboration with OPD</w:t>
      </w:r>
      <w:r w:rsidR="0067025E">
        <w:rPr>
          <w:rFonts w:ascii="Cambria" w:hAnsi="Cambria" w:cs="Cambria"/>
          <w:lang w:val="en-GB"/>
        </w:rPr>
        <w:t>s</w:t>
      </w:r>
      <w:r>
        <w:rPr>
          <w:rFonts w:ascii="Cambria" w:hAnsi="Cambria" w:cs="Cambria"/>
          <w:lang w:val="en-GB"/>
        </w:rPr>
        <w:t xml:space="preserve"> on health issues. The responsibilities of the committee are as follows (the National Health General Assembly, 2006):</w:t>
      </w:r>
    </w:p>
    <w:p w14:paraId="56CC68FC" w14:textId="77777777" w:rsidR="00622BC0" w:rsidRDefault="00826C5A">
      <w:pPr>
        <w:widowControl w:val="0"/>
        <w:numPr>
          <w:ilvl w:val="0"/>
          <w:numId w:val="19"/>
        </w:numPr>
        <w:autoSpaceDE w:val="0"/>
        <w:autoSpaceDN w:val="0"/>
        <w:adjustRightInd w:val="0"/>
        <w:spacing w:after="200"/>
        <w:ind w:left="945" w:right="-6" w:hanging="465"/>
        <w:jc w:val="both"/>
        <w:rPr>
          <w:rFonts w:ascii="Cambria" w:hAnsi="Cambria" w:cs="Cambria"/>
          <w:lang w:val="en-GB"/>
        </w:rPr>
      </w:pPr>
      <w:r>
        <w:rPr>
          <w:rFonts w:ascii="Cambria" w:hAnsi="Cambria" w:cs="Cambria"/>
          <w:lang w:val="en-GB"/>
        </w:rPr>
        <w:t>Develop policies and strategies on health issues for persons with disabilities to be proposed to the national committee on health system reform;</w:t>
      </w:r>
    </w:p>
    <w:p w14:paraId="7AE47F3C" w14:textId="77777777" w:rsidR="00622BC0" w:rsidRDefault="00826C5A">
      <w:pPr>
        <w:widowControl w:val="0"/>
        <w:numPr>
          <w:ilvl w:val="0"/>
          <w:numId w:val="19"/>
        </w:numPr>
        <w:autoSpaceDE w:val="0"/>
        <w:autoSpaceDN w:val="0"/>
        <w:adjustRightInd w:val="0"/>
        <w:spacing w:after="200"/>
        <w:ind w:left="945" w:right="-6" w:hanging="465"/>
        <w:jc w:val="both"/>
        <w:rPr>
          <w:rFonts w:ascii="Cambria" w:hAnsi="Cambria" w:cs="Cambria"/>
          <w:lang w:val="en-GB"/>
        </w:rPr>
      </w:pPr>
      <w:r>
        <w:rPr>
          <w:rFonts w:ascii="Cambria" w:hAnsi="Cambria" w:cs="Cambria"/>
          <w:lang w:val="en-GB"/>
        </w:rPr>
        <w:t>Support research and knowledge development towards improving the policies and strategies on health issues for persons with disabilities;</w:t>
      </w:r>
    </w:p>
    <w:p w14:paraId="2AF20C05" w14:textId="77777777" w:rsidR="00622BC0" w:rsidRDefault="00826C5A">
      <w:pPr>
        <w:widowControl w:val="0"/>
        <w:numPr>
          <w:ilvl w:val="0"/>
          <w:numId w:val="19"/>
        </w:numPr>
        <w:autoSpaceDE w:val="0"/>
        <w:autoSpaceDN w:val="0"/>
        <w:adjustRightInd w:val="0"/>
        <w:spacing w:after="200"/>
        <w:ind w:left="945" w:right="-6" w:hanging="465"/>
        <w:jc w:val="both"/>
        <w:rPr>
          <w:rFonts w:ascii="Cambria" w:hAnsi="Cambria" w:cs="Cambria"/>
          <w:lang w:val="en-GB"/>
        </w:rPr>
      </w:pPr>
      <w:r>
        <w:rPr>
          <w:rFonts w:ascii="Cambria" w:hAnsi="Cambria" w:cs="Cambria"/>
          <w:lang w:val="en-GB"/>
        </w:rPr>
        <w:t>Collaborate with other stakeholders on implementing stipulated policies and strategies ;</w:t>
      </w:r>
    </w:p>
    <w:p w14:paraId="22C3F2F6" w14:textId="77777777" w:rsidR="00622BC0" w:rsidRDefault="00826C5A">
      <w:pPr>
        <w:widowControl w:val="0"/>
        <w:numPr>
          <w:ilvl w:val="0"/>
          <w:numId w:val="19"/>
        </w:numPr>
        <w:autoSpaceDE w:val="0"/>
        <w:autoSpaceDN w:val="0"/>
        <w:adjustRightInd w:val="0"/>
        <w:spacing w:after="200"/>
        <w:ind w:left="945" w:right="-6" w:hanging="465"/>
        <w:jc w:val="both"/>
        <w:rPr>
          <w:rFonts w:ascii="Cambria" w:hAnsi="Cambria" w:cs="Cambria"/>
          <w:lang w:val="en-GB"/>
        </w:rPr>
      </w:pPr>
      <w:r>
        <w:rPr>
          <w:rFonts w:ascii="Cambria" w:hAnsi="Cambria" w:cs="Cambria"/>
          <w:lang w:val="en-GB"/>
        </w:rPr>
        <w:t>Continuously and systematically link and support mechanisms for assembling health issues of persons with disabilities;</w:t>
      </w:r>
    </w:p>
    <w:p w14:paraId="524C845C" w14:textId="77777777" w:rsidR="00622BC0" w:rsidRDefault="00826C5A">
      <w:pPr>
        <w:widowControl w:val="0"/>
        <w:numPr>
          <w:ilvl w:val="0"/>
          <w:numId w:val="19"/>
        </w:numPr>
        <w:autoSpaceDE w:val="0"/>
        <w:autoSpaceDN w:val="0"/>
        <w:adjustRightInd w:val="0"/>
        <w:spacing w:after="200"/>
        <w:ind w:left="945" w:right="-6" w:hanging="465"/>
        <w:jc w:val="both"/>
        <w:rPr>
          <w:rFonts w:ascii="Cambria" w:hAnsi="Cambria" w:cs="Cambria"/>
          <w:lang w:val="en-GB"/>
        </w:rPr>
      </w:pPr>
      <w:r>
        <w:rPr>
          <w:rFonts w:ascii="Cambria" w:hAnsi="Cambria" w:cs="Cambria"/>
          <w:lang w:val="en-GB"/>
        </w:rPr>
        <w:t>Work on other relevant issues assigned by the national committee on health system reform.</w:t>
      </w:r>
    </w:p>
    <w:p w14:paraId="5C7E91B7"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Implementation and Programmes</w:t>
      </w:r>
    </w:p>
    <w:p w14:paraId="7EA90094"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In Thailand, the disability card covers access to medical care at any public health facility and private hospitals registered under the health insurance unit. Covered services include those listed in the figure below: </w:t>
      </w:r>
    </w:p>
    <w:p w14:paraId="34882B92"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Figure 12 Services of The Sirindhorn National Medical Rehabilitation Institute in Thailand</w:t>
      </w:r>
    </w:p>
    <w:p w14:paraId="48E444D9" w14:textId="77777777" w:rsidR="00622BC0" w:rsidRDefault="00826C5A">
      <w:pPr>
        <w:widowControl w:val="0"/>
        <w:autoSpaceDE w:val="0"/>
        <w:autoSpaceDN w:val="0"/>
        <w:adjustRightInd w:val="0"/>
        <w:spacing w:after="200"/>
        <w:ind w:right="-6"/>
        <w:jc w:val="both"/>
        <w:rPr>
          <w:rFonts w:ascii="Cambria" w:hAnsi="Cambria" w:cs="Cambria"/>
          <w:lang w:val="en-GB"/>
        </w:rPr>
      </w:pPr>
      <w:r>
        <w:rPr>
          <w:noProof/>
          <w:lang w:val="en-GB"/>
        </w:rPr>
        <w:drawing>
          <wp:inline distT="0" distB="0" distL="0" distR="0" wp14:anchorId="247A13EE" wp14:editId="7A5B586A">
            <wp:extent cx="5270500" cy="2177415"/>
            <wp:effectExtent l="0" t="0" r="0" b="0"/>
            <wp:docPr id="42816" name="Picture 42816"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42816" name="Picture 42816" descr="A screenshot of a cell phone&#10;&#10;Description automatically generated"/>
                    <pic:cNvPicPr/>
                  </pic:nvPicPr>
                  <pic:blipFill>
                    <a:blip r:embed="rId78"/>
                    <a:stretch>
                      <a:fillRect/>
                    </a:stretch>
                  </pic:blipFill>
                  <pic:spPr>
                    <a:xfrm>
                      <a:off x="0" y="0"/>
                      <a:ext cx="5270500" cy="2177777"/>
                    </a:xfrm>
                    <a:prstGeom prst="rect">
                      <a:avLst/>
                    </a:prstGeom>
                  </pic:spPr>
                </pic:pic>
              </a:graphicData>
            </a:graphic>
          </wp:inline>
        </w:drawing>
      </w:r>
    </w:p>
    <w:p w14:paraId="783202A2"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Sirindhorn National Medical Rehabilitation Institute under the Department of Medical Services in the Ministry of Public Health is charged with providing high standard quality services and developing rehabilitation systems, as a model for the rest of the country. The Institute also serves as the research centre for technologies and innovation on medical rehabilitation for persons with disabilities. In addition, it functions as an academic unit, coordinates medical doctors and participates in several legislative committees in the following areas: </w:t>
      </w:r>
    </w:p>
    <w:p w14:paraId="319BFDD5" w14:textId="77777777" w:rsidR="00622BC0" w:rsidRDefault="00826C5A">
      <w:pPr>
        <w:widowControl w:val="0"/>
        <w:numPr>
          <w:ilvl w:val="0"/>
          <w:numId w:val="20"/>
        </w:numPr>
        <w:autoSpaceDE w:val="0"/>
        <w:autoSpaceDN w:val="0"/>
        <w:adjustRightInd w:val="0"/>
        <w:ind w:right="-6"/>
        <w:jc w:val="both"/>
        <w:rPr>
          <w:rFonts w:ascii="Cambria" w:hAnsi="Cambria" w:cs="Cambria"/>
          <w:lang w:val="en-GB"/>
        </w:rPr>
      </w:pPr>
      <w:r>
        <w:rPr>
          <w:rFonts w:ascii="Cambria" w:hAnsi="Cambria" w:cs="Cambria"/>
          <w:lang w:val="en-GB"/>
        </w:rPr>
        <w:t>The Regulation of Ministry of Social Development and Human Security on types of disabilities and their criteria B.E. 2552 (2009): This act classifies disabilities into seven categories. It also provides authorities to a medical doctor to diagnose disabilities and issue necessary supporting documents for disability identification cards;</w:t>
      </w:r>
    </w:p>
    <w:p w14:paraId="4865AD52" w14:textId="77777777" w:rsidR="00622BC0" w:rsidRDefault="00826C5A">
      <w:pPr>
        <w:widowControl w:val="0"/>
        <w:numPr>
          <w:ilvl w:val="0"/>
          <w:numId w:val="20"/>
        </w:numPr>
        <w:autoSpaceDE w:val="0"/>
        <w:autoSpaceDN w:val="0"/>
        <w:adjustRightInd w:val="0"/>
        <w:ind w:right="-6"/>
        <w:jc w:val="both"/>
        <w:rPr>
          <w:rFonts w:ascii="Cambria" w:hAnsi="Cambria" w:cs="Cambria"/>
          <w:lang w:val="en-GB"/>
        </w:rPr>
      </w:pPr>
      <w:r>
        <w:rPr>
          <w:rFonts w:ascii="Cambria" w:hAnsi="Cambria" w:cs="Cambria"/>
          <w:lang w:val="en-GB"/>
        </w:rPr>
        <w:t>The handbook on diagnosis and disability assessment: This document, currently under review, serves as a guide for medical doctors and other professionals to enhance their essential screening ability for early interventions.</w:t>
      </w:r>
    </w:p>
    <w:p w14:paraId="7FB6ED90" w14:textId="77777777" w:rsidR="00622BC0" w:rsidRDefault="00826C5A">
      <w:pPr>
        <w:widowControl w:val="0"/>
        <w:numPr>
          <w:ilvl w:val="0"/>
          <w:numId w:val="20"/>
        </w:numPr>
        <w:autoSpaceDE w:val="0"/>
        <w:autoSpaceDN w:val="0"/>
        <w:adjustRightInd w:val="0"/>
        <w:ind w:right="-6"/>
        <w:jc w:val="both"/>
        <w:rPr>
          <w:rFonts w:ascii="Cambria" w:hAnsi="Cambria" w:cs="Cambria"/>
          <w:lang w:val="en-GB"/>
        </w:rPr>
      </w:pPr>
      <w:r>
        <w:rPr>
          <w:rFonts w:ascii="Cambria" w:hAnsi="Cambria" w:cs="Cambria"/>
          <w:lang w:val="en-GB"/>
        </w:rPr>
        <w:t>They are getting involved with the affairs of the disability service centre. Many local health care units participate in the activities of such centres. In 2020, there is a plan to expand services of the centres to more hospitals under the supervision of the Ministry of Public Health in order to accommodate persons with disabilities in what is dubbed, "one-stop service."</w:t>
      </w:r>
    </w:p>
    <w:p w14:paraId="27C4B828" w14:textId="77777777" w:rsidR="00622BC0" w:rsidRDefault="00826C5A">
      <w:pPr>
        <w:widowControl w:val="0"/>
        <w:autoSpaceDE w:val="0"/>
        <w:autoSpaceDN w:val="0"/>
        <w:adjustRightInd w:val="0"/>
        <w:ind w:right="-6"/>
        <w:jc w:val="both"/>
        <w:rPr>
          <w:rFonts w:ascii="Cambria" w:hAnsi="Cambria" w:cs="Cambria"/>
          <w:lang w:val="en-GB"/>
        </w:rPr>
      </w:pPr>
      <w:r>
        <w:rPr>
          <w:rFonts w:ascii="Cambria" w:hAnsi="Cambria" w:cs="Cambria"/>
          <w:lang w:val="en-GB"/>
        </w:rPr>
        <w:t xml:space="preserve">Another on-going joint project by the Ministry of Social Development and Human Security and Ministry of Public Health, is the use of information technology as a platform to diagnose and assess disabilities. This initiative leads to quick verification, disability registration and access to many rights and benefits, including health care services for persons with disabilities. </w:t>
      </w:r>
    </w:p>
    <w:p w14:paraId="40D9A056" w14:textId="77777777" w:rsidR="00622BC0" w:rsidRDefault="00826C5A">
      <w:pPr>
        <w:widowControl w:val="0"/>
        <w:autoSpaceDE w:val="0"/>
        <w:autoSpaceDN w:val="0"/>
        <w:adjustRightInd w:val="0"/>
        <w:ind w:right="-6"/>
        <w:jc w:val="both"/>
        <w:rPr>
          <w:rFonts w:ascii="Cambria" w:hAnsi="Cambria" w:cs="Cambria"/>
          <w:lang w:val="en-GB"/>
        </w:rPr>
      </w:pPr>
      <w:r>
        <w:rPr>
          <w:rFonts w:ascii="Cambria" w:hAnsi="Cambria" w:cs="Cambria"/>
          <w:lang w:val="en-GB"/>
        </w:rPr>
        <w:t>Regarding disability prevention, the ratio of disability prevalence among new-borns is 2-3% or 15,000-20,000 annually, according to the registrar of persons with disabilities. Disabilities are mostly from congenital heart disease, physical impairment, cleft lip/cleft palate, Down syndrome, and hydro cephalous.</w:t>
      </w:r>
    </w:p>
    <w:p w14:paraId="77E8D9DB" w14:textId="77777777" w:rsidR="00622BC0" w:rsidRDefault="00826C5A">
      <w:pPr>
        <w:widowControl w:val="0"/>
        <w:autoSpaceDE w:val="0"/>
        <w:autoSpaceDN w:val="0"/>
        <w:adjustRightInd w:val="0"/>
        <w:ind w:right="-6"/>
        <w:jc w:val="both"/>
        <w:rPr>
          <w:rFonts w:ascii="Cambria" w:hAnsi="Cambria" w:cs="Cambria"/>
          <w:lang w:val="en-GB"/>
        </w:rPr>
      </w:pPr>
      <w:r>
        <w:rPr>
          <w:rFonts w:ascii="Cambria" w:hAnsi="Cambria" w:cs="Cambria"/>
          <w:lang w:val="en-GB"/>
        </w:rPr>
        <w:t xml:space="preserve">In this regard, the Ministry of Public Health launched a programme for pregnant women to diagnose thalassemia in order to control and prevent the occurrence of a foetus with thalassemia. Also, a campaign sensitizing women to take folic acid six weeks before pregnancy, together with early detection and intervention on children with congenital disability are stipulated in the B.E. 2555-2560 (2012-2017). </w:t>
      </w:r>
    </w:p>
    <w:p w14:paraId="3AFAA5DD"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lang w:val="en-GB"/>
        </w:rPr>
        <w:t xml:space="preserve">The programme has registered children with congenital disabilities in 49 hospitals in 41 provinces. Furthermore, any Ministry of Public Health project covers preventive measures against thalassemia in pregnant women. The measures include screening over 70% of husbands and diagnostics screening of mothers before births. </w:t>
      </w:r>
    </w:p>
    <w:p w14:paraId="3CB9DA24" w14:textId="7D2FBA9F"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Participation of Civil Society and OPD</w:t>
      </w:r>
      <w:r w:rsidR="0067025E">
        <w:rPr>
          <w:rFonts w:ascii="Cambria" w:hAnsi="Cambria" w:cs="Cambria"/>
          <w:b/>
          <w:bCs/>
          <w:lang w:val="en-GB"/>
        </w:rPr>
        <w:t>s</w:t>
      </w:r>
    </w:p>
    <w:p w14:paraId="40F25C2A" w14:textId="3085E255"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Thailand has seven national OPD</w:t>
      </w:r>
      <w:r w:rsidR="0067025E">
        <w:rPr>
          <w:rFonts w:ascii="Cambria" w:hAnsi="Cambria" w:cs="Cambria"/>
          <w:lang w:val="en-GB"/>
        </w:rPr>
        <w:t>s</w:t>
      </w:r>
      <w:r>
        <w:rPr>
          <w:rFonts w:ascii="Cambria" w:hAnsi="Cambria" w:cs="Cambria"/>
          <w:lang w:val="en-GB"/>
        </w:rPr>
        <w:t xml:space="preserve"> covering multiple disability types, all promoting and monitoring the CRPD implementation. These OPD</w:t>
      </w:r>
      <w:r w:rsidR="0067025E">
        <w:rPr>
          <w:rFonts w:ascii="Cambria" w:hAnsi="Cambria" w:cs="Cambria"/>
          <w:lang w:val="en-GB"/>
        </w:rPr>
        <w:t>s</w:t>
      </w:r>
      <w:r>
        <w:rPr>
          <w:rFonts w:ascii="Cambria" w:hAnsi="Cambria" w:cs="Cambria"/>
          <w:lang w:val="en-GB"/>
        </w:rPr>
        <w:t xml:space="preserve"> are spread out in committees and sub-committees across government agencies, e.g. the National Committee on Empowerment of Persons with Disabilities, the Sub-Committee on the Promotion of CRPD Implementation, the Provincial Sub-Committee on Empowerment of Persons with Disabilities, etc. The inclusion of OPD</w:t>
      </w:r>
      <w:r w:rsidR="0067025E">
        <w:rPr>
          <w:rFonts w:ascii="Cambria" w:hAnsi="Cambria" w:cs="Cambria"/>
          <w:lang w:val="en-GB"/>
        </w:rPr>
        <w:t>s</w:t>
      </w:r>
      <w:r>
        <w:rPr>
          <w:rFonts w:ascii="Cambria" w:hAnsi="Cambria" w:cs="Cambria"/>
          <w:lang w:val="en-GB"/>
        </w:rPr>
        <w:t xml:space="preserve"> in these committees has resulted in significant progress on policy development, which have been adopted by the government. However, gaps are observed in the budgeting and monitoring processes, which should felicitate the enforcement of existing laws and regulations to compliant with the CRPD.</w:t>
      </w:r>
    </w:p>
    <w:p w14:paraId="2CC67CDE" w14:textId="1B48AD20"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One OPD</w:t>
      </w:r>
      <w:r w:rsidR="0067025E">
        <w:rPr>
          <w:rFonts w:ascii="Cambria" w:hAnsi="Cambria" w:cs="Cambria"/>
          <w:lang w:val="en-GB"/>
        </w:rPr>
        <w:t>s</w:t>
      </w:r>
      <w:r>
        <w:rPr>
          <w:rFonts w:ascii="Cambria" w:hAnsi="Cambria" w:cs="Cambria"/>
          <w:lang w:val="en-GB"/>
        </w:rPr>
        <w:t>, Disabilities Thailand, in its shadow report advocated that persons with disabilities should be entitled to three health schemes provided by the Thai government; namely, the Social Security Fund, the National Health Security Fund and the Government Officer Treatment Welfare Fund. A requirement that every employee, including employed person with disabilities, should contribute to a co-payment system for health care services, is hampering the equal rights of persons of disabilities to the Social Security System. The shadow report also observes that three health care programmes provide different coverage for equipment and assistive devices. This is an example that the report uses to urge the Ministry of Public Health to provide uniformity and integration in the health care service system (Disabilities Thailand, 2016).</w:t>
      </w:r>
    </w:p>
    <w:p w14:paraId="55B120AC" w14:textId="77777777" w:rsidR="00622BC0" w:rsidRDefault="00622BC0">
      <w:pPr>
        <w:widowControl w:val="0"/>
        <w:autoSpaceDE w:val="0"/>
        <w:autoSpaceDN w:val="0"/>
        <w:adjustRightInd w:val="0"/>
        <w:spacing w:after="200"/>
        <w:ind w:right="-6"/>
        <w:jc w:val="both"/>
        <w:rPr>
          <w:rFonts w:ascii="Cambria" w:hAnsi="Cambria" w:cs="Cambria"/>
          <w:lang w:val="en-GB"/>
        </w:rPr>
      </w:pPr>
    </w:p>
    <w:p w14:paraId="073F4007"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 xml:space="preserve">4. </w:t>
      </w:r>
      <w:r>
        <w:rPr>
          <w:rFonts w:ascii="Cambria" w:hAnsi="Cambria" w:cs="Cambria"/>
          <w:b/>
          <w:bCs/>
          <w:lang w:val="en-GB"/>
        </w:rPr>
        <w:tab/>
        <w:t>SDG Goal 4 - Quality of Education</w:t>
      </w:r>
    </w:p>
    <w:p w14:paraId="20880258"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Policy and Regulations</w:t>
      </w:r>
    </w:p>
    <w:p w14:paraId="1CCEAD7B"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In light of CRPD Article 24, Thailand is obliged to ensure persons with disabilities’ right to access education on the basis of equal opportunity and without discrimination. Quality education and opportunities to learn life and social development skills should be accessed in an inclusive setting within the community. These stipulations are well-reflected in many Thai laws and policies, such as the Constitution B.E. 2560 (2017), the National Education Act B.E. 2542 (1999) and its amendment B.E 2545 (2002), and the Education Provision for Persons with Disabilities Act B.E. 2551 (2008). </w:t>
      </w:r>
    </w:p>
    <w:p w14:paraId="3FE21469"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These legal documents all emphasise the importance of equal rights to free, quality education of everyone for at least 12 years. For persons with disabilities, besides the cost-free education, they also have the right to choose schools and institutions that suit their capacities, and they may obtain funds for assistive technologies with reasonable accommodations. </w:t>
      </w:r>
    </w:p>
    <w:p w14:paraId="5F35D9FB"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Rights of education for all people, including persons or children with disabilities, are ensured in the Constitution B.E. 2560, specifically, Section 50 and 54 on compulsory education. The National Education Act B.E. 2542 and the amendment B.E. 2545 also stipulate the persons with disabilities’ rights to receive basic education. Further, the Education Provision for Persons with Disabilities Act B.E 2552 (2008) regulates special education nationwide, providing particularly for reasonable accommodation and special needs of children with disabilities. Children with disabilities, particularly with needs diagnosed at birth, should be accommodated in the inclusive education schools. </w:t>
      </w:r>
    </w:p>
    <w:p w14:paraId="2FF86A38"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Overall, families and children with disabilities might choose on their own to attend inclusive public schools or special schools. These schools, both public and private, are entitled to professional and financial support from the government. In this regard, the Ministry of Education supports 43 special schools, 76 provincial special education centres, 13,786 inclusive education schools and 100 colleges and universities. Moreover, the Ministry’s 2009 Regulation on the Promotion of Education for Persons with Disabilities guarantees free education up to university for persons with disabilities.</w:t>
      </w:r>
    </w:p>
    <w:p w14:paraId="680FBFBB" w14:textId="77777777" w:rsidR="00622BC0" w:rsidRDefault="00622BC0">
      <w:pPr>
        <w:widowControl w:val="0"/>
        <w:autoSpaceDE w:val="0"/>
        <w:autoSpaceDN w:val="0"/>
        <w:adjustRightInd w:val="0"/>
        <w:spacing w:after="200"/>
        <w:ind w:right="-6"/>
        <w:jc w:val="both"/>
        <w:rPr>
          <w:rFonts w:ascii="Cambria" w:hAnsi="Cambria" w:cs="Cambria"/>
          <w:lang w:val="en-GB"/>
        </w:rPr>
      </w:pPr>
    </w:p>
    <w:p w14:paraId="3F3B5D86" w14:textId="77777777" w:rsidR="00622BC0" w:rsidRDefault="00826C5A">
      <w:pPr>
        <w:widowControl w:val="0"/>
        <w:autoSpaceDE w:val="0"/>
        <w:autoSpaceDN w:val="0"/>
        <w:adjustRightInd w:val="0"/>
        <w:spacing w:after="200"/>
        <w:ind w:right="-6"/>
        <w:rPr>
          <w:rFonts w:ascii="Cambria" w:hAnsi="Cambria" w:cs="Cambria"/>
          <w:b/>
          <w:bCs/>
          <w:lang w:val="en-GB"/>
        </w:rPr>
      </w:pPr>
      <w:r>
        <w:rPr>
          <w:rFonts w:ascii="Cambria" w:hAnsi="Cambria" w:cs="Cambria"/>
          <w:b/>
          <w:bCs/>
          <w:lang w:val="en-GB"/>
        </w:rPr>
        <w:t>Implementation and Programmes</w:t>
      </w:r>
    </w:p>
    <w:p w14:paraId="637FA96E"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Under the National Education Act of 2006 and 2008, 513,459 persons with disabilities received education during 2007–2009. Thailand has approximately 427,467 children with disabilities in the basic education level. Of these, 387,678 students attend 23,488 mainstream schools, 12,854 students attend 48 public special schools, and 26,935 students are in specialised education centres as illustrated in the figure below (Special Education Bureau, 2019).</w:t>
      </w:r>
    </w:p>
    <w:p w14:paraId="3393D34D"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Figure 13 Enrolment of Children with Disabilities in Thailand</w:t>
      </w:r>
    </w:p>
    <w:p w14:paraId="0B717BEA" w14:textId="77777777" w:rsidR="00622BC0" w:rsidRDefault="00826C5A">
      <w:pPr>
        <w:widowControl w:val="0"/>
        <w:autoSpaceDE w:val="0"/>
        <w:autoSpaceDN w:val="0"/>
        <w:adjustRightInd w:val="0"/>
        <w:spacing w:after="200"/>
        <w:ind w:right="-6"/>
        <w:jc w:val="center"/>
        <w:rPr>
          <w:rFonts w:ascii="Cambria" w:hAnsi="Cambria" w:cs="Cambria"/>
          <w:lang w:val="en-GB"/>
        </w:rPr>
      </w:pPr>
      <w:r>
        <w:rPr>
          <w:noProof/>
          <w:lang w:val="en-GB"/>
        </w:rPr>
        <w:drawing>
          <wp:inline distT="0" distB="0" distL="0" distR="0" wp14:anchorId="1D5BDB3D" wp14:editId="67F66908">
            <wp:extent cx="5270500" cy="2359025"/>
            <wp:effectExtent l="0" t="0" r="0" b="3175"/>
            <wp:docPr id="43931" name="Picture 43931"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43931" name="Picture 43931" descr="A screenshot of a cell phone&#10;&#10;Description automatically generated"/>
                    <pic:cNvPicPr/>
                  </pic:nvPicPr>
                  <pic:blipFill>
                    <a:blip r:embed="rId79"/>
                    <a:stretch>
                      <a:fillRect/>
                    </a:stretch>
                  </pic:blipFill>
                  <pic:spPr>
                    <a:xfrm>
                      <a:off x="0" y="0"/>
                      <a:ext cx="5270500" cy="2359057"/>
                    </a:xfrm>
                    <a:prstGeom prst="rect">
                      <a:avLst/>
                    </a:prstGeom>
                  </pic:spPr>
                </pic:pic>
              </a:graphicData>
            </a:graphic>
          </wp:inline>
        </w:drawing>
      </w:r>
    </w:p>
    <w:p w14:paraId="1BAB64BA" w14:textId="77777777" w:rsidR="00622BC0" w:rsidRDefault="00622BC0">
      <w:pPr>
        <w:widowControl w:val="0"/>
        <w:autoSpaceDE w:val="0"/>
        <w:autoSpaceDN w:val="0"/>
        <w:adjustRightInd w:val="0"/>
        <w:spacing w:after="200"/>
        <w:ind w:right="-6"/>
        <w:jc w:val="both"/>
        <w:rPr>
          <w:rFonts w:ascii="Cambria" w:hAnsi="Cambria" w:cs="Cambria"/>
          <w:lang w:val="en-GB"/>
        </w:rPr>
      </w:pPr>
    </w:p>
    <w:p w14:paraId="1943E733"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These educational institutions provide services related to equipment, assistive devices, sign language interpreters and tutoring. Some students with disabilities also enrol in vocational schools and join private institutions. This figure illustrates the Thai government’s success in ensuring the right to education for persons with disabilities.</w:t>
      </w:r>
    </w:p>
    <w:p w14:paraId="5D0948C5"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order to implement the laws and policies mentioned above, the following strategies and activities are underway:</w:t>
      </w:r>
      <w:r>
        <w:rPr>
          <w:rFonts w:ascii="Cambria" w:hAnsi="Cambria" w:cs="Cambria"/>
          <w:lang w:val="en-GB"/>
        </w:rPr>
        <w:tab/>
      </w:r>
    </w:p>
    <w:p w14:paraId="4839A514" w14:textId="4243B4A3" w:rsidR="00622BC0" w:rsidRDefault="00826C5A">
      <w:pPr>
        <w:widowControl w:val="0"/>
        <w:numPr>
          <w:ilvl w:val="0"/>
          <w:numId w:val="21"/>
        </w:numPr>
        <w:autoSpaceDE w:val="0"/>
        <w:autoSpaceDN w:val="0"/>
        <w:adjustRightInd w:val="0"/>
        <w:ind w:right="-6" w:hanging="480"/>
        <w:jc w:val="both"/>
        <w:rPr>
          <w:rFonts w:ascii="Cambria" w:hAnsi="Cambria" w:cs="Cambria"/>
          <w:lang w:val="en-GB"/>
        </w:rPr>
      </w:pPr>
      <w:r>
        <w:rPr>
          <w:rFonts w:ascii="Cambria" w:hAnsi="Cambria" w:cs="Cambria"/>
          <w:lang w:val="en-GB"/>
        </w:rPr>
        <w:t>Arranging alternative/flexible schooling for all children with disabilities such as inclusive schools, inclusive education, hospital-based education, and home-based education programmes.  These are not long-term solutions but rather temporary measures as the country must transition to having a fully inclusive education system in line with the definition of inclusive education in CRPD Article 24 (Education).  Many special schools and education centres promote the right to access welfare and educational services for persons with disabilities nationwide;</w:t>
      </w:r>
    </w:p>
    <w:p w14:paraId="5E93D8BA" w14:textId="77777777" w:rsidR="00622BC0" w:rsidRDefault="00826C5A">
      <w:pPr>
        <w:widowControl w:val="0"/>
        <w:numPr>
          <w:ilvl w:val="0"/>
          <w:numId w:val="21"/>
        </w:numPr>
        <w:autoSpaceDE w:val="0"/>
        <w:autoSpaceDN w:val="0"/>
        <w:adjustRightInd w:val="0"/>
        <w:ind w:right="-6" w:hanging="480"/>
        <w:jc w:val="both"/>
        <w:rPr>
          <w:rFonts w:ascii="Cambria" w:hAnsi="Cambria" w:cs="Cambria"/>
          <w:lang w:val="en-GB"/>
        </w:rPr>
      </w:pPr>
      <w:r>
        <w:rPr>
          <w:rFonts w:ascii="Cambria" w:hAnsi="Cambria" w:cs="Cambria"/>
          <w:lang w:val="en-GB"/>
        </w:rPr>
        <w:t>Preparing curriculum that suits the needs of the individuals. Aside from adapting the core curriculum, attention is paid to the environment context, to ensure it is accessible and that it enhances meaningful learning experiences for students with disabilities;</w:t>
      </w:r>
    </w:p>
    <w:p w14:paraId="68EE2F3C" w14:textId="77777777" w:rsidR="00622BC0" w:rsidRDefault="00826C5A">
      <w:pPr>
        <w:widowControl w:val="0"/>
        <w:numPr>
          <w:ilvl w:val="0"/>
          <w:numId w:val="21"/>
        </w:numPr>
        <w:autoSpaceDE w:val="0"/>
        <w:autoSpaceDN w:val="0"/>
        <w:adjustRightInd w:val="0"/>
        <w:ind w:right="-6" w:hanging="480"/>
        <w:jc w:val="both"/>
        <w:rPr>
          <w:rFonts w:ascii="Cambria" w:hAnsi="Cambria" w:cs="Cambria"/>
          <w:lang w:val="en-GB"/>
        </w:rPr>
      </w:pPr>
      <w:r>
        <w:rPr>
          <w:rFonts w:ascii="Cambria" w:hAnsi="Cambria" w:cs="Cambria"/>
          <w:lang w:val="en-GB"/>
        </w:rPr>
        <w:t>Providing reasonable accommodation for academic assessments and standardised tests. These include accessible formats of testing materials, sign language interpreters, extra testing-time, separate examination rooms, etc;</w:t>
      </w:r>
    </w:p>
    <w:p w14:paraId="1496FE92" w14:textId="77777777" w:rsidR="00622BC0" w:rsidRDefault="00826C5A">
      <w:pPr>
        <w:widowControl w:val="0"/>
        <w:numPr>
          <w:ilvl w:val="0"/>
          <w:numId w:val="21"/>
        </w:numPr>
        <w:autoSpaceDE w:val="0"/>
        <w:autoSpaceDN w:val="0"/>
        <w:adjustRightInd w:val="0"/>
        <w:ind w:right="-6" w:hanging="480"/>
        <w:jc w:val="both"/>
        <w:rPr>
          <w:rFonts w:ascii="Cambria" w:hAnsi="Cambria" w:cs="Cambria"/>
          <w:lang w:val="en-GB"/>
        </w:rPr>
      </w:pPr>
      <w:r>
        <w:rPr>
          <w:rFonts w:ascii="Cambria" w:hAnsi="Cambria" w:cs="Cambria"/>
          <w:lang w:val="en-GB"/>
        </w:rPr>
        <w:t xml:space="preserve">Conducting on-going family consultation and training to ensure consistency in attaining developmental and educational goals; </w:t>
      </w:r>
    </w:p>
    <w:p w14:paraId="7FB0DE7C" w14:textId="77777777" w:rsidR="00622BC0" w:rsidRDefault="00826C5A">
      <w:pPr>
        <w:widowControl w:val="0"/>
        <w:numPr>
          <w:ilvl w:val="0"/>
          <w:numId w:val="21"/>
        </w:numPr>
        <w:autoSpaceDE w:val="0"/>
        <w:autoSpaceDN w:val="0"/>
        <w:adjustRightInd w:val="0"/>
        <w:ind w:right="-6" w:hanging="480"/>
        <w:jc w:val="both"/>
        <w:rPr>
          <w:rFonts w:ascii="Cambria" w:hAnsi="Cambria" w:cs="Cambria"/>
          <w:lang w:val="en-GB"/>
        </w:rPr>
      </w:pPr>
      <w:r>
        <w:rPr>
          <w:rFonts w:ascii="Cambria" w:hAnsi="Cambria" w:cs="Cambria"/>
          <w:lang w:val="en-GB"/>
        </w:rPr>
        <w:t>Conducting in-service training for teachers who work with a diversity of students with special needs and those with multiple disabilities;</w:t>
      </w:r>
    </w:p>
    <w:p w14:paraId="3F5424C5" w14:textId="77777777" w:rsidR="00622BC0" w:rsidRDefault="00826C5A">
      <w:pPr>
        <w:widowControl w:val="0"/>
        <w:numPr>
          <w:ilvl w:val="0"/>
          <w:numId w:val="21"/>
        </w:numPr>
        <w:autoSpaceDE w:val="0"/>
        <w:autoSpaceDN w:val="0"/>
        <w:adjustRightInd w:val="0"/>
        <w:spacing w:after="200"/>
        <w:ind w:right="-6" w:hanging="480"/>
        <w:jc w:val="both"/>
        <w:rPr>
          <w:rFonts w:ascii="Cambria" w:hAnsi="Cambria" w:cs="Cambria"/>
          <w:lang w:val="en-GB"/>
        </w:rPr>
      </w:pPr>
      <w:r>
        <w:rPr>
          <w:rFonts w:ascii="Cambria" w:hAnsi="Cambria" w:cs="Cambria"/>
          <w:lang w:val="en-GB"/>
        </w:rPr>
        <w:t xml:space="preserve">Providing consultation and training for external agencies to work with students with special needs. </w:t>
      </w:r>
    </w:p>
    <w:p w14:paraId="1A137ECC"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above are only some activities by the Thai Ministry of Education to promote people with disabilities’ rights to access education. Importantly, the Committee for the Promotion of Education Provision for Persons with Disabilities is a vital mechanism to promote the education of persons with disabilities nationwide. Its board, chaired by the Prime Minister, consists of all relevant stakeholders from the public and private sectors (</w:t>
      </w:r>
      <w:proofErr w:type="spellStart"/>
      <w:r>
        <w:rPr>
          <w:rFonts w:ascii="Cambria" w:hAnsi="Cambria" w:cs="Cambria"/>
          <w:lang w:val="en-GB"/>
        </w:rPr>
        <w:t>Ratanasakorn</w:t>
      </w:r>
      <w:proofErr w:type="spellEnd"/>
      <w:r>
        <w:rPr>
          <w:rFonts w:ascii="Cambria" w:hAnsi="Cambria" w:cs="Cambria"/>
          <w:lang w:val="en-GB"/>
        </w:rPr>
        <w:t xml:space="preserve">, personal interview, 2019). </w:t>
      </w:r>
    </w:p>
    <w:p w14:paraId="78F41ACB"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Besides the above, the following programmes address the rights of education for children with disabilities:</w:t>
      </w:r>
    </w:p>
    <w:p w14:paraId="47B4D0E9" w14:textId="77777777" w:rsidR="00622BC0" w:rsidRDefault="00826C5A">
      <w:pPr>
        <w:widowControl w:val="0"/>
        <w:numPr>
          <w:ilvl w:val="0"/>
          <w:numId w:val="22"/>
        </w:numPr>
        <w:autoSpaceDE w:val="0"/>
        <w:autoSpaceDN w:val="0"/>
        <w:adjustRightInd w:val="0"/>
        <w:spacing w:after="200"/>
        <w:ind w:right="-6" w:hanging="480"/>
        <w:jc w:val="both"/>
        <w:rPr>
          <w:rFonts w:ascii="Cambria" w:hAnsi="Cambria" w:cs="Cambria"/>
          <w:lang w:val="en-GB"/>
        </w:rPr>
      </w:pPr>
      <w:r>
        <w:rPr>
          <w:rFonts w:ascii="Cambria" w:hAnsi="Cambria" w:cs="Cambria"/>
          <w:lang w:val="en-GB"/>
        </w:rPr>
        <w:t>Providing budget support to establish centres for learning on disability, throughout the country (878 local administrative areas and 50 districts in the capital, Bangkok metropolitan);</w:t>
      </w:r>
    </w:p>
    <w:p w14:paraId="7EBF5B86" w14:textId="77777777" w:rsidR="00622BC0" w:rsidRDefault="00826C5A">
      <w:pPr>
        <w:widowControl w:val="0"/>
        <w:numPr>
          <w:ilvl w:val="0"/>
          <w:numId w:val="22"/>
        </w:numPr>
        <w:autoSpaceDE w:val="0"/>
        <w:autoSpaceDN w:val="0"/>
        <w:adjustRightInd w:val="0"/>
        <w:spacing w:after="200"/>
        <w:ind w:right="-6" w:hanging="480"/>
        <w:jc w:val="both"/>
        <w:rPr>
          <w:rFonts w:ascii="Cambria" w:hAnsi="Cambria" w:cs="Cambria"/>
          <w:lang w:val="en-GB"/>
        </w:rPr>
      </w:pPr>
      <w:r>
        <w:rPr>
          <w:rFonts w:ascii="Cambria" w:hAnsi="Cambria" w:cs="Cambria"/>
          <w:lang w:val="en-GB"/>
        </w:rPr>
        <w:t>Drawing management guidelines for the learning centres;</w:t>
      </w:r>
    </w:p>
    <w:p w14:paraId="0E271E91" w14:textId="77777777" w:rsidR="00622BC0" w:rsidRDefault="00826C5A">
      <w:pPr>
        <w:widowControl w:val="0"/>
        <w:numPr>
          <w:ilvl w:val="0"/>
          <w:numId w:val="22"/>
        </w:numPr>
        <w:autoSpaceDE w:val="0"/>
        <w:autoSpaceDN w:val="0"/>
        <w:adjustRightInd w:val="0"/>
        <w:spacing w:after="200"/>
        <w:ind w:right="-6" w:hanging="480"/>
        <w:jc w:val="both"/>
        <w:rPr>
          <w:rFonts w:ascii="Cambria" w:hAnsi="Cambria" w:cs="Cambria"/>
          <w:lang w:val="en-GB"/>
        </w:rPr>
      </w:pPr>
      <w:r>
        <w:rPr>
          <w:rFonts w:ascii="Cambria" w:hAnsi="Cambria" w:cs="Cambria"/>
          <w:lang w:val="en-GB"/>
        </w:rPr>
        <w:t>Providing training for personnel at the learning centres, as well as building appropriate skills for learners in the centres;</w:t>
      </w:r>
    </w:p>
    <w:p w14:paraId="0DCC4FF5" w14:textId="77777777" w:rsidR="00622BC0" w:rsidRDefault="00826C5A">
      <w:pPr>
        <w:widowControl w:val="0"/>
        <w:numPr>
          <w:ilvl w:val="0"/>
          <w:numId w:val="22"/>
        </w:numPr>
        <w:autoSpaceDE w:val="0"/>
        <w:autoSpaceDN w:val="0"/>
        <w:adjustRightInd w:val="0"/>
        <w:spacing w:after="200"/>
        <w:ind w:right="-6" w:hanging="480"/>
        <w:jc w:val="both"/>
        <w:rPr>
          <w:rFonts w:ascii="Cambria" w:hAnsi="Cambria" w:cs="Cambria"/>
          <w:lang w:val="en-GB"/>
        </w:rPr>
      </w:pPr>
      <w:r>
        <w:rPr>
          <w:rFonts w:ascii="Cambria" w:hAnsi="Cambria" w:cs="Cambria"/>
          <w:lang w:val="en-GB"/>
        </w:rPr>
        <w:t>Implementing and monitoring activities at learning centres and coordinating with other related agencies;</w:t>
      </w:r>
    </w:p>
    <w:p w14:paraId="72243514" w14:textId="77777777" w:rsidR="00622BC0" w:rsidRDefault="00826C5A">
      <w:pPr>
        <w:widowControl w:val="0"/>
        <w:numPr>
          <w:ilvl w:val="0"/>
          <w:numId w:val="22"/>
        </w:numPr>
        <w:autoSpaceDE w:val="0"/>
        <w:autoSpaceDN w:val="0"/>
        <w:adjustRightInd w:val="0"/>
        <w:spacing w:after="200"/>
        <w:ind w:right="-6" w:hanging="480"/>
        <w:jc w:val="both"/>
        <w:rPr>
          <w:rFonts w:ascii="Cambria" w:hAnsi="Cambria" w:cs="Cambria"/>
          <w:lang w:val="en-GB"/>
        </w:rPr>
      </w:pPr>
      <w:r>
        <w:rPr>
          <w:rFonts w:ascii="Cambria" w:hAnsi="Cambria" w:cs="Cambria"/>
          <w:lang w:val="en-GB"/>
        </w:rPr>
        <w:t>Organizing the national conference on special and inclusive education;</w:t>
      </w:r>
    </w:p>
    <w:p w14:paraId="7215409D" w14:textId="77777777" w:rsidR="00622BC0" w:rsidRDefault="00826C5A">
      <w:pPr>
        <w:widowControl w:val="0"/>
        <w:numPr>
          <w:ilvl w:val="0"/>
          <w:numId w:val="22"/>
        </w:numPr>
        <w:autoSpaceDE w:val="0"/>
        <w:autoSpaceDN w:val="0"/>
        <w:adjustRightInd w:val="0"/>
        <w:spacing w:after="200"/>
        <w:ind w:right="-6" w:hanging="480"/>
        <w:jc w:val="both"/>
        <w:rPr>
          <w:rFonts w:ascii="Cambria" w:hAnsi="Cambria" w:cs="Cambria"/>
          <w:lang w:val="en-GB"/>
        </w:rPr>
      </w:pPr>
      <w:r>
        <w:rPr>
          <w:rFonts w:ascii="Cambria" w:hAnsi="Cambria" w:cs="Cambria"/>
          <w:lang w:val="en-GB"/>
        </w:rPr>
        <w:t>Collaborating with universities and the Ministry of Public Health on pre-service teacher training on inclusive education (screening skills and pedagogy);</w:t>
      </w:r>
    </w:p>
    <w:p w14:paraId="345CCD15" w14:textId="77777777" w:rsidR="00622BC0" w:rsidRDefault="00826C5A">
      <w:pPr>
        <w:widowControl w:val="0"/>
        <w:numPr>
          <w:ilvl w:val="0"/>
          <w:numId w:val="22"/>
        </w:numPr>
        <w:autoSpaceDE w:val="0"/>
        <w:autoSpaceDN w:val="0"/>
        <w:adjustRightInd w:val="0"/>
        <w:spacing w:after="200"/>
        <w:ind w:right="-6" w:hanging="480"/>
        <w:jc w:val="both"/>
        <w:rPr>
          <w:rFonts w:ascii="Cambria" w:hAnsi="Cambria" w:cs="Cambria"/>
          <w:lang w:val="en-GB"/>
        </w:rPr>
      </w:pPr>
      <w:r>
        <w:rPr>
          <w:rFonts w:ascii="Cambria" w:hAnsi="Cambria" w:cs="Cambria"/>
          <w:lang w:val="en-GB"/>
        </w:rPr>
        <w:t xml:space="preserve">On the home-schooling initiative, overseeing the process of turning homes into schools and parents into teachers; </w:t>
      </w:r>
    </w:p>
    <w:p w14:paraId="673476D1" w14:textId="77777777" w:rsidR="00622BC0" w:rsidRDefault="00826C5A">
      <w:pPr>
        <w:widowControl w:val="0"/>
        <w:numPr>
          <w:ilvl w:val="0"/>
          <w:numId w:val="22"/>
        </w:numPr>
        <w:autoSpaceDE w:val="0"/>
        <w:autoSpaceDN w:val="0"/>
        <w:adjustRightInd w:val="0"/>
        <w:spacing w:after="200"/>
        <w:ind w:right="-6" w:hanging="480"/>
        <w:jc w:val="both"/>
        <w:rPr>
          <w:rFonts w:ascii="Cambria" w:hAnsi="Cambria" w:cs="Cambria"/>
          <w:lang w:val="en-GB"/>
        </w:rPr>
      </w:pPr>
      <w:r>
        <w:rPr>
          <w:rFonts w:ascii="Cambria" w:hAnsi="Cambria" w:cs="Cambria"/>
          <w:lang w:val="en-GB"/>
        </w:rPr>
        <w:t>Educating parents to provide appropriate care for their children with disabilities.</w:t>
      </w:r>
    </w:p>
    <w:p w14:paraId="62BF281C" w14:textId="77777777" w:rsidR="00622BC0" w:rsidRDefault="00622BC0">
      <w:pPr>
        <w:widowControl w:val="0"/>
        <w:autoSpaceDE w:val="0"/>
        <w:autoSpaceDN w:val="0"/>
        <w:adjustRightInd w:val="0"/>
        <w:spacing w:after="200"/>
        <w:ind w:right="-6"/>
        <w:rPr>
          <w:rFonts w:ascii="Cambria" w:hAnsi="Cambria" w:cs="Cambria"/>
          <w:b/>
          <w:bCs/>
          <w:lang w:val="en-GB"/>
        </w:rPr>
      </w:pPr>
    </w:p>
    <w:p w14:paraId="5A72A17F" w14:textId="4E265AB9" w:rsidR="00622BC0" w:rsidRDefault="00826C5A">
      <w:pPr>
        <w:widowControl w:val="0"/>
        <w:autoSpaceDE w:val="0"/>
        <w:autoSpaceDN w:val="0"/>
        <w:adjustRightInd w:val="0"/>
        <w:spacing w:after="200"/>
        <w:ind w:right="-6"/>
        <w:rPr>
          <w:rFonts w:ascii="Cambria" w:hAnsi="Cambria" w:cs="Cambria"/>
          <w:b/>
          <w:bCs/>
          <w:lang w:val="en-GB"/>
        </w:rPr>
      </w:pPr>
      <w:r>
        <w:rPr>
          <w:rFonts w:ascii="Cambria" w:hAnsi="Cambria" w:cs="Cambria"/>
          <w:b/>
          <w:bCs/>
          <w:lang w:val="en-GB"/>
        </w:rPr>
        <w:t>Participation of Civil Society and OPD</w:t>
      </w:r>
      <w:r w:rsidR="0067025E">
        <w:rPr>
          <w:rFonts w:ascii="Cambria" w:hAnsi="Cambria" w:cs="Cambria"/>
          <w:b/>
          <w:bCs/>
          <w:lang w:val="en-GB"/>
        </w:rPr>
        <w:t>s</w:t>
      </w:r>
    </w:p>
    <w:p w14:paraId="7AAA717B" w14:textId="30734A98"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Amid challenges to realise equal and quality education for children with disabilities, OPD</w:t>
      </w:r>
      <w:r w:rsidR="0067025E">
        <w:rPr>
          <w:rFonts w:ascii="Cambria" w:hAnsi="Cambria" w:cs="Cambria"/>
          <w:lang w:val="en-GB"/>
        </w:rPr>
        <w:t>s</w:t>
      </w:r>
      <w:r>
        <w:rPr>
          <w:rFonts w:ascii="Cambria" w:hAnsi="Cambria" w:cs="Cambria"/>
          <w:lang w:val="en-GB"/>
        </w:rPr>
        <w:t xml:space="preserve"> in Thailand is persistent in their policy advocacy for persons with disabilities, including in the education sector. For example, Disabilities Thailand in its shadow report (Disabilities Thailand, 2016) raised three important issues that require government intervention:</w:t>
      </w:r>
    </w:p>
    <w:p w14:paraId="77D06E8C" w14:textId="77777777" w:rsidR="00622BC0" w:rsidRDefault="00826C5A">
      <w:pPr>
        <w:widowControl w:val="0"/>
        <w:numPr>
          <w:ilvl w:val="0"/>
          <w:numId w:val="23"/>
        </w:numPr>
        <w:autoSpaceDE w:val="0"/>
        <w:autoSpaceDN w:val="0"/>
        <w:adjustRightInd w:val="0"/>
        <w:spacing w:after="200"/>
        <w:ind w:left="705" w:right="-6" w:hanging="465"/>
        <w:jc w:val="both"/>
        <w:rPr>
          <w:rFonts w:ascii="Cambria" w:hAnsi="Cambria" w:cs="Cambria"/>
          <w:lang w:val="en-GB"/>
        </w:rPr>
      </w:pPr>
      <w:r>
        <w:rPr>
          <w:rFonts w:ascii="Cambria" w:hAnsi="Cambria" w:cs="Cambria"/>
          <w:lang w:val="en-GB"/>
        </w:rPr>
        <w:t>Evident discrimination and exclusion of children or persons with disabilities in mainstream education institutions;</w:t>
      </w:r>
    </w:p>
    <w:p w14:paraId="122DDC3C" w14:textId="77777777" w:rsidR="00622BC0" w:rsidRDefault="00826C5A">
      <w:pPr>
        <w:widowControl w:val="0"/>
        <w:numPr>
          <w:ilvl w:val="0"/>
          <w:numId w:val="23"/>
        </w:numPr>
        <w:autoSpaceDE w:val="0"/>
        <w:autoSpaceDN w:val="0"/>
        <w:adjustRightInd w:val="0"/>
        <w:spacing w:after="200"/>
        <w:ind w:left="705" w:right="-6" w:hanging="465"/>
        <w:jc w:val="both"/>
        <w:rPr>
          <w:rFonts w:ascii="Cambria" w:hAnsi="Cambria" w:cs="Cambria"/>
          <w:lang w:val="en-GB"/>
        </w:rPr>
      </w:pPr>
      <w:r>
        <w:rPr>
          <w:rFonts w:ascii="Cambria" w:hAnsi="Cambria" w:cs="Cambria"/>
          <w:lang w:val="en-GB"/>
        </w:rPr>
        <w:t>Recorded gaps in education quality outcomes between persons with disabilities and without disabilities;</w:t>
      </w:r>
    </w:p>
    <w:p w14:paraId="0466A884" w14:textId="77777777" w:rsidR="00622BC0" w:rsidRDefault="00826C5A">
      <w:pPr>
        <w:widowControl w:val="0"/>
        <w:numPr>
          <w:ilvl w:val="0"/>
          <w:numId w:val="23"/>
        </w:numPr>
        <w:autoSpaceDE w:val="0"/>
        <w:autoSpaceDN w:val="0"/>
        <w:adjustRightInd w:val="0"/>
        <w:spacing w:after="200"/>
        <w:ind w:left="705" w:right="-6" w:hanging="465"/>
        <w:jc w:val="both"/>
        <w:rPr>
          <w:rFonts w:ascii="Cambria" w:hAnsi="Cambria" w:cs="Cambria"/>
          <w:lang w:val="en-GB"/>
        </w:rPr>
      </w:pPr>
      <w:r>
        <w:rPr>
          <w:rFonts w:ascii="Cambria" w:hAnsi="Cambria" w:cs="Cambria"/>
          <w:lang w:val="en-GB"/>
        </w:rPr>
        <w:t>Delays in developing services in disability-specific learning centres as a mechanism to mainstream inclusive education.</w:t>
      </w:r>
    </w:p>
    <w:p w14:paraId="6E75FC74" w14:textId="77777777" w:rsidR="00622BC0" w:rsidRDefault="00622BC0">
      <w:pPr>
        <w:widowControl w:val="0"/>
        <w:autoSpaceDE w:val="0"/>
        <w:autoSpaceDN w:val="0"/>
        <w:adjustRightInd w:val="0"/>
        <w:spacing w:after="200"/>
        <w:ind w:right="-6"/>
        <w:jc w:val="both"/>
        <w:rPr>
          <w:rFonts w:ascii="Cambria" w:hAnsi="Cambria" w:cs="Cambria"/>
          <w:lang w:val="en-GB"/>
        </w:rPr>
      </w:pPr>
    </w:p>
    <w:p w14:paraId="3F62F011"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 xml:space="preserve">5. </w:t>
      </w:r>
      <w:r>
        <w:rPr>
          <w:rFonts w:ascii="Cambria" w:hAnsi="Cambria" w:cs="Cambria"/>
          <w:b/>
          <w:bCs/>
          <w:lang w:val="en-GB"/>
        </w:rPr>
        <w:tab/>
        <w:t>SDG Goal 5 - Gender Equality</w:t>
      </w:r>
    </w:p>
    <w:p w14:paraId="51A094D1"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Policy and Regulations</w:t>
      </w:r>
    </w:p>
    <w:p w14:paraId="1879EB32"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second Plan for Empowerment of Women with Disabilities B.E. 2560–2564 (2017–2021) by the Department of Empowerment of Persons with Disabilities addresses challenges faced by women and girls with disabilities. The Plan’s vision is, “equal access to the rights of women and girls with disabilities and non-discrimination in an inclusive and sustainable society.” </w:t>
      </w:r>
    </w:p>
    <w:p w14:paraId="193CEE10"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Plan consists of four main missions, as follows (</w:t>
      </w:r>
      <w:proofErr w:type="spellStart"/>
      <w:r>
        <w:rPr>
          <w:rFonts w:ascii="Cambria" w:hAnsi="Cambria" w:cs="Cambria"/>
          <w:lang w:val="en-GB"/>
        </w:rPr>
        <w:t>Pichaya</w:t>
      </w:r>
      <w:proofErr w:type="spellEnd"/>
      <w:r>
        <w:rPr>
          <w:rFonts w:ascii="Cambria" w:hAnsi="Cambria" w:cs="Cambria"/>
          <w:lang w:val="en-GB"/>
        </w:rPr>
        <w:t xml:space="preserve"> </w:t>
      </w:r>
      <w:proofErr w:type="spellStart"/>
      <w:r>
        <w:rPr>
          <w:rFonts w:ascii="Cambria" w:hAnsi="Cambria" w:cs="Cambria"/>
          <w:lang w:val="en-GB"/>
        </w:rPr>
        <w:t>Yaikaengsai</w:t>
      </w:r>
      <w:proofErr w:type="spellEnd"/>
      <w:r>
        <w:rPr>
          <w:rFonts w:ascii="Cambria" w:hAnsi="Cambria" w:cs="Cambria"/>
          <w:lang w:val="en-GB"/>
        </w:rPr>
        <w:t>, 2019):</w:t>
      </w:r>
    </w:p>
    <w:p w14:paraId="51859834" w14:textId="77777777" w:rsidR="00622BC0" w:rsidRDefault="00826C5A">
      <w:pPr>
        <w:widowControl w:val="0"/>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1.</w:t>
      </w:r>
      <w:r>
        <w:rPr>
          <w:rFonts w:ascii="Cambria" w:hAnsi="Cambria" w:cs="Cambria"/>
          <w:lang w:val="en-GB"/>
        </w:rPr>
        <w:tab/>
        <w:t xml:space="preserve">Promote full and equal access to rights, benefits and public services among women and girls with disabilities, without any discrimination; </w:t>
      </w:r>
    </w:p>
    <w:p w14:paraId="0D2CEC2B" w14:textId="77777777" w:rsidR="00622BC0" w:rsidRDefault="00826C5A">
      <w:pPr>
        <w:widowControl w:val="0"/>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2.</w:t>
      </w:r>
      <w:r>
        <w:rPr>
          <w:rFonts w:ascii="Cambria" w:hAnsi="Cambria" w:cs="Cambria"/>
          <w:lang w:val="en-GB"/>
        </w:rPr>
        <w:tab/>
        <w:t xml:space="preserve">Promote equal access to the right to health care, including reproductive health for women and girls with disabilities; </w:t>
      </w:r>
    </w:p>
    <w:p w14:paraId="0F6CE8F8" w14:textId="77777777" w:rsidR="00622BC0" w:rsidRDefault="00826C5A">
      <w:pPr>
        <w:widowControl w:val="0"/>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3.</w:t>
      </w:r>
      <w:r>
        <w:rPr>
          <w:rFonts w:ascii="Cambria" w:hAnsi="Cambria" w:cs="Cambria"/>
          <w:lang w:val="en-GB"/>
        </w:rPr>
        <w:tab/>
        <w:t xml:space="preserve">Eliminate violence, abuse, and exploitation of women and children with disabilities, and promote gender equality; </w:t>
      </w:r>
    </w:p>
    <w:p w14:paraId="6032202C" w14:textId="77777777" w:rsidR="00622BC0" w:rsidRDefault="00826C5A">
      <w:pPr>
        <w:widowControl w:val="0"/>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4.</w:t>
      </w:r>
      <w:r>
        <w:rPr>
          <w:rFonts w:ascii="Cambria" w:hAnsi="Cambria" w:cs="Cambria"/>
          <w:lang w:val="en-GB"/>
        </w:rPr>
        <w:tab/>
        <w:t>Build the capacity of women's organisations at all levels:</w:t>
      </w:r>
    </w:p>
    <w:p w14:paraId="7E092D05" w14:textId="77777777" w:rsidR="00622BC0" w:rsidRDefault="00826C5A">
      <w:pPr>
        <w:widowControl w:val="0"/>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5.</w:t>
      </w:r>
      <w:r>
        <w:rPr>
          <w:rFonts w:ascii="Cambria" w:hAnsi="Cambria" w:cs="Cambria"/>
          <w:lang w:val="en-GB"/>
        </w:rPr>
        <w:tab/>
        <w:t xml:space="preserve">Develop relevant working mechanisms for issues of women and girls with disabilities and promote their social participation. </w:t>
      </w:r>
    </w:p>
    <w:p w14:paraId="41110E61"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Persons with Disabilities Empowerment Act (PDEA) in Section 23 outlines opportunities for women with disabilities to procure business start-up loans of up to 40,000 Thai Baht or USD1,277 per individual and 1 million Thai Baht or USD32,000 per group. </w:t>
      </w:r>
    </w:p>
    <w:p w14:paraId="24690633"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addition, there are also laws that protect the women with disabilities’ rights to inclusion; namely,</w:t>
      </w:r>
    </w:p>
    <w:p w14:paraId="6C1F8DCB" w14:textId="77777777" w:rsidR="00622BC0" w:rsidRDefault="00826C5A">
      <w:pPr>
        <w:widowControl w:val="0"/>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1.</w:t>
      </w:r>
      <w:r>
        <w:rPr>
          <w:rFonts w:ascii="Cambria" w:hAnsi="Cambria" w:cs="Cambria"/>
          <w:lang w:val="en-GB"/>
        </w:rPr>
        <w:tab/>
        <w:t>The Act on Protection from Domestic Violence B.E. 2550 (2007) and the Act on Modification of the Civil and Commercial Codes, which prescribe that both men women may file for divorce, and that both may claim equal compensation from for divorce;</w:t>
      </w:r>
    </w:p>
    <w:p w14:paraId="118F9897" w14:textId="77777777" w:rsidR="00622BC0" w:rsidRDefault="00826C5A">
      <w:pPr>
        <w:widowControl w:val="0"/>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2.</w:t>
      </w:r>
      <w:r>
        <w:rPr>
          <w:rFonts w:ascii="Cambria" w:hAnsi="Cambria" w:cs="Cambria"/>
          <w:lang w:val="en-GB"/>
        </w:rPr>
        <w:tab/>
        <w:t>The Act on Modification of the Criminal Proceedings Code B.E. 2550 (2007) Section 246 and 247, which protect the right of pregnant women prisoners to raise a child from birth;</w:t>
      </w:r>
    </w:p>
    <w:p w14:paraId="4CDD8570" w14:textId="77777777" w:rsidR="00622BC0" w:rsidRDefault="00826C5A">
      <w:pPr>
        <w:widowControl w:val="0"/>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3.</w:t>
      </w:r>
      <w:r>
        <w:rPr>
          <w:rFonts w:ascii="Cambria" w:hAnsi="Cambria" w:cs="Cambria"/>
          <w:lang w:val="en-GB"/>
        </w:rPr>
        <w:tab/>
        <w:t>The Act on Tittles of Women B.E. 2551 (2008), which allows married or divorced women to use the title, "Mrs" or "Miss" as desired;</w:t>
      </w:r>
    </w:p>
    <w:p w14:paraId="6954F672" w14:textId="77777777" w:rsidR="00622BC0" w:rsidRDefault="00826C5A">
      <w:pPr>
        <w:widowControl w:val="0"/>
        <w:autoSpaceDE w:val="0"/>
        <w:autoSpaceDN w:val="0"/>
        <w:adjustRightInd w:val="0"/>
        <w:spacing w:after="200"/>
        <w:ind w:leftChars="200" w:left="960" w:right="-6" w:hangingChars="200" w:hanging="480"/>
        <w:jc w:val="both"/>
        <w:rPr>
          <w:rFonts w:ascii="Cambria" w:hAnsi="Cambria" w:cs="Cambria"/>
          <w:lang w:val="en-GB"/>
        </w:rPr>
      </w:pPr>
      <w:r>
        <w:rPr>
          <w:rFonts w:ascii="Cambria" w:hAnsi="Cambria" w:cs="Cambria"/>
          <w:lang w:val="en-GB"/>
        </w:rPr>
        <w:t>4.</w:t>
      </w:r>
      <w:r>
        <w:rPr>
          <w:rFonts w:ascii="Cambria" w:hAnsi="Cambria" w:cs="Cambria"/>
          <w:lang w:val="en-GB"/>
        </w:rPr>
        <w:tab/>
        <w:t xml:space="preserve">The Act on Prevention and Suppression of Human Trafficking (2008); </w:t>
      </w:r>
    </w:p>
    <w:p w14:paraId="7B7F6EAB" w14:textId="77777777" w:rsidR="00622BC0" w:rsidRDefault="00622BC0">
      <w:pPr>
        <w:widowControl w:val="0"/>
        <w:autoSpaceDE w:val="0"/>
        <w:autoSpaceDN w:val="0"/>
        <w:adjustRightInd w:val="0"/>
        <w:spacing w:after="200"/>
        <w:ind w:left="220" w:right="-6"/>
        <w:jc w:val="both"/>
        <w:rPr>
          <w:rFonts w:ascii="Cambria" w:hAnsi="Cambria" w:cs="Cambria"/>
          <w:lang w:val="en-GB"/>
        </w:rPr>
      </w:pPr>
    </w:p>
    <w:p w14:paraId="62C58E9B"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Implementation and Programmes</w:t>
      </w:r>
    </w:p>
    <w:p w14:paraId="4FFCAD25"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Several activities address the protection of children and women with disabilities against violence and promote the participation of women and girls with disabilities in development. The Fund for Persons with Disability also promotes relevant projects for women and girls with disabilities. In 2018, approximately 20,542,458 Thai Baht was spent to support 78 projects or 1.39% of all supported projects by the fund. Meanwhile, the loans programme for business start-up has since 2007 empowered 4,307 women with disabilities or 33.74% of all loan borrowers to start small businesses (Thailand State CRPD Report, 2012). </w:t>
      </w:r>
    </w:p>
    <w:p w14:paraId="5448C674" w14:textId="77777777" w:rsidR="00622BC0" w:rsidRDefault="00622BC0">
      <w:pPr>
        <w:widowControl w:val="0"/>
        <w:autoSpaceDE w:val="0"/>
        <w:autoSpaceDN w:val="0"/>
        <w:adjustRightInd w:val="0"/>
        <w:spacing w:after="200"/>
        <w:ind w:right="-6"/>
        <w:jc w:val="both"/>
        <w:rPr>
          <w:rFonts w:ascii="Cambria" w:hAnsi="Cambria" w:cs="Cambria"/>
          <w:lang w:val="en-GB"/>
        </w:rPr>
      </w:pPr>
    </w:p>
    <w:p w14:paraId="06F2287C"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Along with financial support, many anti-discrimination initiatives promote gender equality. Notably, the Sub-Committee on Elimination of Unfair Discrimination against Persons with Disabilities under the National Committee for Empowerment of Persons with Disabilities (NCEPD), was established to monitor any actions that constitute unfair discrimination. The Committee has powers to ban such discriminatory practice or any activity so deemed. </w:t>
      </w:r>
    </w:p>
    <w:p w14:paraId="1307D672" w14:textId="52016576"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Accordingly any person with a disability, including women and girls with disabilities who fall victim to discriminatory practices, may petition the NCEPD to rescind the outcomes of those practices or to ban them altogether. Victims are entitled to sue offenders. Section 16 of the PDEA prescribes that the courts may impose punitive penalties on offenders, i.e. fines of up to four times the value of actual damages; and Section 17 of the Act exempts the victim from legal fees. Further, women and girls with disabilities or their caregivers may be represented in legal proceedings by an OPD</w:t>
      </w:r>
      <w:r w:rsidR="0067025E">
        <w:rPr>
          <w:rFonts w:ascii="Cambria" w:hAnsi="Cambria" w:cs="Cambria"/>
          <w:lang w:val="en-GB"/>
        </w:rPr>
        <w:t>s</w:t>
      </w:r>
      <w:r>
        <w:rPr>
          <w:rFonts w:ascii="Cambria" w:hAnsi="Cambria" w:cs="Cambria"/>
          <w:lang w:val="en-GB"/>
        </w:rPr>
        <w:t xml:space="preserve"> of their choice. </w:t>
      </w:r>
    </w:p>
    <w:p w14:paraId="7B3BBE3C" w14:textId="1A9E3B35"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Participation of Civil Society and OPD</w:t>
      </w:r>
      <w:r w:rsidR="0067025E">
        <w:rPr>
          <w:rFonts w:ascii="Cambria" w:hAnsi="Cambria" w:cs="Cambria"/>
          <w:b/>
          <w:bCs/>
          <w:lang w:val="en-GB"/>
        </w:rPr>
        <w:t>s</w:t>
      </w:r>
    </w:p>
    <w:p w14:paraId="3DFDEC3F"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Disabilities Thailand in its report outlined the following gaps in the effort to achieve gender equality and promote women’s rights, particularly among persons with disabilities (Disabilities Thailand, 2016):</w:t>
      </w:r>
    </w:p>
    <w:p w14:paraId="515D0ED1" w14:textId="77777777" w:rsidR="00622BC0" w:rsidRDefault="00826C5A">
      <w:pPr>
        <w:widowControl w:val="0"/>
        <w:numPr>
          <w:ilvl w:val="0"/>
          <w:numId w:val="24"/>
        </w:numPr>
        <w:autoSpaceDE w:val="0"/>
        <w:autoSpaceDN w:val="0"/>
        <w:adjustRightInd w:val="0"/>
        <w:spacing w:after="200"/>
        <w:ind w:left="945" w:right="-6" w:hanging="465"/>
        <w:jc w:val="both"/>
        <w:rPr>
          <w:rFonts w:ascii="Cambria" w:hAnsi="Cambria" w:cs="Cambria"/>
          <w:lang w:val="en-GB"/>
        </w:rPr>
      </w:pPr>
      <w:r>
        <w:rPr>
          <w:rFonts w:ascii="Cambria" w:hAnsi="Cambria" w:cs="Cambria"/>
          <w:lang w:val="en-GB"/>
        </w:rPr>
        <w:t xml:space="preserve">Lack of education among women with disabilities in Thailand. It was recorded that only 0.8% of women with disabilities enrolled in higher education; </w:t>
      </w:r>
    </w:p>
    <w:p w14:paraId="7A0E5146" w14:textId="77777777" w:rsidR="00622BC0" w:rsidRDefault="00826C5A">
      <w:pPr>
        <w:widowControl w:val="0"/>
        <w:numPr>
          <w:ilvl w:val="0"/>
          <w:numId w:val="24"/>
        </w:numPr>
        <w:autoSpaceDE w:val="0"/>
        <w:autoSpaceDN w:val="0"/>
        <w:adjustRightInd w:val="0"/>
        <w:spacing w:after="200"/>
        <w:ind w:left="945" w:right="-6" w:hanging="465"/>
        <w:jc w:val="both"/>
        <w:rPr>
          <w:rFonts w:ascii="Cambria" w:hAnsi="Cambria" w:cs="Cambria"/>
          <w:lang w:val="en-GB"/>
        </w:rPr>
      </w:pPr>
      <w:r>
        <w:rPr>
          <w:rFonts w:ascii="Cambria" w:hAnsi="Cambria" w:cs="Cambria"/>
          <w:lang w:val="en-GB"/>
        </w:rPr>
        <w:t>Unemployment and lack of professional training for women with disabilities;</w:t>
      </w:r>
    </w:p>
    <w:p w14:paraId="1250D31C" w14:textId="77777777" w:rsidR="00622BC0" w:rsidRDefault="00826C5A">
      <w:pPr>
        <w:widowControl w:val="0"/>
        <w:numPr>
          <w:ilvl w:val="0"/>
          <w:numId w:val="24"/>
        </w:numPr>
        <w:autoSpaceDE w:val="0"/>
        <w:autoSpaceDN w:val="0"/>
        <w:adjustRightInd w:val="0"/>
        <w:spacing w:after="200"/>
        <w:ind w:left="945" w:right="-6" w:hanging="465"/>
        <w:jc w:val="both"/>
        <w:rPr>
          <w:rFonts w:ascii="Cambria" w:hAnsi="Cambria" w:cs="Cambria"/>
          <w:lang w:val="en-GB"/>
        </w:rPr>
      </w:pPr>
      <w:r>
        <w:rPr>
          <w:rFonts w:ascii="Cambria" w:hAnsi="Cambria" w:cs="Cambria"/>
          <w:lang w:val="en-GB"/>
        </w:rPr>
        <w:t>Sexual violence and harassment against women and girls with disabilities; on average, 87 persons per day are at risks of suffering domestic, physical, and sexual violence;</w:t>
      </w:r>
    </w:p>
    <w:p w14:paraId="41BF8335" w14:textId="77777777" w:rsidR="00622BC0" w:rsidRDefault="00826C5A">
      <w:pPr>
        <w:widowControl w:val="0"/>
        <w:numPr>
          <w:ilvl w:val="0"/>
          <w:numId w:val="24"/>
        </w:numPr>
        <w:autoSpaceDE w:val="0"/>
        <w:autoSpaceDN w:val="0"/>
        <w:adjustRightInd w:val="0"/>
        <w:spacing w:after="200"/>
        <w:ind w:left="945" w:right="-6" w:hanging="465"/>
        <w:jc w:val="both"/>
        <w:rPr>
          <w:rFonts w:ascii="Cambria" w:hAnsi="Cambria" w:cs="Cambria"/>
          <w:lang w:val="en-GB"/>
        </w:rPr>
      </w:pPr>
      <w:r>
        <w:rPr>
          <w:rFonts w:ascii="Cambria" w:hAnsi="Cambria" w:cs="Cambria"/>
          <w:lang w:val="en-GB"/>
        </w:rPr>
        <w:t>Inadequate access to reproductive health services for women with disabilities;</w:t>
      </w:r>
    </w:p>
    <w:p w14:paraId="6B195E45" w14:textId="77777777" w:rsidR="00622BC0" w:rsidRDefault="00826C5A">
      <w:pPr>
        <w:widowControl w:val="0"/>
        <w:numPr>
          <w:ilvl w:val="0"/>
          <w:numId w:val="24"/>
        </w:numPr>
        <w:autoSpaceDE w:val="0"/>
        <w:autoSpaceDN w:val="0"/>
        <w:adjustRightInd w:val="0"/>
        <w:spacing w:after="200"/>
        <w:ind w:left="945" w:right="-6" w:hanging="465"/>
        <w:jc w:val="both"/>
        <w:rPr>
          <w:rFonts w:ascii="Cambria" w:hAnsi="Cambria" w:cs="Cambria"/>
          <w:lang w:val="en-GB"/>
        </w:rPr>
      </w:pPr>
      <w:r>
        <w:rPr>
          <w:rFonts w:ascii="Cambria" w:hAnsi="Cambria" w:cs="Cambria"/>
          <w:lang w:val="en-GB"/>
        </w:rPr>
        <w:t>Limited platforms for women with disabilities to patriciate in public discourse.</w:t>
      </w:r>
    </w:p>
    <w:p w14:paraId="47426AFC" w14:textId="77777777" w:rsidR="00622BC0" w:rsidRDefault="00622BC0">
      <w:pPr>
        <w:widowControl w:val="0"/>
        <w:autoSpaceDE w:val="0"/>
        <w:autoSpaceDN w:val="0"/>
        <w:adjustRightInd w:val="0"/>
        <w:spacing w:after="200"/>
        <w:ind w:right="-6"/>
        <w:jc w:val="both"/>
        <w:rPr>
          <w:rFonts w:ascii="Cambria" w:hAnsi="Cambria" w:cs="Cambria"/>
          <w:lang w:val="en-GB"/>
        </w:rPr>
      </w:pPr>
    </w:p>
    <w:p w14:paraId="5A0F315E" w14:textId="77777777" w:rsidR="00622BC0" w:rsidRDefault="00826C5A">
      <w:pPr>
        <w:widowControl w:val="0"/>
        <w:tabs>
          <w:tab w:val="left" w:pos="220"/>
        </w:tabs>
        <w:autoSpaceDE w:val="0"/>
        <w:autoSpaceDN w:val="0"/>
        <w:adjustRightInd w:val="0"/>
        <w:spacing w:after="200"/>
        <w:ind w:right="-6"/>
        <w:jc w:val="both"/>
        <w:rPr>
          <w:rFonts w:ascii="Cambria" w:hAnsi="Cambria" w:cs="Cambria"/>
          <w:b/>
          <w:bCs/>
          <w:lang w:val="en-GB"/>
        </w:rPr>
      </w:pPr>
      <w:r>
        <w:rPr>
          <w:rFonts w:ascii="Cambria" w:hAnsi="Cambria" w:cs="Cambria"/>
          <w:b/>
          <w:bCs/>
          <w:lang w:val="en-GB"/>
        </w:rPr>
        <w:t>6.</w:t>
      </w:r>
      <w:r>
        <w:rPr>
          <w:rFonts w:ascii="Cambria" w:hAnsi="Cambria" w:cs="Cambria"/>
          <w:b/>
          <w:bCs/>
          <w:lang w:val="en-GB"/>
        </w:rPr>
        <w:tab/>
        <w:t xml:space="preserve"> </w:t>
      </w:r>
      <w:r>
        <w:rPr>
          <w:rFonts w:ascii="Cambria" w:hAnsi="Cambria" w:cs="Cambria"/>
          <w:b/>
          <w:bCs/>
          <w:lang w:val="en-GB"/>
        </w:rPr>
        <w:tab/>
        <w:t>SDG Goal 8 - Decent Work and Economic Growth</w:t>
      </w:r>
    </w:p>
    <w:p w14:paraId="13E5CB9A"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Policy and Regulations</w:t>
      </w:r>
    </w:p>
    <w:p w14:paraId="71C08E5C" w14:textId="2280CCF6"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2007 Constitution guarantees the right to employment for all Thai citizens. Section 43 of the Constitution stipulates people’s freedom to access work and employment under free and fair competition. The 1998 Labour Protection Act was revised in 2008 to provide for job placement for persons with disabilities.  From October 2009 through March 2010, 506 persons with disabilities registered for </w:t>
      </w:r>
      <w:proofErr w:type="spellStart"/>
      <w:r>
        <w:rPr>
          <w:rFonts w:ascii="Cambria" w:hAnsi="Cambria" w:cs="Cambria"/>
          <w:lang w:val="en-GB"/>
        </w:rPr>
        <w:t>jobss</w:t>
      </w:r>
      <w:proofErr w:type="spellEnd"/>
      <w:r>
        <w:rPr>
          <w:rFonts w:ascii="Cambria" w:hAnsi="Cambria" w:cs="Cambria"/>
          <w:lang w:val="en-GB"/>
        </w:rPr>
        <w:t xml:space="preserve"> and 291 were employed.</w:t>
      </w:r>
    </w:p>
    <w:p w14:paraId="30917135"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addition, the Section 20 of the PDEA entitles persons with disabilities to vocational rehabilitation, including standard services, labour protection, access to media, technologies and any other assistance to support gainful work for persons with disabilities. The section 33 of PDEA stipulates that employers, including entrepreneurs and government agencies, shall employ persons with disabilities to work in suitable positions, proportionate to the total number of the employees.</w:t>
      </w:r>
    </w:p>
    <w:p w14:paraId="56B0C4FC"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National Persons with Disabilities' Quality of Life Developmental Plan Vol. 4 (2012–2016) and Vol. 5 (2017–2021) prioritise the topic of employment, particularly rights of persons with disabilities’ access to work. During the past few years, several others projects and policies were structured to promote employment for persons with disabilities.</w:t>
      </w:r>
    </w:p>
    <w:p w14:paraId="5681E35E"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Notable examples include the Ministry of Labour’s efforts to promote employment for persons with disabilities in governmental agencies and the Ministry of Social Development and Human Security’s initiative to prepare them for work. The primary legislative force driving such initiatives was the Persons with Disabilities Empowerment Act, B.E. 2550 (2007). This Act, notably, Sections 33, 34, and 35, provide for an integrated scheme that utilises quotas, levies and other proactive measures to promote employment for these persons. Section 33 extended the quota system to state agencies, according to a ratio specified by ministerial regulation. On 22 June 2010, a Cabinet resolution operationalised a new ministerial regulation mandating both public and private organisations to hire one person with disability for every 100 employees, instead of 200 employees, as specified in the earlier Ministerial Regulation No. 1 of 1994.</w:t>
      </w:r>
    </w:p>
    <w:p w14:paraId="4FFC7599"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On the other hand, Section 35 of the above Act provides that, any employer not participating in the quota system may opt to either create jobs for persons with disabilities or contribute to the Public Fund for the Empowerment of Persons with Disabilities, the so-called "levy system." Late payment to the Fund incurs interest at the rate of 7.5% per annum. The General Director of The National Office for Empowerment of Persons with Disability is authorised to force forfeiture of assets against defaulters. Sections 34, 36 and 39 further strengthen enforcement by piling up social sanctions, stipulating that a list of defaulters shall be publicised.</w:t>
      </w:r>
    </w:p>
    <w:p w14:paraId="2338505E"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In terms of job retention, the labour laws do not protect workers with disabilities. An employee who acquires a disability at work may lose the job. The Civil and Commercial Code in No.578 entitles an employer to terminate the employment of an employee who loses the capability to work. In this case, however, the worker with disability has the right to claim compensation and severance pay under Section 118 of the Labour Protection Act, or file a petition or lawsuit against an unjust determination. </w:t>
      </w:r>
    </w:p>
    <w:p w14:paraId="1D783B35" w14:textId="77777777" w:rsidR="00622BC0" w:rsidRDefault="00622BC0">
      <w:pPr>
        <w:widowControl w:val="0"/>
        <w:autoSpaceDE w:val="0"/>
        <w:autoSpaceDN w:val="0"/>
        <w:adjustRightInd w:val="0"/>
        <w:spacing w:after="200"/>
        <w:ind w:right="-6"/>
        <w:jc w:val="both"/>
        <w:rPr>
          <w:rFonts w:ascii="Cambria" w:hAnsi="Cambria" w:cs="Cambria"/>
          <w:b/>
          <w:bCs/>
          <w:lang w:val="en-GB"/>
        </w:rPr>
      </w:pPr>
    </w:p>
    <w:p w14:paraId="28840FFC" w14:textId="77777777" w:rsidR="00622BC0" w:rsidRDefault="00622BC0">
      <w:pPr>
        <w:widowControl w:val="0"/>
        <w:autoSpaceDE w:val="0"/>
        <w:autoSpaceDN w:val="0"/>
        <w:adjustRightInd w:val="0"/>
        <w:spacing w:after="200"/>
        <w:ind w:right="-6"/>
        <w:jc w:val="both"/>
        <w:rPr>
          <w:rFonts w:ascii="Cambria" w:hAnsi="Cambria" w:cs="Cambria"/>
          <w:b/>
          <w:bCs/>
          <w:lang w:val="en-GB"/>
        </w:rPr>
      </w:pPr>
    </w:p>
    <w:p w14:paraId="6D660512"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Implementation and Programmes</w:t>
      </w:r>
    </w:p>
    <w:p w14:paraId="7DDD6B29"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In 2019, employers nationwide were required to hire 69,961 persons with disabilities to comply with the 1% quota system. Only 38,112 persons with disabilities or 54% of the required threshold were employed in government agencies, whereas 12,746 persons with disabilities or 18% were in the private sector. In total, 50,858 persons with disabilities or approximately 72% were employed, as seen in the figure below. </w:t>
      </w:r>
    </w:p>
    <w:p w14:paraId="32650C31" w14:textId="77777777" w:rsidR="00622BC0" w:rsidRDefault="00826C5A">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Figure 14: Employed Persons with Disabilities by Quota System in Thailand</w:t>
      </w:r>
    </w:p>
    <w:p w14:paraId="699176DC" w14:textId="77777777" w:rsidR="00622BC0" w:rsidRDefault="00826C5A">
      <w:pPr>
        <w:widowControl w:val="0"/>
        <w:autoSpaceDE w:val="0"/>
        <w:autoSpaceDN w:val="0"/>
        <w:adjustRightInd w:val="0"/>
        <w:spacing w:after="200"/>
        <w:ind w:right="-6"/>
        <w:jc w:val="center"/>
        <w:rPr>
          <w:lang w:val="en-GB"/>
        </w:rPr>
      </w:pPr>
      <w:r>
        <w:rPr>
          <w:noProof/>
          <w:lang w:val="en-GB"/>
        </w:rPr>
        <w:drawing>
          <wp:inline distT="0" distB="0" distL="0" distR="0" wp14:anchorId="732848BF" wp14:editId="6B7BB65A">
            <wp:extent cx="5270500" cy="3011170"/>
            <wp:effectExtent l="0" t="0" r="0" b="0"/>
            <wp:docPr id="46140" name="Picture 46140"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46140" name="Picture 46140" descr="A screenshot of a cell phone&#10;&#10;Description automatically generated"/>
                    <pic:cNvPicPr/>
                  </pic:nvPicPr>
                  <pic:blipFill>
                    <a:blip r:embed="rId80"/>
                    <a:stretch>
                      <a:fillRect/>
                    </a:stretch>
                  </pic:blipFill>
                  <pic:spPr>
                    <a:xfrm>
                      <a:off x="0" y="0"/>
                      <a:ext cx="5270500" cy="3011267"/>
                    </a:xfrm>
                    <a:prstGeom prst="rect">
                      <a:avLst/>
                    </a:prstGeom>
                  </pic:spPr>
                </pic:pic>
              </a:graphicData>
            </a:graphic>
          </wp:inline>
        </w:drawing>
      </w:r>
    </w:p>
    <w:p w14:paraId="2039E22A"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2014, the National Office for Empowerment of Persons with Disabilities, in collaboration with other organisations, launched an online jobs platform for persons with disabilities. This initiative aims to promote formal employment and self-employment for this group of people. Meanwhile, there are many vocational rehabilitation and job readiness programmes for persons with disabilities.</w:t>
      </w:r>
    </w:p>
    <w:p w14:paraId="5BAEEE4E"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Notably, the Ministry of Labour, through the Department of Skill Development, promotes skills training that is responsive to industry needs. It also plays a significant role in upgrading skills’ standards for active labour and promoting cooperation between the private sector and training institutes, i.e. facilitating apprenticeship opportunities for high school and college students or students in government training institutes. The Ministry also identifies high-value jobs for persons with disabilities and posts them on the job coach centre, a platform that integrates employment programmes and opportunities for persons with disabilities throughout the country. The centre promotes collaboration among employers and other industry stakeholders. It currently focuses on knowledge management as a supporting tool for employers and OPDs nationwide, by analysing and designing suitable jobs</w:t>
      </w:r>
      <w:r>
        <w:rPr>
          <w:rFonts w:ascii="Calibri" w:hAnsi="Calibri" w:cs="Calibri"/>
          <w:lang w:val="en-GB"/>
        </w:rPr>
        <w:t>, building networks in the job market, including</w:t>
      </w:r>
      <w:r>
        <w:rPr>
          <w:rFonts w:ascii="Cambria" w:hAnsi="Cambria" w:cs="Cambria"/>
          <w:lang w:val="en-GB"/>
        </w:rPr>
        <w:t xml:space="preserve"> experts like prospective job coaches for employees with disabilities. </w:t>
      </w:r>
    </w:p>
    <w:p w14:paraId="4DCD35E5"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Further, the Ministry of Social Development and Human Security runs an innovative project that promotes employment of persons with disabilities in a hospital setting. The aim to have persons with disabilities earn a living while receiving rehabilitation services in hospitals. In the pilot phase, 32 hospitals in 32 provinces were selected for the project. The next phase shall establish disability service centres in these pioneer hospitals, along with increasing their capacity to both employ and rehabilitate. This project helps to empower persons with disabilities to become role models to others in their local community. However, the possibility is high that certain jobs may get associated only with persons with disabilities, thus unfortunately stigmatizing them. To mitigate this possibility, the government should establish inclusive employment capacity building for all citizens, at the national and community levels.</w:t>
      </w:r>
    </w:p>
    <w:p w14:paraId="5499771E"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goals of employing persons with disabilities is to promote their individual financial security and, thus, ability to live independently. The notion of independent living is continuously promoted during vocational training and in their various occupations. Public awareness campaigns to create positive attitudes towards persons with disabilities is also continuously conducted, calumniating in the annual Disability Day in December, which is packed with activities and certificates are awarded to employers who exceeded regulatory thresholds in hiring persons with disabilities and implementing their programmes.. </w:t>
      </w:r>
    </w:p>
    <w:p w14:paraId="09B97EFA" w14:textId="77777777" w:rsidR="00622BC0" w:rsidRDefault="00622BC0">
      <w:pPr>
        <w:widowControl w:val="0"/>
        <w:autoSpaceDE w:val="0"/>
        <w:autoSpaceDN w:val="0"/>
        <w:adjustRightInd w:val="0"/>
        <w:spacing w:after="200"/>
        <w:ind w:right="-6"/>
        <w:jc w:val="both"/>
        <w:rPr>
          <w:rFonts w:ascii="Cambria" w:hAnsi="Cambria" w:cs="Cambria"/>
          <w:b/>
          <w:bCs/>
          <w:lang w:val="en-GB"/>
        </w:rPr>
      </w:pPr>
    </w:p>
    <w:p w14:paraId="2C48F5C4" w14:textId="435223D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Participation of Civil Society and OPD</w:t>
      </w:r>
      <w:r w:rsidR="0067025E">
        <w:rPr>
          <w:rFonts w:ascii="Cambria" w:hAnsi="Cambria" w:cs="Cambria"/>
          <w:b/>
          <w:bCs/>
          <w:lang w:val="en-GB"/>
        </w:rPr>
        <w:t>s</w:t>
      </w:r>
    </w:p>
    <w:p w14:paraId="06093BD8"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Fund Empowerment for Persons with Disabilities (FEPD) allocates a budget for empowering persons with disabilities through skills up-scaling, training, matchmaking programmes, job market facilitation, business development, etc. The funds for this scheme comes from a government levy on state agencies and private companies that opt to pay the levy instead of recruiting persons with disabilities to meet the required 100:1 quota.</w:t>
      </w:r>
    </w:p>
    <w:p w14:paraId="53EC7AAE" w14:textId="467F0831"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However, the report of Disabilities Thailand revealed that approximately 40% of the funds collected under FEPD are mostly spent on government programmes, and that only 15% goes to supporting civil society activities, particularly the work of OPD</w:t>
      </w:r>
      <w:r w:rsidR="0067025E">
        <w:rPr>
          <w:rFonts w:ascii="Cambria" w:hAnsi="Cambria" w:cs="Cambria"/>
          <w:lang w:val="en-GB"/>
        </w:rPr>
        <w:t>s</w:t>
      </w:r>
      <w:r>
        <w:rPr>
          <w:rFonts w:ascii="Cambria" w:hAnsi="Cambria" w:cs="Cambria"/>
          <w:lang w:val="en-GB"/>
        </w:rPr>
        <w:t xml:space="preserve"> (Disabilities Thailand, 2016). The report urges the Thai government to allocate more FPED funds to OPD</w:t>
      </w:r>
      <w:r w:rsidR="0067025E">
        <w:rPr>
          <w:rFonts w:ascii="Cambria" w:hAnsi="Cambria" w:cs="Cambria"/>
          <w:lang w:val="en-GB"/>
        </w:rPr>
        <w:t>s</w:t>
      </w:r>
      <w:r>
        <w:rPr>
          <w:rFonts w:ascii="Cambria" w:hAnsi="Cambria" w:cs="Cambria"/>
          <w:lang w:val="en-GB"/>
        </w:rPr>
        <w:t>, to enhance their work in promoting the rights to work and employment for persons with disabilities.</w:t>
      </w:r>
    </w:p>
    <w:p w14:paraId="322B4F89" w14:textId="77777777" w:rsidR="00622BC0" w:rsidRDefault="00622BC0">
      <w:pPr>
        <w:widowControl w:val="0"/>
        <w:autoSpaceDE w:val="0"/>
        <w:autoSpaceDN w:val="0"/>
        <w:adjustRightInd w:val="0"/>
        <w:spacing w:after="200"/>
        <w:ind w:right="-6"/>
        <w:jc w:val="both"/>
        <w:rPr>
          <w:rFonts w:ascii="Cambria" w:hAnsi="Cambria" w:cs="Cambria"/>
          <w:b/>
          <w:bCs/>
          <w:lang w:val="en-GB"/>
        </w:rPr>
      </w:pPr>
    </w:p>
    <w:p w14:paraId="42970AF1" w14:textId="77777777" w:rsidR="00622BC0" w:rsidRDefault="00622BC0">
      <w:pPr>
        <w:widowControl w:val="0"/>
        <w:autoSpaceDE w:val="0"/>
        <w:autoSpaceDN w:val="0"/>
        <w:adjustRightInd w:val="0"/>
        <w:spacing w:after="200"/>
        <w:ind w:right="-6"/>
        <w:jc w:val="both"/>
        <w:rPr>
          <w:rFonts w:ascii="Cambria" w:hAnsi="Cambria" w:cs="Cambria"/>
          <w:b/>
          <w:bCs/>
          <w:lang w:val="en-GB"/>
        </w:rPr>
      </w:pPr>
    </w:p>
    <w:p w14:paraId="378BA707" w14:textId="77777777" w:rsidR="00622BC0" w:rsidRDefault="00622BC0">
      <w:pPr>
        <w:widowControl w:val="0"/>
        <w:autoSpaceDE w:val="0"/>
        <w:autoSpaceDN w:val="0"/>
        <w:adjustRightInd w:val="0"/>
        <w:spacing w:after="200"/>
        <w:ind w:right="-6"/>
        <w:jc w:val="both"/>
        <w:rPr>
          <w:rFonts w:ascii="Cambria" w:hAnsi="Cambria" w:cs="Cambria"/>
          <w:b/>
          <w:bCs/>
          <w:lang w:val="en-GB"/>
        </w:rPr>
      </w:pPr>
    </w:p>
    <w:p w14:paraId="03938B77"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7.</w:t>
      </w:r>
      <w:r>
        <w:rPr>
          <w:rFonts w:ascii="Cambria" w:hAnsi="Cambria" w:cs="Cambria"/>
          <w:b/>
          <w:bCs/>
          <w:lang w:val="en-GB"/>
        </w:rPr>
        <w:tab/>
        <w:t xml:space="preserve"> SDG Goal 11 - Sustainable Cities and Communities</w:t>
      </w:r>
    </w:p>
    <w:p w14:paraId="4E5A187D"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Policy and Regulations</w:t>
      </w:r>
    </w:p>
    <w:p w14:paraId="6CE9F7A1" w14:textId="77777777" w:rsidR="00622BC0" w:rsidRDefault="00826C5A">
      <w:pPr>
        <w:widowControl w:val="0"/>
        <w:autoSpaceDE w:val="0"/>
        <w:autoSpaceDN w:val="0"/>
        <w:adjustRightInd w:val="0"/>
        <w:spacing w:after="200"/>
        <w:ind w:right="-6"/>
        <w:jc w:val="both"/>
        <w:rPr>
          <w:rFonts w:ascii="Cambria" w:hAnsi="Cambria"/>
          <w:lang w:val="en-GB"/>
        </w:rPr>
      </w:pPr>
      <w:r>
        <w:rPr>
          <w:rFonts w:ascii="Cambria" w:hAnsi="Cambria" w:cs="Cambria"/>
          <w:lang w:val="en-GB"/>
        </w:rPr>
        <w:t xml:space="preserve">Use of public facilities by persons with disabilities in Thailand is regulated by several Acts of Parliament. </w:t>
      </w:r>
      <w:r>
        <w:rPr>
          <w:rFonts w:ascii="Cambria" w:hAnsi="Cambria"/>
          <w:lang w:val="en-GB"/>
        </w:rPr>
        <w:t xml:space="preserve">Following the Section 37 of Persons with Disabilities Empowerment Act, B.E. 2550 (2007), the Ministerial Regulation on the provision of equipment's, facilities or services in the buildings, places, vehicles, transportation services, and other public services was issued by the key minister to those areas namely Minister of Social Development and Human Security and Minister of Transport and Minister of Interior. </w:t>
      </w:r>
    </w:p>
    <w:p w14:paraId="66CDBEFE"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lang w:val="en-GB"/>
        </w:rPr>
        <w:t xml:space="preserve">Also, the Ministerial Regulation on Specification and Provision of Equipment's, Facilities or Services in the Buildings, Places, Vehicles, Transportation Services, and Other Public Services (B.E. 2555) and the Ministerial Regulation on Accommodations in the Building for Persons with Disabilities and Older People (B.E. 2548) were enacted to ensure accessibility for persons with disabilities (Thai, 2005). </w:t>
      </w:r>
    </w:p>
    <w:p w14:paraId="7E24F880"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In addition, Section 20 of the Persons with Disabilities Empowerment Act, B.E. 2550 (2007) establishes that persons with disabilities have the right to access and utilise public facilities. Then, the Regulation of National Committee for Empowerment of Persons with Disabilities, Vol. 2, B.E. 2555 (2012) develops criteria and procedure for housing, requiring reasonable accommodations for persons with disabilities and making provisions their assistants and caretakers. In short, the regulation specifies the mechanism and process to assist persons with disabilities to live independently. </w:t>
      </w:r>
    </w:p>
    <w:p w14:paraId="5DCC6AB1"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Overall, progress is noted in persons with disabilities’ access to public buildings and public transportation. Nonetheless, this access is not yet broadly implemented; rural areas still remain behind because of challenges, such as lack of awareness and limited budget. </w:t>
      </w:r>
    </w:p>
    <w:p w14:paraId="0625EE5B" w14:textId="384F6BF6"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Regarding human rights, the government developed an action plan, Vol. 3 B.E. 2557-2561 (2014-2018), which is a guideline for government agencies to work in four dimensions; namely, prevention of human rights violations, protection of human rights, legislating and enforcement of laws on human rights, and capacity building of networks to protect human rights. The action plan represents an ideal to achieve equality among all citizens and full human rights protections. </w:t>
      </w:r>
    </w:p>
    <w:p w14:paraId="3AD9D75B"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On assistive technologies, the 2018 Accessibility for All Act the ultimate legal reference in the provision of equipment and facilities for persons with disabilities. The Department of Empowerment of Persons with Disabilities, under the Ministry of Social Welfare and Human Security, is responsible for drawing a national list of assistive technologies. The Assistive Technology and Medical Device research centre is a newly established facility under the National Science and Technology Development Agency. Its mandate it to promote the research and development of assistive technology devices for persons with disabilities and the elderly. The centre shall also develop medical devices for the rehabilitation of persons with disabilities.</w:t>
      </w:r>
    </w:p>
    <w:p w14:paraId="52278B3C" w14:textId="77777777" w:rsidR="00622BC0" w:rsidRDefault="00622BC0">
      <w:pPr>
        <w:widowControl w:val="0"/>
        <w:autoSpaceDE w:val="0"/>
        <w:autoSpaceDN w:val="0"/>
        <w:adjustRightInd w:val="0"/>
        <w:spacing w:after="200"/>
        <w:ind w:right="-6"/>
        <w:jc w:val="both"/>
        <w:rPr>
          <w:rFonts w:ascii="Cambria" w:hAnsi="Cambria" w:cs="Cambria"/>
          <w:b/>
          <w:bCs/>
          <w:highlight w:val="yellow"/>
          <w:lang w:val="en-GB"/>
        </w:rPr>
      </w:pPr>
    </w:p>
    <w:p w14:paraId="52155A15" w14:textId="77777777" w:rsidR="00622BC0" w:rsidRDefault="00826C5A">
      <w:pPr>
        <w:widowControl w:val="0"/>
        <w:autoSpaceDE w:val="0"/>
        <w:autoSpaceDN w:val="0"/>
        <w:adjustRightInd w:val="0"/>
        <w:spacing w:after="200"/>
        <w:ind w:right="-6"/>
        <w:jc w:val="both"/>
        <w:rPr>
          <w:rFonts w:ascii="Cambria" w:hAnsi="Cambria" w:cs="Cambria"/>
          <w:b/>
          <w:bCs/>
          <w:lang w:val="en-GB"/>
        </w:rPr>
      </w:pPr>
      <w:r w:rsidRPr="00826C5A">
        <w:rPr>
          <w:rFonts w:ascii="Cambria" w:hAnsi="Cambria" w:cs="Cambria"/>
          <w:b/>
          <w:bCs/>
          <w:lang w:val="en-GB"/>
        </w:rPr>
        <w:t>Implementation and Programmes</w:t>
      </w:r>
    </w:p>
    <w:p w14:paraId="182DB6F1"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strategy by the Office of Transport Policy and Traffic, Ministry of Transport to develop transport systems in Thailand in 20 years from 2017-2036, includes the concept of “inclusive transport” as a central element in the design. The planned mass public transportation system includes a revamped railway. Multiple stakeholders are involved in a mega, high-speed rail project. A committee of persons with disabilities is among the stakeholders. </w:t>
      </w:r>
    </w:p>
    <w:p w14:paraId="2CCFF0D4"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Already, five lines of rail transport are in operation in Bangkok and surrounding cities. Out of 98 stations, 97 have elevators installed. Children and adults with disability identification cards can ride for free. Also, 489 low-floor buses are in service. The Bangkok Mass Transit Authority has a plan to shift to all low-floor buses by 2022. These transportation modes would facilitate children and adults with disabilities to travel independently and more economically. </w:t>
      </w:r>
    </w:p>
    <w:p w14:paraId="4056AE1C"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On housing, many public funding sources are available to finance the adjustment facilities for persons with disabilities. Funders include the Ministry of Social Welfare and Human Security, the Provincial Rehabilitation and Health Fund, and local administrative organisations/municipalities. </w:t>
      </w:r>
    </w:p>
    <w:p w14:paraId="586251BF"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A notable example to promote independent living and better quality of life for persons with disabilities is the “Smile City for All" project, a DEP initiative. Smile City for All is designed to accommodate everyone. To pilot the model, DEP selected six provinces; namely, Chiangmai, Chonburi, </w:t>
      </w:r>
      <w:proofErr w:type="spellStart"/>
      <w:r>
        <w:rPr>
          <w:rFonts w:ascii="Cambria" w:hAnsi="Cambria" w:cs="Cambria"/>
          <w:lang w:val="en-GB"/>
        </w:rPr>
        <w:t>Khonkaen</w:t>
      </w:r>
      <w:proofErr w:type="spellEnd"/>
      <w:r>
        <w:rPr>
          <w:rFonts w:ascii="Cambria" w:hAnsi="Cambria" w:cs="Cambria"/>
          <w:lang w:val="en-GB"/>
        </w:rPr>
        <w:t xml:space="preserve">, </w:t>
      </w:r>
      <w:proofErr w:type="spellStart"/>
      <w:r>
        <w:rPr>
          <w:rFonts w:ascii="Cambria" w:hAnsi="Cambria" w:cs="Cambria"/>
          <w:lang w:val="en-GB"/>
        </w:rPr>
        <w:t>Songkla</w:t>
      </w:r>
      <w:proofErr w:type="spellEnd"/>
      <w:r>
        <w:rPr>
          <w:rFonts w:ascii="Cambria" w:hAnsi="Cambria" w:cs="Cambria"/>
          <w:lang w:val="en-GB"/>
        </w:rPr>
        <w:t xml:space="preserve">, </w:t>
      </w:r>
      <w:proofErr w:type="spellStart"/>
      <w:r>
        <w:rPr>
          <w:rFonts w:ascii="Cambria" w:hAnsi="Cambria" w:cs="Cambria"/>
          <w:lang w:val="en-GB"/>
        </w:rPr>
        <w:t>Krabee</w:t>
      </w:r>
      <w:proofErr w:type="spellEnd"/>
      <w:r>
        <w:rPr>
          <w:rFonts w:ascii="Cambria" w:hAnsi="Cambria" w:cs="Cambria"/>
          <w:lang w:val="en-GB"/>
        </w:rPr>
        <w:t xml:space="preserve"> and Nonthaburi. In addition, there is an attempt to establish a learning centre for innovations and assistive technologies. Among other functions, the centre would educate the public on research, innovations and assistive technologies for persons with disabilities. Many types of equipment and disability aids would be displayed in the centre.</w:t>
      </w:r>
    </w:p>
    <w:p w14:paraId="4EE6E39A" w14:textId="126A11DA"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Participation of Civil Society and OPD</w:t>
      </w:r>
      <w:r w:rsidR="0067025E">
        <w:rPr>
          <w:rFonts w:ascii="Cambria" w:hAnsi="Cambria" w:cs="Cambria"/>
          <w:b/>
          <w:bCs/>
          <w:lang w:val="en-GB"/>
        </w:rPr>
        <w:t>s</w:t>
      </w:r>
    </w:p>
    <w:p w14:paraId="0AB67546" w14:textId="0A3B87B4"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their 2016 CRPD shadow report, Disabilities Thailand and other OPD</w:t>
      </w:r>
      <w:r w:rsidR="0067025E">
        <w:rPr>
          <w:rFonts w:ascii="Cambria" w:hAnsi="Cambria" w:cs="Cambria"/>
          <w:lang w:val="en-GB"/>
        </w:rPr>
        <w:t>s</w:t>
      </w:r>
      <w:r>
        <w:rPr>
          <w:rFonts w:ascii="Cambria" w:hAnsi="Cambria" w:cs="Cambria"/>
          <w:lang w:val="en-GB"/>
        </w:rPr>
        <w:t xml:space="preserve"> advocated for the Accessibility for All Act to ensure that physical environment, transportation, information, communication technology, building facilities, and public services are compliant with CRPD (Disabilities Thailand, 2016). In addition, they advocated for a standard monitoring mechanism to ensure that designs for these are genuinely inclusive and accessible to persons with disabilities.</w:t>
      </w:r>
    </w:p>
    <w:p w14:paraId="14BDA83E"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Furthermore, to consolidate efforts on issues of public transportation for everyone, persons with cross-disability started a group called Transportation for All. The goal of this group is to build, through a participatory process, a mechanism for an accessible public transportation system for all persons with disabilities. Accordingly, the group created an action plan to survey the accessibility of rail infrastructure for the elderly and persons with disabilities. Central to this plan is the work of trained auditors to essential buildings and all related infrastructure. A benchmarking tool or public transport accessibility index called Public Transport Accessibility Index was created to automatically assess the rail system’s accessibility. </w:t>
      </w:r>
    </w:p>
    <w:p w14:paraId="4AEC13A3"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Concerning Disaster Risk Management, the Thai government established the National Plan for Disaster Prevention and Mitigation of 2010-2014, which included principles and procedures for preventing and mitigating public disasters and threats to security. The Department of Disaster and Prevention and Mitigation under the Ministry of Interior was the administrative lead for the policy implementation. On the other hand, the effort to develop affordable housing schemes in Thailand is not benefiting persons with disabilities. Although the PDEA Act guarantees to persons with disabilities the right to independent living, issues of legal standing, stigma, affirmation for tax-paying and credit schemes remain unresolved.</w:t>
      </w:r>
    </w:p>
    <w:p w14:paraId="7BBA5E80" w14:textId="77777777" w:rsidR="00622BC0" w:rsidRDefault="00622BC0">
      <w:pPr>
        <w:widowControl w:val="0"/>
        <w:autoSpaceDE w:val="0"/>
        <w:autoSpaceDN w:val="0"/>
        <w:adjustRightInd w:val="0"/>
        <w:spacing w:after="200"/>
        <w:ind w:right="-6"/>
        <w:jc w:val="both"/>
        <w:rPr>
          <w:rFonts w:ascii="Cambria" w:hAnsi="Cambria" w:cs="Cambria"/>
          <w:lang w:val="en-GB"/>
        </w:rPr>
      </w:pPr>
    </w:p>
    <w:p w14:paraId="37C851DB" w14:textId="77777777" w:rsidR="00622BC0" w:rsidRDefault="00826C5A">
      <w:pPr>
        <w:widowControl w:val="0"/>
        <w:autoSpaceDE w:val="0"/>
        <w:autoSpaceDN w:val="0"/>
        <w:adjustRightInd w:val="0"/>
        <w:spacing w:after="200"/>
        <w:ind w:left="723" w:right="-6" w:hangingChars="300" w:hanging="723"/>
        <w:jc w:val="both"/>
        <w:rPr>
          <w:rFonts w:ascii="Cambria" w:hAnsi="Cambria" w:cs="Cambria"/>
          <w:b/>
          <w:bCs/>
          <w:lang w:val="en-GB"/>
        </w:rPr>
      </w:pPr>
      <w:r>
        <w:rPr>
          <w:rFonts w:ascii="Cambria" w:hAnsi="Cambria" w:cs="Cambria"/>
          <w:b/>
          <w:bCs/>
        </w:rPr>
        <w:t xml:space="preserve">8. </w:t>
      </w:r>
      <w:r>
        <w:rPr>
          <w:rFonts w:ascii="Cambria" w:hAnsi="Cambria" w:cs="Cambria"/>
          <w:b/>
          <w:bCs/>
        </w:rPr>
        <w:tab/>
      </w:r>
      <w:r>
        <w:rPr>
          <w:rFonts w:ascii="Cambria" w:hAnsi="Cambria" w:cs="Cambria"/>
          <w:b/>
          <w:bCs/>
          <w:lang w:val="en-GB"/>
        </w:rPr>
        <w:t>Challenges and Recommendations for the Implementation of CRPD and SDGs in Thailand</w:t>
      </w:r>
    </w:p>
    <w:p w14:paraId="1AF9140E"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Thailand is committed to a rights-based disability policy where legal compliance to CRPD and SDGs is a pivotal entry point for inclusive development, according to the pledge "leave no one behind." The CRPD, along with SDGs, foster human rights protection for everyone, especially those with disabilities. The effectiveness of implementation depends on a correct understanding and internalizing of the CRPD principles in particular, by government officials and other development actors. Specific indicators, independent monitoring bodies and regular reporting are vital instruments in holding actors accountable.</w:t>
      </w:r>
    </w:p>
    <w:p w14:paraId="60831A3A"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Thailand’s focal point on disabilities, DEP, collaborates with other organisations, both private and public, to improve the lives of persons with disabilities. Moreover, the Empowerment of Persons with Disability Fund is established to provide financial support to relevant projects and activities.</w:t>
      </w:r>
    </w:p>
    <w:p w14:paraId="2092054E"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promotion of quality life for persons with disabilities would be achieved mainly through the political and legislative process, instead of the CRPD and SDGs principles. Nonetheless, a considerable gap between policy and actual implementation persists (</w:t>
      </w:r>
      <w:proofErr w:type="spellStart"/>
      <w:r>
        <w:rPr>
          <w:rFonts w:ascii="Cambria" w:hAnsi="Cambria" w:cs="Cambria"/>
          <w:lang w:val="en-GB"/>
        </w:rPr>
        <w:t>Rutt</w:t>
      </w:r>
      <w:proofErr w:type="spellEnd"/>
      <w:r>
        <w:rPr>
          <w:rFonts w:ascii="Cambria" w:hAnsi="Cambria" w:cs="Cambria"/>
          <w:lang w:val="en-GB"/>
        </w:rPr>
        <w:t xml:space="preserve"> </w:t>
      </w:r>
      <w:proofErr w:type="spellStart"/>
      <w:r>
        <w:rPr>
          <w:rFonts w:ascii="Cambria" w:hAnsi="Cambria" w:cs="Cambria"/>
          <w:lang w:val="en-GB"/>
        </w:rPr>
        <w:t>Kijtham</w:t>
      </w:r>
      <w:proofErr w:type="spellEnd"/>
      <w:r>
        <w:rPr>
          <w:rFonts w:ascii="Cambria" w:hAnsi="Cambria" w:cs="Cambria"/>
          <w:lang w:val="en-GB"/>
        </w:rPr>
        <w:t xml:space="preserve">, 2019). This gap is even wider between persons with disabilities in the urban and rural areas. Most persons with disabilities in Thailand live in outer provinces and remote areas. An estimated 40% of registered persons with disabilities live in the Northeast, 11% are in the South, and only 4% live in the capital, Bangkok. Thus, ensuring full access to services for all is even more challenging. </w:t>
      </w:r>
    </w:p>
    <w:p w14:paraId="1CE239D6"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Regarding the promotion of inclusive education for persons with disabilities, the Thai government is making commendable progress. However, factors such as insufficient early intervention, inadequate resources and personnel, shortage of assistive equipment in schools and general inflexibility of the education system to tailor infrastructure and services to the specific needs of children with disabilities constitute an important challenge. The consequence is a higher risk of unemployment when persons of disabilities enter the workforce.</w:t>
      </w:r>
    </w:p>
    <w:p w14:paraId="2DD17892"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Regardless, DEP still puts great effort in improving persons with disabilities’ quality of life in all dimensions, including advocacy for financial support and grants, education and health care, anti-discrimination, gender equality, accessibility, employment, and independent living. </w:t>
      </w:r>
    </w:p>
    <w:p w14:paraId="580B4ADC"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Still, the most critical factor in all of this is the empowerment to persons with disabilities. "Empowerment" refers to boosting the self-esteem of persons with disabilities. Empowerment helps to increase motivation and engages them to be more confident and believe that they are "able" so that their capabilities may soar. </w:t>
      </w:r>
    </w:p>
    <w:p w14:paraId="4443C140"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Persons with disabilities shall eventually become self-determining and direct their own lives with dignity without undue concerns about a disability or its severity. They can live independently, without special care or with minimal support from others. This paradigm is the genuine concept of independently living. In other words, the heart of independent living for persons with disabilities is self-determination, exercising rights and utilising opportunities to choose their own life paths, free to face failure, and learn from such experience, as others do.</w:t>
      </w:r>
    </w:p>
    <w:p w14:paraId="76597A3B"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To conclude, policy development, legislation and their implementation should go together. All activities, including monitoring and evaluation, should involve persons with disabilities; for their participation is itself a manifestation of full enjoyment of their human rights and fundamental freedoms. </w:t>
      </w:r>
    </w:p>
    <w:p w14:paraId="61B31C4C" w14:textId="77777777" w:rsidR="00622BC0" w:rsidRDefault="00826C5A">
      <w:pPr>
        <w:widowControl w:val="0"/>
        <w:autoSpaceDE w:val="0"/>
        <w:autoSpaceDN w:val="0"/>
        <w:adjustRightInd w:val="0"/>
        <w:spacing w:after="200" w:line="276" w:lineRule="auto"/>
        <w:ind w:right="-6"/>
        <w:rPr>
          <w:rFonts w:ascii="Cambria" w:hAnsi="Cambria" w:cs="Cambria"/>
          <w:b/>
          <w:bCs/>
          <w:lang w:val="en-GB"/>
        </w:rPr>
      </w:pPr>
      <w:r>
        <w:rPr>
          <w:rFonts w:ascii="Cambria" w:hAnsi="Cambria" w:cs="Cambria"/>
          <w:b/>
          <w:bCs/>
          <w:lang w:val="en-GB"/>
        </w:rPr>
        <w:br w:type="page"/>
      </w:r>
    </w:p>
    <w:p w14:paraId="2F517AFC" w14:textId="77777777" w:rsidR="00622BC0" w:rsidRDefault="00826C5A">
      <w:pPr>
        <w:widowControl w:val="0"/>
        <w:autoSpaceDE w:val="0"/>
        <w:autoSpaceDN w:val="0"/>
        <w:adjustRightInd w:val="0"/>
        <w:spacing w:after="200"/>
        <w:ind w:right="-6"/>
        <w:jc w:val="center"/>
        <w:rPr>
          <w:rFonts w:ascii="Cambria" w:hAnsi="Cambria" w:cs="Cambria"/>
          <w:b/>
          <w:bCs/>
          <w:lang w:val="en-GB"/>
        </w:rPr>
      </w:pPr>
      <w:r>
        <w:rPr>
          <w:rFonts w:ascii="Cambria" w:hAnsi="Cambria" w:cs="Cambria"/>
          <w:b/>
          <w:bCs/>
          <w:lang w:val="en-GB"/>
        </w:rPr>
        <w:t>Chapter 7. Way Forward to Established and Enhanced Protection of the Rights of Persons with Disabilities in ASEAN Countries</w:t>
      </w:r>
    </w:p>
    <w:p w14:paraId="63E7D42F" w14:textId="77777777" w:rsidR="00622BC0" w:rsidRDefault="00826C5A">
      <w:pPr>
        <w:widowControl w:val="0"/>
        <w:autoSpaceDE w:val="0"/>
        <w:autoSpaceDN w:val="0"/>
        <w:adjustRightInd w:val="0"/>
        <w:spacing w:after="200"/>
        <w:ind w:right="-6"/>
        <w:jc w:val="center"/>
        <w:rPr>
          <w:rFonts w:ascii="Cambria" w:hAnsi="Cambria" w:cs="Cambria"/>
          <w:b/>
          <w:bCs/>
          <w:lang w:val="en-GB"/>
        </w:rPr>
      </w:pPr>
      <w:r>
        <w:rPr>
          <w:rFonts w:ascii="Cambria" w:hAnsi="Cambria" w:cs="Cambria"/>
          <w:b/>
          <w:bCs/>
          <w:lang w:val="en-GB"/>
        </w:rPr>
        <w:t xml:space="preserve">By Mimi A. </w:t>
      </w:r>
      <w:proofErr w:type="spellStart"/>
      <w:r>
        <w:rPr>
          <w:rFonts w:ascii="Cambria" w:hAnsi="Cambria" w:cs="Cambria"/>
          <w:b/>
          <w:bCs/>
          <w:lang w:val="en-GB"/>
        </w:rPr>
        <w:t>Lusli</w:t>
      </w:r>
      <w:proofErr w:type="spellEnd"/>
    </w:p>
    <w:p w14:paraId="4FC40995" w14:textId="77777777" w:rsidR="00622BC0" w:rsidRDefault="00622BC0">
      <w:pPr>
        <w:widowControl w:val="0"/>
        <w:autoSpaceDE w:val="0"/>
        <w:autoSpaceDN w:val="0"/>
        <w:adjustRightInd w:val="0"/>
        <w:spacing w:after="200" w:line="276" w:lineRule="auto"/>
        <w:ind w:right="-6"/>
        <w:jc w:val="both"/>
        <w:rPr>
          <w:rFonts w:ascii="Cambria" w:hAnsi="Cambria" w:cs="Cambria"/>
          <w:lang w:val="en-GB"/>
        </w:rPr>
      </w:pPr>
    </w:p>
    <w:p w14:paraId="2EB0724C" w14:textId="77777777" w:rsidR="00622BC0" w:rsidRDefault="00826C5A">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 xml:space="preserve">This chapter discusses each sustainable development goal and briefly analyses their linkages with the CRPD. The principles of fundamental freedoms and human rights are utilised as background for the five development agenda assessed in this baseline study. The chapter also underlines two crucial general findings that are essentials for improving the SDGs and CRPD implementation in the five ASEAN countries. Finally, this section highlights the role of ADF in policy advocacy on disability issues at the national level of each ASEAN member state. </w:t>
      </w:r>
    </w:p>
    <w:p w14:paraId="421D86EE" w14:textId="77777777" w:rsidR="00622BC0" w:rsidRDefault="00622BC0">
      <w:pPr>
        <w:widowControl w:val="0"/>
        <w:autoSpaceDE w:val="0"/>
        <w:autoSpaceDN w:val="0"/>
        <w:adjustRightInd w:val="0"/>
        <w:ind w:right="-6"/>
        <w:jc w:val="both"/>
        <w:rPr>
          <w:rFonts w:ascii="Cambria" w:hAnsi="Cambria" w:cs="Cambria"/>
          <w:b/>
          <w:bCs/>
          <w:color w:val="0E101A"/>
          <w:lang w:val="en-GB"/>
        </w:rPr>
      </w:pPr>
    </w:p>
    <w:p w14:paraId="01CE3095" w14:textId="77777777" w:rsidR="00622BC0" w:rsidRDefault="00826C5A">
      <w:pPr>
        <w:widowControl w:val="0"/>
        <w:autoSpaceDE w:val="0"/>
        <w:autoSpaceDN w:val="0"/>
        <w:adjustRightInd w:val="0"/>
        <w:ind w:right="-6"/>
        <w:jc w:val="both"/>
        <w:rPr>
          <w:rFonts w:ascii="Cambria" w:hAnsi="Cambria" w:cs="Cambria"/>
          <w:color w:val="0E101A"/>
          <w:lang w:val="en-GB"/>
        </w:rPr>
      </w:pPr>
      <w:r>
        <w:rPr>
          <w:rFonts w:ascii="Cambria" w:hAnsi="Cambria" w:cs="Cambria"/>
          <w:b/>
          <w:bCs/>
          <w:color w:val="0E101A"/>
          <w:lang w:val="en-GB"/>
        </w:rPr>
        <w:t>Health and Well-Being</w:t>
      </w:r>
    </w:p>
    <w:p w14:paraId="5E2A689E" w14:textId="77777777" w:rsidR="00622BC0" w:rsidRDefault="00826C5A">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In line with SDG 3 on good on health and well-being, the following is a are the key provisions of CRPD Article 25, which specifies that States Parties recognise persons with disabilities’ ‘rights to enjoy the highest attainable standard of health without discrimination on the basis of disability. Article 25 requires States Parties to take all appropriate measures to ensure that persons with disabilities are able to access health services that are gender-sensitive, including health-related rehabilitation. In particular, it is stated, States Parties shall:</w:t>
      </w:r>
    </w:p>
    <w:p w14:paraId="3C1C4172" w14:textId="77777777" w:rsidR="00622BC0" w:rsidRDefault="00826C5A">
      <w:pPr>
        <w:widowControl w:val="0"/>
        <w:autoSpaceDE w:val="0"/>
        <w:autoSpaceDN w:val="0"/>
        <w:adjustRightInd w:val="0"/>
        <w:ind w:left="480" w:right="-6" w:hangingChars="200" w:hanging="480"/>
        <w:jc w:val="both"/>
        <w:rPr>
          <w:rFonts w:ascii="Cambria" w:hAnsi="Cambria" w:cs="Cambria"/>
          <w:color w:val="0E101A"/>
          <w:lang w:val="en-GB"/>
        </w:rPr>
      </w:pPr>
      <w:r>
        <w:rPr>
          <w:rFonts w:ascii="Cambria" w:hAnsi="Cambria" w:cs="Cambria"/>
          <w:color w:val="0E101A"/>
          <w:lang w:val="en-GB"/>
        </w:rPr>
        <w:t xml:space="preserve"> a) </w:t>
      </w:r>
      <w:r>
        <w:rPr>
          <w:rFonts w:ascii="Cambria" w:hAnsi="Cambria" w:cs="Cambria"/>
          <w:color w:val="0E101A"/>
        </w:rPr>
        <w:tab/>
      </w:r>
      <w:r>
        <w:rPr>
          <w:rFonts w:ascii="Cambria" w:hAnsi="Cambria" w:cs="Cambria"/>
          <w:color w:val="0E101A"/>
          <w:lang w:val="en-GB"/>
        </w:rPr>
        <w:t>Provide persons with disabilities with the same range, quality and standard of free or affordable health care and programmes as provided to other persons, including in the area of sexual and reproductive health and population-based public health programmes;</w:t>
      </w:r>
    </w:p>
    <w:p w14:paraId="23077960" w14:textId="77777777" w:rsidR="00622BC0" w:rsidRDefault="00826C5A">
      <w:pPr>
        <w:widowControl w:val="0"/>
        <w:autoSpaceDE w:val="0"/>
        <w:autoSpaceDN w:val="0"/>
        <w:adjustRightInd w:val="0"/>
        <w:ind w:left="480" w:right="-6" w:hangingChars="200" w:hanging="480"/>
        <w:jc w:val="both"/>
        <w:rPr>
          <w:rFonts w:ascii="Cambria" w:hAnsi="Cambria" w:cs="Cambria"/>
          <w:color w:val="0E101A"/>
          <w:lang w:val="en-GB"/>
        </w:rPr>
      </w:pPr>
      <w:r>
        <w:rPr>
          <w:rFonts w:ascii="Cambria" w:hAnsi="Cambria" w:cs="Cambria"/>
          <w:color w:val="0E101A"/>
          <w:lang w:val="en-GB"/>
        </w:rPr>
        <w:t xml:space="preserve"> b) </w:t>
      </w:r>
      <w:r>
        <w:rPr>
          <w:rFonts w:ascii="Cambria" w:hAnsi="Cambria" w:cs="Cambria"/>
          <w:color w:val="0E101A"/>
        </w:rPr>
        <w:tab/>
      </w:r>
      <w:r>
        <w:rPr>
          <w:rFonts w:ascii="Cambria" w:hAnsi="Cambria" w:cs="Cambria"/>
          <w:color w:val="0E101A"/>
          <w:lang w:val="en-GB"/>
        </w:rPr>
        <w:t>Provide those health services needed by persons with disabilities specifically because of their disabilities, including early identification and intervention as appropriate, and services designed to minimise and prevent further disabilities, including among children and older persons;</w:t>
      </w:r>
    </w:p>
    <w:p w14:paraId="70C80BDF" w14:textId="77777777" w:rsidR="00622BC0" w:rsidRDefault="00826C5A">
      <w:pPr>
        <w:widowControl w:val="0"/>
        <w:autoSpaceDE w:val="0"/>
        <w:autoSpaceDN w:val="0"/>
        <w:adjustRightInd w:val="0"/>
        <w:ind w:left="480" w:right="-6" w:hangingChars="200" w:hanging="480"/>
        <w:jc w:val="both"/>
        <w:rPr>
          <w:rFonts w:ascii="Cambria" w:hAnsi="Cambria" w:cs="Cambria"/>
          <w:color w:val="0E101A"/>
          <w:lang w:val="en-GB"/>
        </w:rPr>
      </w:pPr>
      <w:r>
        <w:rPr>
          <w:rFonts w:ascii="Cambria" w:hAnsi="Cambria" w:cs="Cambria"/>
          <w:color w:val="0E101A"/>
          <w:lang w:val="en-GB"/>
        </w:rPr>
        <w:t xml:space="preserve">c) </w:t>
      </w:r>
      <w:r>
        <w:rPr>
          <w:rFonts w:ascii="Cambria" w:hAnsi="Cambria" w:cs="Cambria"/>
          <w:color w:val="0E101A"/>
        </w:rPr>
        <w:tab/>
      </w:r>
      <w:r>
        <w:rPr>
          <w:rFonts w:ascii="Cambria" w:hAnsi="Cambria" w:cs="Cambria"/>
          <w:color w:val="0E101A"/>
          <w:lang w:val="en-GB"/>
        </w:rPr>
        <w:t>Provide these health services as close as possible to people’s own communities, including in rural areas;</w:t>
      </w:r>
    </w:p>
    <w:p w14:paraId="457C6C76" w14:textId="77777777" w:rsidR="00622BC0" w:rsidRDefault="00826C5A">
      <w:pPr>
        <w:widowControl w:val="0"/>
        <w:autoSpaceDE w:val="0"/>
        <w:autoSpaceDN w:val="0"/>
        <w:adjustRightInd w:val="0"/>
        <w:ind w:left="480" w:right="-6" w:hangingChars="200" w:hanging="480"/>
        <w:jc w:val="both"/>
        <w:rPr>
          <w:rFonts w:ascii="Cambria" w:hAnsi="Cambria" w:cs="Cambria"/>
          <w:color w:val="0E101A"/>
          <w:lang w:val="en-GB"/>
        </w:rPr>
      </w:pPr>
      <w:r>
        <w:rPr>
          <w:rFonts w:ascii="Cambria" w:hAnsi="Cambria" w:cs="Cambria"/>
          <w:color w:val="0E101A"/>
          <w:lang w:val="en-GB"/>
        </w:rPr>
        <w:t xml:space="preserve">d) </w:t>
      </w:r>
      <w:r>
        <w:rPr>
          <w:rFonts w:ascii="Cambria" w:hAnsi="Cambria" w:cs="Cambria"/>
          <w:color w:val="0E101A"/>
        </w:rPr>
        <w:tab/>
      </w:r>
      <w:r>
        <w:rPr>
          <w:rFonts w:ascii="Cambria" w:hAnsi="Cambria" w:cs="Cambria"/>
          <w:color w:val="0E101A"/>
          <w:lang w:val="en-GB"/>
        </w:rPr>
        <w:t>Require health professionals to provide the same-quality care to persons with disabilities as to others, including on the basis of free and informed consent by, inter alia, raising awareness of the human rights, dignity, autonomy and needs of persons with disabilities through training and the promulgation of ethical standards for public and private health care;</w:t>
      </w:r>
    </w:p>
    <w:p w14:paraId="5159CDD9" w14:textId="77777777" w:rsidR="00622BC0" w:rsidRDefault="00826C5A">
      <w:pPr>
        <w:widowControl w:val="0"/>
        <w:autoSpaceDE w:val="0"/>
        <w:autoSpaceDN w:val="0"/>
        <w:adjustRightInd w:val="0"/>
        <w:ind w:left="480" w:right="-6" w:hangingChars="200" w:hanging="480"/>
        <w:jc w:val="both"/>
        <w:rPr>
          <w:rFonts w:ascii="Cambria" w:hAnsi="Cambria" w:cs="Cambria"/>
          <w:color w:val="0E101A"/>
          <w:lang w:val="en-GB"/>
        </w:rPr>
      </w:pPr>
      <w:r>
        <w:rPr>
          <w:rFonts w:ascii="Cambria" w:hAnsi="Cambria" w:cs="Cambria"/>
          <w:color w:val="0E101A"/>
          <w:lang w:val="en-GB"/>
        </w:rPr>
        <w:t xml:space="preserve">e) </w:t>
      </w:r>
      <w:r>
        <w:rPr>
          <w:rFonts w:ascii="Cambria" w:hAnsi="Cambria" w:cs="Cambria"/>
          <w:color w:val="0E101A"/>
        </w:rPr>
        <w:tab/>
      </w:r>
      <w:r>
        <w:rPr>
          <w:rFonts w:ascii="Cambria" w:hAnsi="Cambria" w:cs="Cambria"/>
          <w:color w:val="0E101A"/>
          <w:lang w:val="en-GB"/>
        </w:rPr>
        <w:t>Prohibit discrimination against persons with disabilities in the provision of health insurance and life insurance, where such insurance are permitted by national law, in a fair and reasonable manner;</w:t>
      </w:r>
    </w:p>
    <w:p w14:paraId="7D3AD5A5" w14:textId="77777777" w:rsidR="00622BC0" w:rsidRDefault="00826C5A">
      <w:pPr>
        <w:widowControl w:val="0"/>
        <w:autoSpaceDE w:val="0"/>
        <w:autoSpaceDN w:val="0"/>
        <w:adjustRightInd w:val="0"/>
        <w:ind w:left="480" w:right="-6" w:hangingChars="200" w:hanging="480"/>
        <w:jc w:val="both"/>
        <w:rPr>
          <w:rFonts w:ascii="Cambria" w:hAnsi="Cambria" w:cs="Cambria"/>
          <w:color w:val="0E101A"/>
          <w:lang w:val="en-GB"/>
        </w:rPr>
      </w:pPr>
      <w:r>
        <w:rPr>
          <w:rFonts w:ascii="Cambria" w:hAnsi="Cambria" w:cs="Cambria"/>
          <w:color w:val="0E101A"/>
          <w:lang w:val="en-GB"/>
        </w:rPr>
        <w:t> </w:t>
      </w:r>
    </w:p>
    <w:p w14:paraId="552316A6" w14:textId="77777777" w:rsidR="00622BC0" w:rsidRDefault="00826C5A">
      <w:pPr>
        <w:widowControl w:val="0"/>
        <w:autoSpaceDE w:val="0"/>
        <w:autoSpaceDN w:val="0"/>
        <w:adjustRightInd w:val="0"/>
        <w:ind w:left="480" w:right="-6" w:hangingChars="200" w:hanging="480"/>
        <w:jc w:val="both"/>
        <w:rPr>
          <w:rFonts w:ascii="Cambria" w:hAnsi="Cambria" w:cs="Cambria"/>
          <w:color w:val="0E101A"/>
          <w:lang w:val="en-GB"/>
        </w:rPr>
      </w:pPr>
      <w:r>
        <w:rPr>
          <w:rFonts w:ascii="Cambria" w:hAnsi="Cambria" w:cs="Cambria"/>
          <w:color w:val="0E101A"/>
          <w:lang w:val="en-GB"/>
        </w:rPr>
        <w:t xml:space="preserve">f) </w:t>
      </w:r>
      <w:r>
        <w:rPr>
          <w:rFonts w:ascii="Cambria" w:hAnsi="Cambria" w:cs="Cambria"/>
          <w:color w:val="0E101A"/>
        </w:rPr>
        <w:tab/>
      </w:r>
      <w:r>
        <w:rPr>
          <w:rFonts w:ascii="Cambria" w:hAnsi="Cambria" w:cs="Cambria"/>
          <w:color w:val="0E101A"/>
          <w:lang w:val="en-GB"/>
        </w:rPr>
        <w:t>Prevent discriminatory denial of health care or health services or food and fluids on the basis of disability.</w:t>
      </w:r>
    </w:p>
    <w:p w14:paraId="3E28B3F3" w14:textId="77777777" w:rsidR="00622BC0" w:rsidRDefault="00622BC0">
      <w:pPr>
        <w:widowControl w:val="0"/>
        <w:autoSpaceDE w:val="0"/>
        <w:autoSpaceDN w:val="0"/>
        <w:adjustRightInd w:val="0"/>
        <w:ind w:right="-6"/>
        <w:jc w:val="both"/>
        <w:rPr>
          <w:rFonts w:ascii="Cambria" w:hAnsi="Cambria" w:cs="Cambria"/>
          <w:color w:val="0E101A"/>
          <w:lang w:val="en-GB"/>
        </w:rPr>
      </w:pPr>
    </w:p>
    <w:p w14:paraId="3A8C3C5B" w14:textId="77777777" w:rsidR="00622BC0" w:rsidRDefault="00826C5A">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Based on CRPD Article 25, quality of services for persons with disabilities, including health services, must be the same as provided to other people; thus, discrimination regardless of disabilities are not permitted. Otherwise, persons with disabilities with specific conditions requiring particular treatment or services would slip into any of multiple vulnerable states, such as impoverished, stigmatised, discriminated and inaccessible conditions.  </w:t>
      </w:r>
    </w:p>
    <w:p w14:paraId="30F4490C" w14:textId="77777777" w:rsidR="00622BC0" w:rsidRDefault="00826C5A">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Overall, a survey on the right to health in the five ASEAN member states in this report demonstrated some findings for further research and study. Firstly, the ASEAN member states established for persons with disabilities health schemes that are integrated with the national health system for all citizens, based on legislative and executive measures. Therefore, the standard setting, services unit, health providers, medication and other supporting mechanisms function appropriately for the needs of persons with disabilities. Secondly, these countries further set up various appropriates programmes under the national health systems, such as insurances, early detection mechanisms for children with disabilities, maternity treatment for women with disabilities, and much more that benefit persons with disabilities. The insurance and dedicated programmes are connected to the hospitals and health care units within the community livings. Despite this, implementation and outcomes of these programmes, as well as related policies or regulations, should be evaluated.</w:t>
      </w:r>
    </w:p>
    <w:p w14:paraId="26A330F8" w14:textId="2B65FE2A" w:rsidR="00622BC0" w:rsidRDefault="00826C5A">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The implementation of legislative and government regulations are essential to optimise the outcome of inclusive health health-care programmes. Thus, the role of ministries, government agencies, and public providers in health sectors is pivotal to understand and provide health-care services that are inclusive and accessible to persons with disabilities. Despite this, health-service units in the communities are hardly located within easy reach, because of undeveloped plans and budgets for health-care services. The local government should begin to address the improvement of local hospitals and health-care units in the communities so that persons with disabilities may access these services as the same quality standards for all people without discrimination or transportation barriers.</w:t>
      </w:r>
    </w:p>
    <w:p w14:paraId="0E1A0B36" w14:textId="77777777" w:rsidR="00622BC0" w:rsidRDefault="00826C5A">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The health-care providers and health service centres examined in the ASEAN countries surveyed in this report  do not seem to adequately understand the concept of gender-sensitive services, access to health as a human right, or the principle of non-discrimination on the basis of disability , due to lack of knowledge and popularisation of the CRPD. Instead, what prevails is a vague description that disability units at healthcare centres and hospitals are necessary and essential to provide services and information to the public as well as persons with disabilities. The disability unit may assist policy implementers, especially health providers, to provide suitable treatments for persons with disabilities according to their needs and reasonable accommodation with the same quality standards. In so doing, the outcome of the legislative measures and health programmes will eventually comply with CRPD and benefited to the persons with disabilities. </w:t>
      </w:r>
    </w:p>
    <w:p w14:paraId="182CDFC0" w14:textId="77777777" w:rsidR="00622BC0" w:rsidRDefault="00826C5A">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 </w:t>
      </w:r>
    </w:p>
    <w:p w14:paraId="0C908705" w14:textId="77777777" w:rsidR="00622BC0" w:rsidRDefault="00826C5A">
      <w:pPr>
        <w:widowControl w:val="0"/>
        <w:autoSpaceDE w:val="0"/>
        <w:autoSpaceDN w:val="0"/>
        <w:adjustRightInd w:val="0"/>
        <w:ind w:right="-6"/>
        <w:jc w:val="both"/>
        <w:rPr>
          <w:rFonts w:ascii="Cambria" w:hAnsi="Cambria" w:cs="Cambria"/>
          <w:color w:val="0E101A"/>
          <w:lang w:val="en-GB"/>
        </w:rPr>
      </w:pPr>
      <w:r>
        <w:rPr>
          <w:rFonts w:ascii="Cambria" w:hAnsi="Cambria" w:cs="Cambria"/>
          <w:b/>
          <w:bCs/>
          <w:color w:val="0E101A"/>
          <w:lang w:val="en-GB"/>
        </w:rPr>
        <w:t>Quality of Education</w:t>
      </w:r>
    </w:p>
    <w:p w14:paraId="1F987C1F" w14:textId="77777777" w:rsidR="00622BC0" w:rsidRDefault="00826C5A">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To discuss quality education as enshrined in SDG 4, the right to education for children with disabilities, as stipulated in CRPD Article 24, shall include the following measures:</w:t>
      </w:r>
    </w:p>
    <w:p w14:paraId="37DE78AB" w14:textId="77777777" w:rsidR="00622BC0" w:rsidRDefault="00826C5A">
      <w:pPr>
        <w:widowControl w:val="0"/>
        <w:autoSpaceDE w:val="0"/>
        <w:autoSpaceDN w:val="0"/>
        <w:adjustRightInd w:val="0"/>
        <w:ind w:left="480" w:right="-6" w:hangingChars="200" w:hanging="480"/>
        <w:jc w:val="both"/>
        <w:rPr>
          <w:rFonts w:ascii="Cambria" w:hAnsi="Cambria" w:cs="Cambria"/>
          <w:color w:val="0E101A"/>
          <w:lang w:val="en-GB"/>
        </w:rPr>
      </w:pPr>
      <w:r>
        <w:rPr>
          <w:rFonts w:ascii="Cambria" w:hAnsi="Cambria" w:cs="Cambria"/>
          <w:color w:val="0E101A"/>
          <w:lang w:val="en-GB"/>
        </w:rPr>
        <w:t xml:space="preserve">1. </w:t>
      </w:r>
      <w:r>
        <w:rPr>
          <w:rFonts w:ascii="Cambria" w:hAnsi="Cambria" w:cs="Cambria"/>
          <w:color w:val="0E101A"/>
        </w:rPr>
        <w:tab/>
      </w:r>
      <w:r>
        <w:rPr>
          <w:rFonts w:ascii="Cambria" w:hAnsi="Cambria" w:cs="Cambria"/>
          <w:color w:val="0E101A"/>
          <w:lang w:val="en-GB"/>
        </w:rPr>
        <w:t>States Parties recognise the rights of persons with disabilities to accessible, inclusive and quality education on an equal basis. With a view to realizing this right without discrimination and on the basis of disability and through the promotion of equal opportunities, States Parties shall ensure an inclusive education system at all levels to support lifelong learning directed to: </w:t>
      </w:r>
    </w:p>
    <w:p w14:paraId="6CC815EE" w14:textId="77777777" w:rsidR="00622BC0" w:rsidRDefault="00826C5A">
      <w:pPr>
        <w:pStyle w:val="ListParagraph"/>
        <w:widowControl w:val="0"/>
        <w:numPr>
          <w:ilvl w:val="0"/>
          <w:numId w:val="25"/>
        </w:numPr>
        <w:tabs>
          <w:tab w:val="clear" w:pos="425"/>
        </w:tabs>
        <w:autoSpaceDE w:val="0"/>
        <w:autoSpaceDN w:val="0"/>
        <w:adjustRightInd w:val="0"/>
        <w:ind w:left="960" w:right="-6" w:hanging="480"/>
        <w:jc w:val="both"/>
        <w:rPr>
          <w:rFonts w:ascii="Cambria" w:hAnsi="Cambria" w:cs="Cambria"/>
          <w:color w:val="0E101A"/>
          <w:sz w:val="24"/>
          <w:szCs w:val="24"/>
          <w:lang w:val="en-GB"/>
        </w:rPr>
      </w:pPr>
      <w:r>
        <w:rPr>
          <w:rFonts w:ascii="Cambria" w:hAnsi="Cambria" w:cs="Cambria"/>
          <w:color w:val="0E101A"/>
          <w:sz w:val="24"/>
          <w:szCs w:val="24"/>
          <w:lang w:val="en-GB"/>
        </w:rPr>
        <w:t>The full development of human potential and sense of dignity and self-worth, and the strengthening of respect for human rights, fundamental freedoms and human diversity;</w:t>
      </w:r>
    </w:p>
    <w:p w14:paraId="52FE352F" w14:textId="77777777" w:rsidR="00622BC0" w:rsidRDefault="00826C5A">
      <w:pPr>
        <w:pStyle w:val="ListParagraph"/>
        <w:widowControl w:val="0"/>
        <w:numPr>
          <w:ilvl w:val="0"/>
          <w:numId w:val="25"/>
        </w:numPr>
        <w:tabs>
          <w:tab w:val="clear" w:pos="425"/>
        </w:tabs>
        <w:autoSpaceDE w:val="0"/>
        <w:autoSpaceDN w:val="0"/>
        <w:adjustRightInd w:val="0"/>
        <w:ind w:left="960" w:right="-6" w:hanging="480"/>
        <w:jc w:val="both"/>
        <w:rPr>
          <w:rFonts w:ascii="Cambria" w:hAnsi="Cambria" w:cs="Cambria"/>
          <w:color w:val="0E101A"/>
          <w:sz w:val="24"/>
          <w:szCs w:val="24"/>
          <w:lang w:val="en-GB"/>
        </w:rPr>
      </w:pPr>
      <w:r>
        <w:rPr>
          <w:rFonts w:ascii="Cambria" w:hAnsi="Cambria" w:cs="Cambria"/>
          <w:color w:val="0E101A"/>
          <w:sz w:val="24"/>
          <w:szCs w:val="24"/>
          <w:lang w:val="en-GB"/>
        </w:rPr>
        <w:t>Inclusive education as a cornerstone for building a more inclusive and equitable society and for enabling persons with disabilites to effectively participate in society on an equal basis</w:t>
      </w:r>
    </w:p>
    <w:p w14:paraId="7D4B314D" w14:textId="77777777" w:rsidR="00622BC0" w:rsidRDefault="00826C5A">
      <w:pPr>
        <w:pStyle w:val="ListParagraph"/>
        <w:widowControl w:val="0"/>
        <w:numPr>
          <w:ilvl w:val="0"/>
          <w:numId w:val="25"/>
        </w:numPr>
        <w:tabs>
          <w:tab w:val="clear" w:pos="425"/>
        </w:tabs>
        <w:autoSpaceDE w:val="0"/>
        <w:autoSpaceDN w:val="0"/>
        <w:adjustRightInd w:val="0"/>
        <w:ind w:left="960" w:right="-6" w:hanging="480"/>
        <w:jc w:val="both"/>
        <w:rPr>
          <w:rFonts w:ascii="Cambria" w:hAnsi="Cambria" w:cs="Cambria"/>
          <w:color w:val="0E101A"/>
          <w:sz w:val="24"/>
          <w:szCs w:val="24"/>
          <w:lang w:val="en-GB"/>
        </w:rPr>
      </w:pPr>
      <w:r>
        <w:rPr>
          <w:rFonts w:ascii="Cambria" w:hAnsi="Cambria" w:cs="Cambria"/>
          <w:color w:val="0E101A"/>
          <w:sz w:val="24"/>
          <w:szCs w:val="24"/>
          <w:lang w:val="en-GB"/>
        </w:rPr>
        <w:t>Inclusive education as the foundation for ensuring all learners with disabilites are empowered and equipped to lead productive lives and contribute to the economic development of their communities through active participation in the labour force;</w:t>
      </w:r>
    </w:p>
    <w:p w14:paraId="48AF4006" w14:textId="77777777" w:rsidR="00622BC0" w:rsidRDefault="00826C5A">
      <w:pPr>
        <w:widowControl w:val="0"/>
        <w:autoSpaceDE w:val="0"/>
        <w:autoSpaceDN w:val="0"/>
        <w:adjustRightInd w:val="0"/>
        <w:ind w:left="480" w:right="-6" w:hangingChars="200" w:hanging="480"/>
        <w:jc w:val="both"/>
        <w:rPr>
          <w:rFonts w:ascii="Cambria" w:hAnsi="Cambria" w:cs="Cambria"/>
          <w:color w:val="0E101A"/>
          <w:lang w:val="en-GB"/>
        </w:rPr>
      </w:pPr>
      <w:r>
        <w:rPr>
          <w:rFonts w:ascii="Cambria" w:hAnsi="Cambria" w:cs="Cambria"/>
          <w:color w:val="0E101A"/>
          <w:lang w:val="en-GB"/>
        </w:rPr>
        <w:t xml:space="preserve">2. </w:t>
      </w:r>
      <w:r>
        <w:rPr>
          <w:rFonts w:ascii="Cambria" w:hAnsi="Cambria" w:cs="Cambria"/>
          <w:color w:val="0E101A"/>
        </w:rPr>
        <w:tab/>
      </w:r>
      <w:r>
        <w:rPr>
          <w:rFonts w:ascii="Cambria" w:hAnsi="Cambria" w:cs="Cambria"/>
          <w:color w:val="0E101A"/>
          <w:lang w:val="en-GB"/>
        </w:rPr>
        <w:t>In realizing this right, States Parties shall ensure that:</w:t>
      </w:r>
    </w:p>
    <w:p w14:paraId="0637F323" w14:textId="77777777" w:rsidR="00622BC0" w:rsidRDefault="00826C5A">
      <w:pPr>
        <w:widowControl w:val="0"/>
        <w:tabs>
          <w:tab w:val="left" w:pos="960"/>
        </w:tabs>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 xml:space="preserve">a) </w:t>
      </w:r>
      <w:r>
        <w:rPr>
          <w:rFonts w:ascii="Cambria" w:hAnsi="Cambria" w:cs="Cambria"/>
          <w:color w:val="0E101A"/>
        </w:rPr>
        <w:tab/>
      </w:r>
      <w:r>
        <w:rPr>
          <w:rFonts w:ascii="Cambria" w:hAnsi="Cambria" w:cs="Cambria"/>
          <w:color w:val="0E101A"/>
          <w:lang w:val="en-GB"/>
        </w:rPr>
        <w:t>Persons with disabilities are not excluded from the general education system on the basis of disability, and that children with disabilities are not excluded from free and compulsory primary education, or from secondary education, on the basis of disability;</w:t>
      </w:r>
    </w:p>
    <w:p w14:paraId="2B7727BC" w14:textId="77777777" w:rsidR="00622BC0" w:rsidRDefault="00826C5A">
      <w:pPr>
        <w:widowControl w:val="0"/>
        <w:tabs>
          <w:tab w:val="left" w:pos="960"/>
        </w:tabs>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 xml:space="preserve">b) </w:t>
      </w:r>
      <w:r>
        <w:rPr>
          <w:rFonts w:ascii="Cambria" w:hAnsi="Cambria" w:cs="Cambria"/>
          <w:color w:val="0E101A"/>
        </w:rPr>
        <w:tab/>
      </w:r>
      <w:r>
        <w:rPr>
          <w:rFonts w:ascii="Cambria" w:hAnsi="Cambria" w:cs="Cambria"/>
          <w:color w:val="0E101A"/>
          <w:lang w:val="en-GB"/>
        </w:rPr>
        <w:t>Persons with disabilities can access an inclusive, accessible, quality and free primary education and secondary education on an equal basis with others in the communities in which they live;</w:t>
      </w:r>
    </w:p>
    <w:p w14:paraId="153C1C9C" w14:textId="77777777" w:rsidR="00622BC0" w:rsidRDefault="00826C5A">
      <w:pPr>
        <w:widowControl w:val="0"/>
        <w:tabs>
          <w:tab w:val="left" w:pos="960"/>
        </w:tabs>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 xml:space="preserve">c) </w:t>
      </w:r>
      <w:r>
        <w:rPr>
          <w:rFonts w:ascii="Cambria" w:hAnsi="Cambria" w:cs="Cambria"/>
          <w:color w:val="0E101A"/>
        </w:rPr>
        <w:tab/>
      </w:r>
      <w:r>
        <w:rPr>
          <w:rFonts w:ascii="Cambria" w:hAnsi="Cambria" w:cs="Cambria"/>
          <w:color w:val="0E101A"/>
          <w:lang w:val="en-GB"/>
        </w:rPr>
        <w:t xml:space="preserve">All learners with disabilites have the right to reasonable accommodation in accessing education </w:t>
      </w:r>
    </w:p>
    <w:p w14:paraId="3E2240D3" w14:textId="77777777" w:rsidR="00622BC0" w:rsidRDefault="00826C5A">
      <w:pPr>
        <w:widowControl w:val="0"/>
        <w:tabs>
          <w:tab w:val="left" w:pos="960"/>
        </w:tabs>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 xml:space="preserve">d) </w:t>
      </w:r>
      <w:r>
        <w:rPr>
          <w:rFonts w:ascii="Cambria" w:hAnsi="Cambria" w:cs="Cambria"/>
          <w:color w:val="0E101A"/>
        </w:rPr>
        <w:tab/>
      </w:r>
      <w:r>
        <w:rPr>
          <w:rFonts w:ascii="Cambria" w:hAnsi="Cambria" w:cs="Cambria"/>
          <w:color w:val="0E101A"/>
          <w:lang w:val="en-GB"/>
        </w:rPr>
        <w:t>Persons with disabilities receive the support and services required, within the general education system, to facilitate their effective education;</w:t>
      </w:r>
    </w:p>
    <w:p w14:paraId="431DA250" w14:textId="77777777" w:rsidR="00622BC0" w:rsidRDefault="00826C5A">
      <w:pPr>
        <w:widowControl w:val="0"/>
        <w:tabs>
          <w:tab w:val="left" w:pos="960"/>
        </w:tabs>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 xml:space="preserve">e) </w:t>
      </w:r>
      <w:r>
        <w:rPr>
          <w:rFonts w:ascii="Cambria" w:hAnsi="Cambria" w:cs="Cambria"/>
          <w:color w:val="0E101A"/>
        </w:rPr>
        <w:tab/>
      </w:r>
      <w:r>
        <w:rPr>
          <w:rFonts w:ascii="Cambria" w:hAnsi="Cambria" w:cs="Cambria"/>
          <w:color w:val="0E101A"/>
          <w:lang w:val="en-GB"/>
        </w:rPr>
        <w:t>Effective individualised support measures are provided in environments that maximise academic and social development, consistent with the goal of full inclusion.</w:t>
      </w:r>
    </w:p>
    <w:p w14:paraId="62E8B1B9" w14:textId="77777777" w:rsidR="00622BC0" w:rsidRDefault="00826C5A">
      <w:pPr>
        <w:widowControl w:val="0"/>
        <w:autoSpaceDE w:val="0"/>
        <w:autoSpaceDN w:val="0"/>
        <w:adjustRightInd w:val="0"/>
        <w:ind w:left="480" w:right="-6" w:hangingChars="200" w:hanging="480"/>
        <w:jc w:val="both"/>
        <w:rPr>
          <w:rFonts w:ascii="Cambria" w:hAnsi="Cambria" w:cs="Cambria"/>
          <w:color w:val="0E101A"/>
          <w:lang w:val="en-GB"/>
        </w:rPr>
      </w:pPr>
      <w:r>
        <w:rPr>
          <w:rFonts w:ascii="Cambria" w:hAnsi="Cambria" w:cs="Cambria"/>
          <w:color w:val="0E101A"/>
          <w:lang w:val="en-GB"/>
        </w:rPr>
        <w:t xml:space="preserve">3. </w:t>
      </w:r>
      <w:r>
        <w:rPr>
          <w:rFonts w:ascii="Cambria" w:hAnsi="Cambria" w:cs="Cambria"/>
          <w:color w:val="0E101A"/>
        </w:rPr>
        <w:tab/>
      </w:r>
      <w:r>
        <w:rPr>
          <w:rFonts w:ascii="Cambria" w:hAnsi="Cambria" w:cs="Cambria"/>
          <w:color w:val="0E101A"/>
          <w:lang w:val="en-GB"/>
        </w:rPr>
        <w:t>States Parties shall enable persons with disabilities to learn life and social development skills to facilitate their full and equal participation in education and as members of the community. To this end, States Parties shall take appropriate measures, including:</w:t>
      </w:r>
    </w:p>
    <w:p w14:paraId="13F6FE2C" w14:textId="77777777" w:rsidR="00622BC0" w:rsidRDefault="00826C5A">
      <w:pPr>
        <w:widowControl w:val="0"/>
        <w:tabs>
          <w:tab w:val="left" w:pos="960"/>
        </w:tabs>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 xml:space="preserve">a) </w:t>
      </w:r>
      <w:r>
        <w:rPr>
          <w:rFonts w:ascii="Cambria" w:hAnsi="Cambria" w:cs="Cambria"/>
          <w:color w:val="0E101A"/>
        </w:rPr>
        <w:tab/>
      </w:r>
      <w:r>
        <w:rPr>
          <w:rFonts w:ascii="Cambria" w:hAnsi="Cambria" w:cs="Cambria"/>
          <w:color w:val="0E101A"/>
          <w:lang w:val="en-GB"/>
        </w:rPr>
        <w:t>Facilitating the learning of Braille, alternative script, augmentative and alternative modes, means and formats of communication and orientation and mobility skills, and facilitating peer support and mentoring;</w:t>
      </w:r>
    </w:p>
    <w:p w14:paraId="05818A0C" w14:textId="77777777" w:rsidR="00622BC0" w:rsidRDefault="00826C5A">
      <w:pPr>
        <w:widowControl w:val="0"/>
        <w:tabs>
          <w:tab w:val="left" w:pos="960"/>
        </w:tabs>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 xml:space="preserve">b) </w:t>
      </w:r>
      <w:r>
        <w:rPr>
          <w:rFonts w:ascii="Cambria" w:hAnsi="Cambria" w:cs="Cambria"/>
          <w:color w:val="0E101A"/>
        </w:rPr>
        <w:tab/>
      </w:r>
      <w:r>
        <w:rPr>
          <w:rFonts w:ascii="Cambria" w:hAnsi="Cambria" w:cs="Cambria"/>
          <w:color w:val="0E101A"/>
          <w:lang w:val="en-GB"/>
        </w:rPr>
        <w:t>Facilitating the learning of sign language and promotion of the linguistic identity of the community for persons who are deaf;</w:t>
      </w:r>
    </w:p>
    <w:p w14:paraId="55999A57" w14:textId="77777777" w:rsidR="00622BC0" w:rsidRDefault="00826C5A">
      <w:pPr>
        <w:widowControl w:val="0"/>
        <w:tabs>
          <w:tab w:val="left" w:pos="960"/>
        </w:tabs>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 xml:space="preserve">c) </w:t>
      </w:r>
      <w:r>
        <w:rPr>
          <w:rFonts w:ascii="Cambria" w:hAnsi="Cambria" w:cs="Cambria"/>
          <w:color w:val="0E101A"/>
        </w:rPr>
        <w:tab/>
      </w:r>
      <w:r>
        <w:rPr>
          <w:rFonts w:ascii="Cambria" w:hAnsi="Cambria" w:cs="Cambria"/>
          <w:color w:val="0E101A"/>
          <w:lang w:val="en-GB"/>
        </w:rPr>
        <w:t>Ensuring that the education of persons, and in particular children, who are blind, deaf or deafblind, is delivered in the most appropriate languages and modes and means of communication for the individual, and in environments that maximise academic and social development.</w:t>
      </w:r>
    </w:p>
    <w:p w14:paraId="00C2ED5A" w14:textId="77777777" w:rsidR="00622BC0" w:rsidRDefault="00826C5A">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4. In order to help ensure the realisation of this right, States Parties shall take appropriate measures to employ and train teachers, including teachers with disabilities, who are qualified in sign language and/or Braille, and to train professionals and staff who work at all levels of education. Such training shall incorporate disability awareness and the use of appropriate augmentative and alternative modes, means and formats of communication, education techniques and materials to support persons with disabilities.</w:t>
      </w:r>
    </w:p>
    <w:p w14:paraId="51183ED5" w14:textId="77777777" w:rsidR="00622BC0" w:rsidRDefault="00826C5A">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5. States Parties shall ensure that persons with disabilities are able to access general tertiary education, vocational training, adult education and lifelong learning opportunities without discrimination and on an equal basis with others. To this end, States Parties shall ensure that reasonable accommodation is provided to persons with disabilities.</w:t>
      </w:r>
    </w:p>
    <w:p w14:paraId="2A2F4082" w14:textId="77777777" w:rsidR="00622BC0" w:rsidRDefault="00826C5A">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 xml:space="preserve">Based on the initial information and findings from this baseline study, it shows that the five ASEAN countries have adopted appropriate national education systems and recognise equal rights to education for persons with disabilities, through specified laws or inclusive derivative regulations. The five countries planned and budgeted for mainstream, public schools as inclusive education institutions by developing inclusive curricula to be implemented by trained education providers deploying learning methodologies that are accessible for every student, including children with disabilities. </w:t>
      </w:r>
    </w:p>
    <w:p w14:paraId="71CA72F8" w14:textId="77777777" w:rsidR="00622BC0" w:rsidRDefault="00826C5A">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However, the implementation may be varied in different levels of communities as quality standards of schools are dependent on the availability of advanced curricula, methodologies, facilities (Braille, sign language interpreters, various learning formats), professional teachers and accessible building features. Mainstream schools that were ill prepared for these supporting mechanisms may have encountered difficulties that would typically contribute to discrimination and stigmatisation of students with disabilities. </w:t>
      </w:r>
    </w:p>
    <w:p w14:paraId="4B79F00B" w14:textId="62F6A6B3" w:rsidR="00622BC0" w:rsidRDefault="00826C5A">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Another important point that should be assessed further is to understand the effective implementation of inclusive education within society; to what extent the mainstream schools have provided quality education for children with disabilities; and how viable the education and information centres for disability are in primary schools and universities in disseminating appropriate information on disability inclusion in education and whether the principles enshrined in CRPD Article 24 are understood. Evidently, no assessment has been done by government or OPDs on this centre; thus, it is highly recommended to conduct further advocacy and assessment on this issue. </w:t>
      </w:r>
    </w:p>
    <w:p w14:paraId="1FFAC09F" w14:textId="77777777" w:rsidR="00622BC0" w:rsidRDefault="00826C5A">
      <w:pPr>
        <w:widowControl w:val="0"/>
        <w:autoSpaceDE w:val="0"/>
        <w:autoSpaceDN w:val="0"/>
        <w:adjustRightInd w:val="0"/>
        <w:ind w:right="-6"/>
        <w:jc w:val="both"/>
        <w:rPr>
          <w:rFonts w:ascii="Cambria" w:hAnsi="Cambria" w:cs="Cambria"/>
          <w:color w:val="0E101A"/>
          <w:lang w:val="en-GB"/>
        </w:rPr>
      </w:pPr>
      <w:r>
        <w:rPr>
          <w:rFonts w:ascii="Cambria" w:hAnsi="Cambria" w:cs="Cambria"/>
          <w:b/>
          <w:bCs/>
          <w:color w:val="0E101A"/>
          <w:lang w:val="en-GB"/>
        </w:rPr>
        <w:t>Gender Equality</w:t>
      </w:r>
    </w:p>
    <w:p w14:paraId="71BC5971" w14:textId="77777777" w:rsidR="00622BC0" w:rsidRDefault="00826C5A">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This baseline study discusses gender equality for women and girls with disabilities and looks at the multipole and intersecting forms of discrimination women and girls with disabilites face in achieving equality. However, women with disabilities remain essential in the policy advocacy and disability movement as the main subjects who should participate in public spheres more often and meaningfully. In this regard, CRPD Article 6 is the relevant reference to gender equality, as it states the following:</w:t>
      </w:r>
    </w:p>
    <w:p w14:paraId="61C04167" w14:textId="77777777" w:rsidR="00622BC0" w:rsidRDefault="00826C5A">
      <w:pPr>
        <w:widowControl w:val="0"/>
        <w:autoSpaceDE w:val="0"/>
        <w:autoSpaceDN w:val="0"/>
        <w:adjustRightInd w:val="0"/>
        <w:ind w:leftChars="100" w:left="720" w:right="-6" w:hangingChars="200" w:hanging="480"/>
        <w:jc w:val="both"/>
        <w:rPr>
          <w:rFonts w:ascii="Cambria" w:hAnsi="Cambria" w:cs="Cambria"/>
          <w:color w:val="0E101A"/>
          <w:lang w:val="en-GB"/>
        </w:rPr>
      </w:pPr>
      <w:r>
        <w:rPr>
          <w:rFonts w:ascii="Cambria" w:hAnsi="Cambria" w:cs="Cambria"/>
          <w:color w:val="0E101A"/>
          <w:lang w:val="en-GB"/>
        </w:rPr>
        <w:t xml:space="preserve">1. </w:t>
      </w:r>
      <w:r>
        <w:rPr>
          <w:rFonts w:ascii="Cambria" w:hAnsi="Cambria" w:cs="Cambria"/>
          <w:color w:val="0E101A"/>
        </w:rPr>
        <w:tab/>
      </w:r>
      <w:r>
        <w:rPr>
          <w:rFonts w:ascii="Cambria" w:hAnsi="Cambria" w:cs="Cambria"/>
          <w:color w:val="0E101A"/>
          <w:lang w:val="en-GB"/>
        </w:rPr>
        <w:t>States Parties recognise that women and girls with disabilities are subject to multiple discrimination; therefore, the States Parties shall take measures to ensure the full and equal enjoyment of all human rights and fundamental freedoms by women and girls with disabilities;</w:t>
      </w:r>
    </w:p>
    <w:p w14:paraId="279A0847" w14:textId="77777777" w:rsidR="00622BC0" w:rsidRDefault="00826C5A">
      <w:pPr>
        <w:widowControl w:val="0"/>
        <w:autoSpaceDE w:val="0"/>
        <w:autoSpaceDN w:val="0"/>
        <w:adjustRightInd w:val="0"/>
        <w:ind w:leftChars="100" w:left="720" w:right="-6" w:hangingChars="200" w:hanging="480"/>
        <w:jc w:val="both"/>
        <w:rPr>
          <w:rFonts w:ascii="Cambria" w:hAnsi="Cambria" w:cs="Cambria"/>
          <w:color w:val="0E101A"/>
          <w:lang w:val="en-GB"/>
        </w:rPr>
      </w:pPr>
      <w:r>
        <w:rPr>
          <w:rFonts w:ascii="Cambria" w:hAnsi="Cambria" w:cs="Cambria"/>
          <w:color w:val="0E101A"/>
          <w:lang w:val="en-GB"/>
        </w:rPr>
        <w:t xml:space="preserve">2. </w:t>
      </w:r>
      <w:r>
        <w:rPr>
          <w:rFonts w:ascii="Cambria" w:hAnsi="Cambria" w:cs="Cambria"/>
          <w:color w:val="0E101A"/>
        </w:rPr>
        <w:tab/>
      </w:r>
      <w:r>
        <w:rPr>
          <w:rFonts w:ascii="Cambria" w:hAnsi="Cambria" w:cs="Cambria"/>
          <w:color w:val="0E101A"/>
          <w:lang w:val="en-GB"/>
        </w:rPr>
        <w:t>States Parties shall take all appropriate measures to ensure the full development, advancement and empowerment of women, to guarantee them the exercise and enjoyment of the human rights and fundamental freedoms set out in the Convention.</w:t>
      </w:r>
    </w:p>
    <w:p w14:paraId="34253FA2" w14:textId="54B6B178" w:rsidR="00622BC0" w:rsidRDefault="00826C5A">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Women and girls with disabilities experience multiple and intersecting forms of discrimination in accessing education, work, health services and in exercising their rights to participate in the community on an equal basis both in private and public spheres. This baseline study supports this finding and highlights women with disabilities who, encounter multiple and intersecting forms of discrimination based on disability, gender, race, economic status, etc. The laws and programmes aimed at women with disabilities cannot be segregated from those for addressing women as general.  Human rights violations continue to be widespread amongst women and girls with disabilities such as high rates of gender-based violence and limited to no access to justice.  For instance, in Viet Nam and Indonesia, there exist practices of forced sterilisation of women with disabilities in rehabilitation centres and other private institutions, without the women’s permission and legal consent, a matter that should be addressed as a priority.</w:t>
      </w:r>
    </w:p>
    <w:p w14:paraId="1406EAD1" w14:textId="5A86F76F" w:rsidR="00622BC0" w:rsidRDefault="00826C5A">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Furthermore, government education and training programmes on sexual and reproductive health focus on women’s empowerment. However, the programmes do not address the needs and rights of women and girls with disabilites thus the measures and services are not implemented to be inclusive or accessible. Instead, the programmes should be integrated into other ministries and government agencies, too; namely, education, health, access to justice, and many other sectors. The five countries in ASEAN in this baseline study have not yet thoroughly adopted legislative measures and multi-sectoral programmes nationwide for ensuring gender mainstreaming and non-discrimination towards women and girls with disabilities in all sectors. </w:t>
      </w:r>
    </w:p>
    <w:p w14:paraId="686B19E8" w14:textId="77777777" w:rsidR="00622BC0" w:rsidRDefault="00826C5A">
      <w:pPr>
        <w:widowControl w:val="0"/>
        <w:autoSpaceDE w:val="0"/>
        <w:autoSpaceDN w:val="0"/>
        <w:adjustRightInd w:val="0"/>
        <w:ind w:right="-6"/>
        <w:jc w:val="both"/>
        <w:rPr>
          <w:rFonts w:ascii="Cambria" w:hAnsi="Cambria" w:cs="Cambria"/>
          <w:b/>
          <w:bCs/>
          <w:color w:val="0E101A"/>
          <w:lang w:val="en-GB"/>
        </w:rPr>
      </w:pPr>
      <w:r>
        <w:rPr>
          <w:rFonts w:ascii="Cambria" w:hAnsi="Cambria" w:cs="Cambria"/>
          <w:color w:val="0E101A"/>
          <w:lang w:val="en-GB"/>
        </w:rPr>
        <w:t> </w:t>
      </w:r>
    </w:p>
    <w:p w14:paraId="6FCDCC25" w14:textId="77777777" w:rsidR="00622BC0" w:rsidRDefault="00826C5A">
      <w:pPr>
        <w:widowControl w:val="0"/>
        <w:autoSpaceDE w:val="0"/>
        <w:autoSpaceDN w:val="0"/>
        <w:adjustRightInd w:val="0"/>
        <w:ind w:right="-6"/>
        <w:jc w:val="both"/>
        <w:rPr>
          <w:rFonts w:ascii="Cambria" w:hAnsi="Cambria" w:cs="Cambria"/>
          <w:color w:val="0E101A"/>
          <w:lang w:val="en-GB"/>
        </w:rPr>
      </w:pPr>
      <w:r>
        <w:rPr>
          <w:rFonts w:ascii="Cambria" w:hAnsi="Cambria" w:cs="Cambria"/>
          <w:b/>
          <w:bCs/>
          <w:color w:val="0E101A"/>
          <w:lang w:val="en-GB"/>
        </w:rPr>
        <w:t>Work and Employment</w:t>
      </w:r>
    </w:p>
    <w:p w14:paraId="451D92BD" w14:textId="6D8F3A42" w:rsidR="00622BC0" w:rsidRDefault="00826C5A">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 xml:space="preserve">As mentioned frequently in this study, every person is entitled to the right to employment. However, barriers in the social and working environments have resulted in gaps and unequal opportunities for persons with disabilities in accessing work or employment in the formal or informal labour markets.  The measures frequently taken by the government tend to calculate workforce based on productivity without accounting for the productivity of persons with disabilities who may require more time or support to complete work tasks.  Furthermore, government measures to promote access to work and employment are often based on educational qualifications and skills achieved through the formal education system that persons with disabilites have been excluded from. Therefore, it inadvertently alienates persons with disabilities as potential contributors to economic development in society. These persons encounter barriers in education and accessibility to upgrade their various skills and communicate effectively with stakeholders to achieve career and employment opportunities the same as others. Hence, it is crucial to refer to the following principles in CRPD Article 27, which compel States Parties to adopt effective measures in employing persons with disabilities; namely, </w:t>
      </w:r>
    </w:p>
    <w:p w14:paraId="1A933AB3" w14:textId="77777777" w:rsidR="00622BC0" w:rsidRDefault="00622BC0">
      <w:pPr>
        <w:widowControl w:val="0"/>
        <w:autoSpaceDE w:val="0"/>
        <w:autoSpaceDN w:val="0"/>
        <w:adjustRightInd w:val="0"/>
        <w:ind w:right="-6"/>
        <w:jc w:val="both"/>
        <w:rPr>
          <w:rFonts w:ascii="Cambria" w:hAnsi="Cambria" w:cs="Cambria"/>
          <w:color w:val="0E101A"/>
          <w:lang w:val="en-GB"/>
        </w:rPr>
      </w:pPr>
    </w:p>
    <w:p w14:paraId="1D3F96EF" w14:textId="77777777" w:rsidR="00622BC0" w:rsidRDefault="00826C5A">
      <w:pPr>
        <w:widowControl w:val="0"/>
        <w:autoSpaceDE w:val="0"/>
        <w:autoSpaceDN w:val="0"/>
        <w:adjustRightInd w:val="0"/>
        <w:ind w:left="480" w:right="-6" w:hangingChars="200" w:hanging="480"/>
        <w:jc w:val="both"/>
        <w:rPr>
          <w:rFonts w:ascii="Cambria" w:hAnsi="Cambria" w:cs="Cambria"/>
          <w:color w:val="0E101A"/>
          <w:lang w:val="en-GB"/>
        </w:rPr>
      </w:pPr>
      <w:r>
        <w:rPr>
          <w:rFonts w:ascii="Cambria" w:hAnsi="Cambria" w:cs="Cambria"/>
          <w:color w:val="0E101A"/>
          <w:lang w:val="en-GB"/>
        </w:rPr>
        <w:t xml:space="preserve">1. </w:t>
      </w:r>
      <w:r>
        <w:rPr>
          <w:rFonts w:ascii="Cambria" w:hAnsi="Cambria" w:cs="Cambria"/>
          <w:color w:val="0E101A"/>
        </w:rPr>
        <w:tab/>
      </w:r>
      <w:r>
        <w:rPr>
          <w:rFonts w:ascii="Cambria" w:hAnsi="Cambria" w:cs="Cambria"/>
          <w:color w:val="0E101A"/>
          <w:lang w:val="en-GB"/>
        </w:rPr>
        <w:t>States Parties recognise the right of persons with disabilities to work, on an equal basis with others; this includes the right to the opportunity to gain a living by work freely chosen or accepted in a labour market and work environment that is open, inclusive and accessible to persons with disabilities. States Parties shall safeguard and promote the realisation of the right to work, including for those who acquire a disability during the course of employment, by taking appropriate steps, including through legislation, to, inter alia:</w:t>
      </w:r>
    </w:p>
    <w:p w14:paraId="2B8E0141" w14:textId="77777777" w:rsidR="00622BC0" w:rsidRDefault="00826C5A">
      <w:pPr>
        <w:widowControl w:val="0"/>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 xml:space="preserve">a) </w:t>
      </w:r>
      <w:r>
        <w:rPr>
          <w:rFonts w:ascii="Cambria" w:hAnsi="Cambria" w:cs="Cambria"/>
          <w:color w:val="0E101A"/>
        </w:rPr>
        <w:tab/>
      </w:r>
      <w:r>
        <w:rPr>
          <w:rFonts w:ascii="Cambria" w:hAnsi="Cambria" w:cs="Cambria"/>
          <w:color w:val="0E101A"/>
          <w:lang w:val="en-GB"/>
        </w:rPr>
        <w:t>Prohibit discrimination on the basis of disability with regard to all matters on all forms of employment, including conditions of recruitment, hiring and employment, continuance of employment, career advancement and safe and healthy working conditions;</w:t>
      </w:r>
    </w:p>
    <w:p w14:paraId="01D2D776" w14:textId="77777777" w:rsidR="00622BC0" w:rsidRDefault="00826C5A">
      <w:pPr>
        <w:widowControl w:val="0"/>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 </w:t>
      </w:r>
    </w:p>
    <w:p w14:paraId="10A069DD" w14:textId="77777777" w:rsidR="00622BC0" w:rsidRDefault="00826C5A">
      <w:pPr>
        <w:widowControl w:val="0"/>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 xml:space="preserve">b) </w:t>
      </w:r>
      <w:r>
        <w:rPr>
          <w:rFonts w:ascii="Cambria" w:hAnsi="Cambria" w:cs="Cambria"/>
          <w:color w:val="0E101A"/>
        </w:rPr>
        <w:tab/>
      </w:r>
      <w:r>
        <w:rPr>
          <w:rFonts w:ascii="Cambria" w:hAnsi="Cambria" w:cs="Cambria"/>
          <w:color w:val="0E101A"/>
          <w:lang w:val="en-GB"/>
        </w:rPr>
        <w:t>Protect the rights of persons with disabilities, on an equal basis with others, to just and favourable conditions of work, including equal opportunities and equal remuneration for work of equal value, safe and healthy working conditions, including protection from harassment, and the redress of grievances;</w:t>
      </w:r>
    </w:p>
    <w:p w14:paraId="750A0C44" w14:textId="77777777" w:rsidR="00622BC0" w:rsidRDefault="00826C5A">
      <w:pPr>
        <w:widowControl w:val="0"/>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 xml:space="preserve">c) </w:t>
      </w:r>
      <w:r>
        <w:rPr>
          <w:rFonts w:ascii="Cambria" w:hAnsi="Cambria" w:cs="Cambria"/>
          <w:color w:val="0E101A"/>
        </w:rPr>
        <w:tab/>
      </w:r>
      <w:r>
        <w:rPr>
          <w:rFonts w:ascii="Cambria" w:hAnsi="Cambria" w:cs="Cambria"/>
          <w:color w:val="0E101A"/>
          <w:lang w:val="en-GB"/>
        </w:rPr>
        <w:t>Ensure that persons with disabilities are able to exercise their labour and trade union rights on an equal basis with others;</w:t>
      </w:r>
    </w:p>
    <w:p w14:paraId="1D857A67" w14:textId="77777777" w:rsidR="00622BC0" w:rsidRDefault="00826C5A">
      <w:pPr>
        <w:widowControl w:val="0"/>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 xml:space="preserve">d) </w:t>
      </w:r>
      <w:r>
        <w:rPr>
          <w:rFonts w:ascii="Cambria" w:hAnsi="Cambria" w:cs="Cambria"/>
          <w:color w:val="0E101A"/>
        </w:rPr>
        <w:tab/>
      </w:r>
      <w:r>
        <w:rPr>
          <w:rFonts w:ascii="Cambria" w:hAnsi="Cambria" w:cs="Cambria"/>
          <w:color w:val="0E101A"/>
          <w:lang w:val="en-GB"/>
        </w:rPr>
        <w:t>Enable persons with disabilities to have effective access to general technical and vocational guidance programmes, placement services and vocational and continuing training;</w:t>
      </w:r>
    </w:p>
    <w:p w14:paraId="24B571E6" w14:textId="77777777" w:rsidR="00622BC0" w:rsidRDefault="00826C5A">
      <w:pPr>
        <w:widowControl w:val="0"/>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 xml:space="preserve">e) </w:t>
      </w:r>
      <w:r>
        <w:rPr>
          <w:rFonts w:ascii="Cambria" w:hAnsi="Cambria" w:cs="Cambria"/>
          <w:color w:val="0E101A"/>
        </w:rPr>
        <w:tab/>
      </w:r>
      <w:r>
        <w:rPr>
          <w:rFonts w:ascii="Cambria" w:hAnsi="Cambria" w:cs="Cambria"/>
          <w:color w:val="0E101A"/>
          <w:lang w:val="en-GB"/>
        </w:rPr>
        <w:t>Promote employment opportunities and career advancement for persons with disabilities in the labour market, as well as assistance in finding, obtaining, maintaining and returning to employment;</w:t>
      </w:r>
    </w:p>
    <w:p w14:paraId="5FDF4C09" w14:textId="77777777" w:rsidR="00622BC0" w:rsidRDefault="00826C5A">
      <w:pPr>
        <w:widowControl w:val="0"/>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 xml:space="preserve">f) </w:t>
      </w:r>
      <w:r>
        <w:rPr>
          <w:rFonts w:ascii="Cambria" w:hAnsi="Cambria" w:cs="Cambria"/>
          <w:color w:val="0E101A"/>
        </w:rPr>
        <w:tab/>
      </w:r>
      <w:r>
        <w:rPr>
          <w:rFonts w:ascii="Cambria" w:hAnsi="Cambria" w:cs="Cambria"/>
          <w:color w:val="0E101A"/>
          <w:lang w:val="en-GB"/>
        </w:rPr>
        <w:t>Promote opportunities for self-employment, entrepreneurship, the development of cooperatives and starting one’s own business;</w:t>
      </w:r>
    </w:p>
    <w:p w14:paraId="1474DA0D" w14:textId="77777777" w:rsidR="00622BC0" w:rsidRDefault="00826C5A">
      <w:pPr>
        <w:widowControl w:val="0"/>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 xml:space="preserve">g) </w:t>
      </w:r>
      <w:r>
        <w:rPr>
          <w:rFonts w:ascii="Cambria" w:hAnsi="Cambria" w:cs="Cambria"/>
          <w:color w:val="0E101A"/>
        </w:rPr>
        <w:tab/>
      </w:r>
      <w:r>
        <w:rPr>
          <w:rFonts w:ascii="Cambria" w:hAnsi="Cambria" w:cs="Cambria"/>
          <w:color w:val="0E101A"/>
          <w:lang w:val="en-GB"/>
        </w:rPr>
        <w:t>Employ persons with disabilities in the public sector;</w:t>
      </w:r>
    </w:p>
    <w:p w14:paraId="61DDE3F6" w14:textId="77777777" w:rsidR="00622BC0" w:rsidRDefault="00826C5A">
      <w:pPr>
        <w:widowControl w:val="0"/>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 xml:space="preserve">h) </w:t>
      </w:r>
      <w:r>
        <w:rPr>
          <w:rFonts w:ascii="Cambria" w:hAnsi="Cambria" w:cs="Cambria"/>
          <w:color w:val="0E101A"/>
        </w:rPr>
        <w:tab/>
      </w:r>
      <w:r>
        <w:rPr>
          <w:rFonts w:ascii="Cambria" w:hAnsi="Cambria" w:cs="Cambria"/>
          <w:color w:val="0E101A"/>
          <w:lang w:val="en-GB"/>
        </w:rPr>
        <w:t>Promote the employment of persons with disabilities in the private sector through appropriate policies and measures, which may include affirmative action programmes, incentives and other measures;</w:t>
      </w:r>
    </w:p>
    <w:p w14:paraId="187F39E6" w14:textId="77777777" w:rsidR="00622BC0" w:rsidRDefault="00826C5A">
      <w:pPr>
        <w:widowControl w:val="0"/>
        <w:autoSpaceDE w:val="0"/>
        <w:autoSpaceDN w:val="0"/>
        <w:adjustRightInd w:val="0"/>
        <w:ind w:leftChars="200" w:left="960" w:right="-6" w:hangingChars="200" w:hanging="480"/>
        <w:jc w:val="both"/>
        <w:rPr>
          <w:rFonts w:ascii="Cambria" w:hAnsi="Cambria" w:cs="Cambria"/>
          <w:color w:val="0E101A"/>
          <w:lang w:val="en-GB"/>
        </w:rPr>
      </w:pPr>
      <w:proofErr w:type="spellStart"/>
      <w:r>
        <w:rPr>
          <w:rFonts w:ascii="Cambria" w:hAnsi="Cambria" w:cs="Cambria"/>
          <w:color w:val="0E101A"/>
          <w:lang w:val="en-GB"/>
        </w:rPr>
        <w:t>i</w:t>
      </w:r>
      <w:proofErr w:type="spellEnd"/>
      <w:r>
        <w:rPr>
          <w:rFonts w:ascii="Cambria" w:hAnsi="Cambria" w:cs="Cambria"/>
          <w:color w:val="0E101A"/>
          <w:lang w:val="en-GB"/>
        </w:rPr>
        <w:t xml:space="preserve">) </w:t>
      </w:r>
      <w:r>
        <w:rPr>
          <w:rFonts w:ascii="Cambria" w:hAnsi="Cambria" w:cs="Cambria"/>
          <w:color w:val="0E101A"/>
        </w:rPr>
        <w:tab/>
      </w:r>
      <w:r>
        <w:rPr>
          <w:rFonts w:ascii="Cambria" w:hAnsi="Cambria" w:cs="Cambria"/>
          <w:color w:val="0E101A"/>
          <w:lang w:val="en-GB"/>
        </w:rPr>
        <w:t>Ensure that reasonable accommodation is provided to persons with disabilities in the workplace;</w:t>
      </w:r>
    </w:p>
    <w:p w14:paraId="63DCE4C0" w14:textId="77777777" w:rsidR="00622BC0" w:rsidRDefault="00826C5A">
      <w:pPr>
        <w:widowControl w:val="0"/>
        <w:autoSpaceDE w:val="0"/>
        <w:autoSpaceDN w:val="0"/>
        <w:adjustRightInd w:val="0"/>
        <w:ind w:leftChars="200" w:left="960" w:right="-6" w:hangingChars="200" w:hanging="480"/>
        <w:jc w:val="both"/>
        <w:rPr>
          <w:rFonts w:ascii="Cambria" w:hAnsi="Cambria" w:cs="Cambria"/>
          <w:color w:val="0E101A"/>
        </w:rPr>
      </w:pPr>
      <w:r>
        <w:rPr>
          <w:rFonts w:ascii="Cambria" w:hAnsi="Cambria" w:cs="Cambria"/>
          <w:color w:val="0E101A"/>
          <w:lang w:val="en-GB"/>
        </w:rPr>
        <w:t xml:space="preserve">j) </w:t>
      </w:r>
      <w:r>
        <w:rPr>
          <w:rFonts w:ascii="Cambria" w:hAnsi="Cambria" w:cs="Cambria"/>
          <w:color w:val="0E101A"/>
        </w:rPr>
        <w:tab/>
      </w:r>
      <w:r>
        <w:rPr>
          <w:rFonts w:ascii="Cambria" w:hAnsi="Cambria" w:cs="Cambria"/>
          <w:color w:val="0E101A"/>
          <w:lang w:val="en-GB"/>
        </w:rPr>
        <w:t>Promote the acquisition by persons with disabilities of work experience in the open labour market;</w:t>
      </w:r>
    </w:p>
    <w:p w14:paraId="2C407C6F" w14:textId="77777777" w:rsidR="00622BC0" w:rsidRDefault="00826C5A">
      <w:pPr>
        <w:widowControl w:val="0"/>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 xml:space="preserve">k) </w:t>
      </w:r>
      <w:r>
        <w:rPr>
          <w:rFonts w:ascii="Cambria" w:hAnsi="Cambria" w:cs="Cambria"/>
          <w:color w:val="0E101A"/>
        </w:rPr>
        <w:tab/>
      </w:r>
      <w:r>
        <w:rPr>
          <w:rFonts w:ascii="Cambria" w:hAnsi="Cambria" w:cs="Cambria"/>
          <w:color w:val="0E101A"/>
          <w:lang w:val="en-GB"/>
        </w:rPr>
        <w:t>Promote vocational and professional rehabilitation, job retention and return-to-work programmes for persons with disabilities.</w:t>
      </w:r>
    </w:p>
    <w:p w14:paraId="40F26A44" w14:textId="77777777" w:rsidR="00622BC0" w:rsidRDefault="00826C5A">
      <w:pPr>
        <w:widowControl w:val="0"/>
        <w:autoSpaceDE w:val="0"/>
        <w:autoSpaceDN w:val="0"/>
        <w:adjustRightInd w:val="0"/>
        <w:ind w:left="480" w:right="-6" w:hangingChars="200" w:hanging="480"/>
        <w:jc w:val="both"/>
        <w:rPr>
          <w:rFonts w:ascii="Cambria" w:hAnsi="Cambria" w:cs="Cambria"/>
          <w:color w:val="0E101A"/>
          <w:lang w:val="en-GB"/>
        </w:rPr>
      </w:pPr>
      <w:r>
        <w:rPr>
          <w:rFonts w:ascii="Cambria" w:hAnsi="Cambria" w:cs="Cambria"/>
          <w:color w:val="0E101A"/>
          <w:lang w:val="en-GB"/>
        </w:rPr>
        <w:t xml:space="preserve">2. </w:t>
      </w:r>
      <w:r>
        <w:rPr>
          <w:rFonts w:ascii="Cambria" w:hAnsi="Cambria" w:cs="Cambria"/>
          <w:color w:val="0E101A"/>
        </w:rPr>
        <w:tab/>
      </w:r>
      <w:r>
        <w:rPr>
          <w:rFonts w:ascii="Cambria" w:hAnsi="Cambria" w:cs="Cambria"/>
          <w:color w:val="0E101A"/>
          <w:lang w:val="en-GB"/>
        </w:rPr>
        <w:t>States Parties shall ensure that persons with disabilities are not held in slavery or in servitude, and are protected, on an equal basis with others, from forced or compulsory labour.</w:t>
      </w:r>
    </w:p>
    <w:p w14:paraId="2EE39888" w14:textId="77777777" w:rsidR="00622BC0" w:rsidRDefault="00622BC0">
      <w:pPr>
        <w:widowControl w:val="0"/>
        <w:autoSpaceDE w:val="0"/>
        <w:autoSpaceDN w:val="0"/>
        <w:adjustRightInd w:val="0"/>
        <w:ind w:right="-6"/>
        <w:jc w:val="both"/>
        <w:rPr>
          <w:rFonts w:ascii="Cambria" w:hAnsi="Cambria" w:cs="Cambria"/>
          <w:color w:val="0E101A"/>
          <w:lang w:val="en-GB"/>
        </w:rPr>
      </w:pPr>
    </w:p>
    <w:p w14:paraId="6C5F6D79" w14:textId="35DED3D0" w:rsidR="00622BC0" w:rsidRDefault="00826C5A">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According to the CRPD Article above, the right to decent work and employment for persons with disabilities in the five ASEAN countries must adopt the principles of inclusion, accessibility, and non-discrimination in accessing employment both in public and private sectors. The five ASEAN countries in this study have demonstrated their commitment to ensure the right to employment through legislation and policies on labour and right to work for everyone, including persons with disabilities. Also, there are various programmes for ensuring persons with disabilities have access to equal skills and training to be able to access equal skills and opportunities on the open job market through vocational training, self-employment programme, career advancement and job exhibition, as well as affirmative action measures such as employer incentives, quotas and targeted recruitment efforts to promote access to work and employment for  persons with disabilities in private and public sectors. </w:t>
      </w:r>
    </w:p>
    <w:p w14:paraId="23F7B385" w14:textId="77777777" w:rsidR="00622BC0" w:rsidRDefault="00826C5A">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 xml:space="preserve">Furthermore, the legislation and policies are completed with the derivative regulations, and practical national action plans throughout all regions in the respective ASEAN member states. Moreover, the presence and function of a labour inspector are yet to be identified and elaborated in these five ASEAN member states. The labour inspector may be essential and advantageous for monitoring and evaluating the implementation of laws and programmes for persons with disabilities in accessing the job market and receiving labour rights protections from employers. </w:t>
      </w:r>
    </w:p>
    <w:p w14:paraId="70AEB2D4" w14:textId="77777777" w:rsidR="00622BC0" w:rsidRDefault="00826C5A">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The labour inspector can play an essential role in monitoring and reporting to relevant ministries or government agencies if labour and human rights violations happen to persons with disabilities in the job market and work places. For example, the vocational training, rehabilitation and job retention by the government in any ASEAN member state should be  available on an equal basis to all persons with disabilities in an inclusive and accessible format , so as not to defy the principle of inclusion, accessibility and non-discrimination as stipulated in CRPD Article 27. </w:t>
      </w:r>
    </w:p>
    <w:p w14:paraId="790F7416" w14:textId="77777777" w:rsidR="00622BC0" w:rsidRDefault="00826C5A">
      <w:pPr>
        <w:widowControl w:val="0"/>
        <w:autoSpaceDE w:val="0"/>
        <w:autoSpaceDN w:val="0"/>
        <w:adjustRightInd w:val="0"/>
        <w:ind w:right="-6"/>
        <w:jc w:val="both"/>
        <w:rPr>
          <w:rFonts w:ascii="Cambria" w:hAnsi="Cambria"/>
          <w:color w:val="0E101A"/>
          <w:lang w:val="en-GB"/>
        </w:rPr>
      </w:pPr>
      <w:r>
        <w:rPr>
          <w:rFonts w:ascii="Cambria" w:hAnsi="Cambria"/>
          <w:color w:val="0E101A"/>
          <w:lang w:val="en-GB"/>
        </w:rPr>
        <w:t xml:space="preserve">This study has not yet discussed role of labour unions for persons with disabilities. Having access to and membership in labour unions would help persons with disabilites identify challenges in accessing decent work and persons of disabilities’ rights to employment on an equal basis. In this regard, the ASEAN member states must include persons with disabilities in the regional and national strategic agenda on labour unions.  In addition, advocacy and awareness raising amongst labour unions is needed to dismantle stigma and discrimination around disability and to help encourage persons with disabilites to join labour unions. </w:t>
      </w:r>
    </w:p>
    <w:p w14:paraId="60E5609C" w14:textId="77777777" w:rsidR="00622BC0" w:rsidRDefault="00622BC0">
      <w:pPr>
        <w:widowControl w:val="0"/>
        <w:autoSpaceDE w:val="0"/>
        <w:autoSpaceDN w:val="0"/>
        <w:adjustRightInd w:val="0"/>
        <w:ind w:right="-6"/>
        <w:jc w:val="both"/>
        <w:rPr>
          <w:rFonts w:ascii="Cambria" w:hAnsi="Cambria"/>
          <w:b/>
          <w:bCs/>
          <w:color w:val="0E101A"/>
          <w:lang w:val="en-GB"/>
        </w:rPr>
      </w:pPr>
    </w:p>
    <w:p w14:paraId="5AB81ACF" w14:textId="77777777" w:rsidR="00622BC0" w:rsidRDefault="00826C5A">
      <w:pPr>
        <w:widowControl w:val="0"/>
        <w:autoSpaceDE w:val="0"/>
        <w:autoSpaceDN w:val="0"/>
        <w:adjustRightInd w:val="0"/>
        <w:ind w:right="-6"/>
        <w:jc w:val="both"/>
        <w:rPr>
          <w:rFonts w:ascii="Cambria" w:hAnsi="Cambria" w:cs="Cambria"/>
          <w:color w:val="0E101A"/>
          <w:lang w:val="en-GB"/>
        </w:rPr>
      </w:pPr>
      <w:r>
        <w:rPr>
          <w:rFonts w:ascii="Cambria" w:hAnsi="Cambria" w:cs="Cambria"/>
          <w:b/>
          <w:bCs/>
          <w:color w:val="0E101A"/>
          <w:lang w:val="en-GB"/>
        </w:rPr>
        <w:t>Sustainable and Smart Cities</w:t>
      </w:r>
    </w:p>
    <w:p w14:paraId="63E964BE" w14:textId="77777777" w:rsidR="00622BC0" w:rsidRDefault="00826C5A">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Sustainable and smart cities is an evolving concept that involves multiple frameworks and approaches. Essentially, the concept aims to ensure that all people in the cities are living in dignity, equally, and that no one is left behind. Thus, non-discrimination and full accessibility are required and essential to implementing sustainable cities. The significance of the accessibility principle for persons with disabilities is connected with fundamental freedoms and human rights principles envisaged in CRPD Article 9 as follows: </w:t>
      </w:r>
    </w:p>
    <w:p w14:paraId="0BCABC4C" w14:textId="77777777" w:rsidR="00622BC0" w:rsidRDefault="00826C5A">
      <w:pPr>
        <w:widowControl w:val="0"/>
        <w:autoSpaceDE w:val="0"/>
        <w:autoSpaceDN w:val="0"/>
        <w:adjustRightInd w:val="0"/>
        <w:ind w:left="480" w:right="-6" w:hangingChars="200" w:hanging="480"/>
        <w:jc w:val="both"/>
        <w:rPr>
          <w:rFonts w:ascii="Cambria" w:hAnsi="Cambria" w:cs="Cambria"/>
          <w:color w:val="0E101A"/>
          <w:lang w:val="en-GB"/>
        </w:rPr>
      </w:pPr>
      <w:r>
        <w:rPr>
          <w:rFonts w:ascii="Cambria" w:hAnsi="Cambria" w:cs="Cambria"/>
          <w:color w:val="0E101A"/>
          <w:lang w:val="en-GB"/>
        </w:rPr>
        <w:t xml:space="preserve">1. </w:t>
      </w:r>
      <w:r>
        <w:rPr>
          <w:rFonts w:ascii="Cambria" w:hAnsi="Cambria" w:cs="Cambria"/>
          <w:color w:val="0E101A"/>
        </w:rPr>
        <w:tab/>
      </w:r>
      <w:r>
        <w:rPr>
          <w:rFonts w:ascii="Cambria" w:hAnsi="Cambria" w:cs="Cambria"/>
          <w:color w:val="0E101A"/>
          <w:lang w:val="en-GB"/>
        </w:rPr>
        <w:t>To enable persons with disabilities to live independently and participate fully in all aspects of life, States Parties shall take appropriate measures to ensure to persons with disabilities access, on an equal basis with others, to the physical environment, to transportation, to information and communications, including information and communications technologies and systems, and other facilities and services open or provided to the public, both in urban and in rural areas. These measures, which shall include the identification and elimination of obstacles and barriers to accessibility, shall apply to, inter alia:</w:t>
      </w:r>
    </w:p>
    <w:p w14:paraId="7BA658F7" w14:textId="77777777" w:rsidR="00622BC0" w:rsidRDefault="00826C5A">
      <w:pPr>
        <w:widowControl w:val="0"/>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 xml:space="preserve">a) </w:t>
      </w:r>
      <w:r>
        <w:rPr>
          <w:rFonts w:ascii="Cambria" w:hAnsi="Cambria" w:cs="Cambria"/>
          <w:color w:val="0E101A"/>
        </w:rPr>
        <w:tab/>
      </w:r>
      <w:r>
        <w:rPr>
          <w:rFonts w:ascii="Cambria" w:hAnsi="Cambria" w:cs="Cambria"/>
          <w:color w:val="0E101A"/>
          <w:lang w:val="en-GB"/>
        </w:rPr>
        <w:t>Buildings, roads, transportation and other indoor and outdoor facilities, including schools, housing, medical facilities and workplaces;</w:t>
      </w:r>
    </w:p>
    <w:p w14:paraId="37B00620" w14:textId="77777777" w:rsidR="00622BC0" w:rsidRDefault="00826C5A">
      <w:pPr>
        <w:widowControl w:val="0"/>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 xml:space="preserve">b) </w:t>
      </w:r>
      <w:r>
        <w:rPr>
          <w:rFonts w:ascii="Cambria" w:hAnsi="Cambria" w:cs="Cambria"/>
          <w:color w:val="0E101A"/>
        </w:rPr>
        <w:tab/>
      </w:r>
      <w:r>
        <w:rPr>
          <w:rFonts w:ascii="Cambria" w:hAnsi="Cambria" w:cs="Cambria"/>
          <w:color w:val="0E101A"/>
          <w:lang w:val="en-GB"/>
        </w:rPr>
        <w:t>Information, communications and other services, including electronic services and emergency services.</w:t>
      </w:r>
    </w:p>
    <w:p w14:paraId="76E7BFFB" w14:textId="77777777" w:rsidR="00622BC0" w:rsidRDefault="00826C5A">
      <w:pPr>
        <w:widowControl w:val="0"/>
        <w:autoSpaceDE w:val="0"/>
        <w:autoSpaceDN w:val="0"/>
        <w:adjustRightInd w:val="0"/>
        <w:ind w:left="480" w:right="-6" w:hangingChars="200" w:hanging="480"/>
        <w:jc w:val="both"/>
        <w:rPr>
          <w:rFonts w:ascii="Cambria" w:hAnsi="Cambria" w:cs="Cambria"/>
          <w:color w:val="0E101A"/>
          <w:lang w:val="en-GB"/>
        </w:rPr>
      </w:pPr>
      <w:r>
        <w:rPr>
          <w:rFonts w:ascii="Cambria" w:hAnsi="Cambria" w:cs="Cambria"/>
          <w:color w:val="0E101A"/>
          <w:lang w:val="en-GB"/>
        </w:rPr>
        <w:t xml:space="preserve">2. </w:t>
      </w:r>
      <w:r>
        <w:rPr>
          <w:rFonts w:ascii="Cambria" w:hAnsi="Cambria" w:cs="Cambria"/>
          <w:color w:val="0E101A"/>
        </w:rPr>
        <w:tab/>
      </w:r>
      <w:r>
        <w:rPr>
          <w:rFonts w:ascii="Cambria" w:hAnsi="Cambria" w:cs="Cambria"/>
          <w:color w:val="0E101A"/>
          <w:lang w:val="en-GB"/>
        </w:rPr>
        <w:t>States Parties shall also take appropriate measures:</w:t>
      </w:r>
    </w:p>
    <w:p w14:paraId="33BCEF87" w14:textId="77777777" w:rsidR="00622BC0" w:rsidRDefault="00826C5A">
      <w:pPr>
        <w:widowControl w:val="0"/>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 xml:space="preserve">a) </w:t>
      </w:r>
      <w:r>
        <w:rPr>
          <w:rFonts w:ascii="Cambria" w:hAnsi="Cambria" w:cs="Cambria"/>
          <w:color w:val="0E101A"/>
        </w:rPr>
        <w:tab/>
      </w:r>
      <w:r>
        <w:rPr>
          <w:rFonts w:ascii="Cambria" w:hAnsi="Cambria" w:cs="Cambria"/>
          <w:color w:val="0E101A"/>
          <w:lang w:val="en-GB"/>
        </w:rPr>
        <w:t>To develop, promulgate and monitor the implementation of minimum standards and guidelines for the accessibility of facilities and services open or provided to the public;</w:t>
      </w:r>
    </w:p>
    <w:p w14:paraId="723DE4E2" w14:textId="77777777" w:rsidR="00622BC0" w:rsidRDefault="00826C5A">
      <w:pPr>
        <w:widowControl w:val="0"/>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 xml:space="preserve">b) </w:t>
      </w:r>
      <w:r>
        <w:rPr>
          <w:rFonts w:ascii="Cambria" w:hAnsi="Cambria" w:cs="Cambria"/>
          <w:color w:val="0E101A"/>
        </w:rPr>
        <w:tab/>
      </w:r>
      <w:r>
        <w:rPr>
          <w:rFonts w:ascii="Cambria" w:hAnsi="Cambria" w:cs="Cambria"/>
          <w:color w:val="0E101A"/>
          <w:lang w:val="en-GB"/>
        </w:rPr>
        <w:t>To ensure that private entities that offer facilities and services which are open or provided to the public take into account all aspects of accessibility for persons with disabilities;</w:t>
      </w:r>
    </w:p>
    <w:p w14:paraId="4B829FF2" w14:textId="77777777" w:rsidR="00622BC0" w:rsidRDefault="00826C5A">
      <w:pPr>
        <w:widowControl w:val="0"/>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 xml:space="preserve">c) </w:t>
      </w:r>
      <w:r>
        <w:rPr>
          <w:rFonts w:ascii="Cambria" w:hAnsi="Cambria" w:cs="Cambria"/>
          <w:color w:val="0E101A"/>
        </w:rPr>
        <w:tab/>
      </w:r>
      <w:r>
        <w:rPr>
          <w:rFonts w:ascii="Cambria" w:hAnsi="Cambria" w:cs="Cambria"/>
          <w:color w:val="0E101A"/>
          <w:lang w:val="en-GB"/>
        </w:rPr>
        <w:t>To provide training for stakeholders on accessibility issues facing persons with disabilities;</w:t>
      </w:r>
    </w:p>
    <w:p w14:paraId="6D3EEBD7" w14:textId="77777777" w:rsidR="00622BC0" w:rsidRDefault="00826C5A">
      <w:pPr>
        <w:widowControl w:val="0"/>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 xml:space="preserve">d) </w:t>
      </w:r>
      <w:r>
        <w:rPr>
          <w:rFonts w:ascii="Cambria" w:hAnsi="Cambria" w:cs="Cambria"/>
          <w:color w:val="0E101A"/>
        </w:rPr>
        <w:tab/>
      </w:r>
      <w:r>
        <w:rPr>
          <w:rFonts w:ascii="Cambria" w:hAnsi="Cambria" w:cs="Cambria"/>
          <w:color w:val="0E101A"/>
          <w:lang w:val="en-GB"/>
        </w:rPr>
        <w:t>To provide in buildings and other facilities open to the public signage in Braille and in easy to read and understand forms;</w:t>
      </w:r>
    </w:p>
    <w:p w14:paraId="21EA8AA6" w14:textId="77777777" w:rsidR="00622BC0" w:rsidRDefault="00826C5A">
      <w:pPr>
        <w:widowControl w:val="0"/>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 xml:space="preserve">e) </w:t>
      </w:r>
      <w:r>
        <w:rPr>
          <w:rFonts w:ascii="Cambria" w:hAnsi="Cambria" w:cs="Cambria"/>
          <w:color w:val="0E101A"/>
        </w:rPr>
        <w:tab/>
      </w:r>
      <w:r>
        <w:rPr>
          <w:rFonts w:ascii="Cambria" w:hAnsi="Cambria" w:cs="Cambria"/>
          <w:color w:val="0E101A"/>
          <w:lang w:val="en-GB"/>
        </w:rPr>
        <w:t>To provide forms of live assistance and intermediaries, including guides, readers and professional sign language interpreters, to facilitate accessibility to buildings and other facilities open to the public;</w:t>
      </w:r>
    </w:p>
    <w:p w14:paraId="3DD5B961" w14:textId="77777777" w:rsidR="00622BC0" w:rsidRDefault="00826C5A">
      <w:pPr>
        <w:widowControl w:val="0"/>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 xml:space="preserve">f) </w:t>
      </w:r>
      <w:r>
        <w:rPr>
          <w:rFonts w:ascii="Cambria" w:hAnsi="Cambria" w:cs="Cambria"/>
          <w:color w:val="0E101A"/>
        </w:rPr>
        <w:tab/>
      </w:r>
      <w:r>
        <w:rPr>
          <w:rFonts w:ascii="Cambria" w:hAnsi="Cambria" w:cs="Cambria"/>
          <w:color w:val="0E101A"/>
          <w:lang w:val="en-GB"/>
        </w:rPr>
        <w:t>To promote other appropriate forms of assistance and support to persons with disabilities to ensure their access to information;</w:t>
      </w:r>
    </w:p>
    <w:p w14:paraId="4B35851F" w14:textId="77777777" w:rsidR="00622BC0" w:rsidRDefault="00826C5A">
      <w:pPr>
        <w:widowControl w:val="0"/>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 xml:space="preserve">g) </w:t>
      </w:r>
      <w:r>
        <w:rPr>
          <w:rFonts w:ascii="Cambria" w:hAnsi="Cambria" w:cs="Cambria"/>
          <w:color w:val="0E101A"/>
        </w:rPr>
        <w:tab/>
      </w:r>
      <w:r>
        <w:rPr>
          <w:rFonts w:ascii="Cambria" w:hAnsi="Cambria" w:cs="Cambria"/>
          <w:color w:val="0E101A"/>
          <w:lang w:val="en-GB"/>
        </w:rPr>
        <w:t>To promote access for persons with disabilities to new information and communications technologies and systems, including the Internet;</w:t>
      </w:r>
    </w:p>
    <w:p w14:paraId="5F40C9A8" w14:textId="77777777" w:rsidR="00622BC0" w:rsidRDefault="00826C5A">
      <w:pPr>
        <w:widowControl w:val="0"/>
        <w:autoSpaceDE w:val="0"/>
        <w:autoSpaceDN w:val="0"/>
        <w:adjustRightInd w:val="0"/>
        <w:ind w:leftChars="200" w:left="960" w:right="-6" w:hangingChars="200" w:hanging="480"/>
        <w:jc w:val="both"/>
        <w:rPr>
          <w:rFonts w:ascii="Cambria" w:hAnsi="Cambria" w:cs="Cambria"/>
          <w:color w:val="0E101A"/>
          <w:lang w:val="en-GB"/>
        </w:rPr>
      </w:pPr>
      <w:r>
        <w:rPr>
          <w:rFonts w:ascii="Cambria" w:hAnsi="Cambria" w:cs="Cambria"/>
          <w:color w:val="0E101A"/>
          <w:lang w:val="en-GB"/>
        </w:rPr>
        <w:t xml:space="preserve">h) </w:t>
      </w:r>
      <w:r>
        <w:rPr>
          <w:rFonts w:ascii="Cambria" w:hAnsi="Cambria" w:cs="Cambria"/>
          <w:color w:val="0E101A"/>
        </w:rPr>
        <w:tab/>
      </w:r>
      <w:r>
        <w:rPr>
          <w:rFonts w:ascii="Cambria" w:hAnsi="Cambria" w:cs="Cambria"/>
          <w:color w:val="0E101A"/>
          <w:lang w:val="en-GB"/>
        </w:rPr>
        <w:t>To promote the design, development, production and distribution of accessible information and communications technologies and systems at an early stage, so that these technologies and systems become accessible at minimum cost.</w:t>
      </w:r>
    </w:p>
    <w:p w14:paraId="5385123D" w14:textId="77777777" w:rsidR="00622BC0" w:rsidRDefault="00826C5A">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In Indonesia, various concepts and programmes on “human rights cities” are initiated by the government and NGOs. The initiatives reflect international human rights principles to reach out to all citizens, regardless of their nationalities, identities, and backgrounds. In Singapore, the concept of sustainable and smart cities under the Enabling Masterplan is more well-known as the “enabling city.” Meanwhile, the Thai government developed “A Small City for All,” to ensure accessibility and independent living for all people. Branding may be different, but objectives and outcomes of this concept are similar; namely, to ensure that fundamental freedoms and human rights are guaranteed under the sustainable development principles of non-discrimination, equality, accessibility, non-gender bias, etc. </w:t>
      </w:r>
    </w:p>
    <w:p w14:paraId="76D0AAAB" w14:textId="05AC359F" w:rsidR="00622BC0" w:rsidRDefault="00826C5A">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 xml:space="preserve">To access public facilities, services and all related opportunities within society, accessibility and non-discrimination of persons with disabilities are vital. Therefore, the ASEAN member states in this study adopted legislation and regulations to ensure that persons with disabilities are encountering no barriers in public and private spaces, in order to live their lives independently. However, more substantial commitments and resources are needed to amend legislation to be in line with the CRPD and implement changes in practices.  </w:t>
      </w:r>
    </w:p>
    <w:p w14:paraId="5884B25D" w14:textId="28D1BE03" w:rsidR="00622BC0" w:rsidRDefault="00826C5A">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Barriers are caused by social and physical factors such as stigmatisation and discrimination through policies as well as inaccessible communication, transportation, buildings, and public facilitation in communities and open society. It is noted in this study that monitoring and evaluation and public building audits are hardly conducted in the ASEAN member states. It is proposed that these important activities be done, and that they should involve OPD</w:t>
      </w:r>
      <w:r w:rsidR="0067025E">
        <w:rPr>
          <w:rFonts w:ascii="Cambria" w:hAnsi="Cambria" w:cs="Cambria"/>
          <w:color w:val="0E101A"/>
          <w:lang w:val="en-GB"/>
        </w:rPr>
        <w:t>s</w:t>
      </w:r>
      <w:r>
        <w:rPr>
          <w:rFonts w:ascii="Cambria" w:hAnsi="Cambria" w:cs="Cambria"/>
          <w:color w:val="0E101A"/>
          <w:lang w:val="en-GB"/>
        </w:rPr>
        <w:t xml:space="preserve"> and persons with disabilities, the primary agents of change and beneficiaries of the legislative measures and programmes that seek to ensure accessibility and facilitation in various public and private buildings intended for public use. </w:t>
      </w:r>
    </w:p>
    <w:p w14:paraId="75BB87DA" w14:textId="77777777" w:rsidR="00622BC0" w:rsidRDefault="00826C5A">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 xml:space="preserve">Attempts have been made to utilise and optimise ICT for independent living by persons with disabilities; however, social barriers to inclusion identified in this report should be eliminated. Also to be eliminated are discrimination and stigmatisation of persons with disabilities as persons who have been excluded from education and cannot access information and communication when not provided in accessible formats,  as they also have freedom of expression and opinion and access to information as stated in CRPD Article 21. </w:t>
      </w:r>
    </w:p>
    <w:p w14:paraId="3657AFE1" w14:textId="77777777" w:rsidR="00622BC0" w:rsidRDefault="00826C5A">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 xml:space="preserve">Also, this baseline study has not sufficiently elaborated on the need to train and sensitise key stakeholders that the urgent need for accessibility and reasonable accommodation for persons with disabilities can be integrated into mainstream programmes, such as primary education curricula, vocational training, etc.  States also have a responsibility to implement widescale awareness raising campaigns to promote the rights and dignity of persons with disabilites, highlight their contributions to society in an effort to eliminate stigma and discrimination towards persons with disabilities as outlined in CRPD Article 8 (Awareness raising).  </w:t>
      </w:r>
    </w:p>
    <w:p w14:paraId="5D0323FA" w14:textId="77777777" w:rsidR="00622BC0" w:rsidRDefault="00622BC0">
      <w:pPr>
        <w:widowControl w:val="0"/>
        <w:autoSpaceDE w:val="0"/>
        <w:autoSpaceDN w:val="0"/>
        <w:adjustRightInd w:val="0"/>
        <w:ind w:right="-6"/>
        <w:jc w:val="both"/>
        <w:rPr>
          <w:rFonts w:ascii="Cambria" w:hAnsi="Cambria" w:cs="Cambria"/>
          <w:color w:val="0E101A"/>
          <w:lang w:val="en-GB"/>
        </w:rPr>
      </w:pPr>
    </w:p>
    <w:p w14:paraId="5C881478" w14:textId="77777777" w:rsidR="00622BC0" w:rsidRDefault="00826C5A">
      <w:pPr>
        <w:widowControl w:val="0"/>
        <w:autoSpaceDE w:val="0"/>
        <w:autoSpaceDN w:val="0"/>
        <w:adjustRightInd w:val="0"/>
        <w:ind w:right="-6"/>
        <w:jc w:val="both"/>
        <w:rPr>
          <w:rFonts w:ascii="Cambria" w:hAnsi="Cambria" w:cs="Cambria"/>
          <w:color w:val="0E101A"/>
          <w:lang w:val="en-GB"/>
        </w:rPr>
      </w:pPr>
      <w:r>
        <w:rPr>
          <w:rFonts w:ascii="Cambria" w:hAnsi="Cambria" w:cs="Cambria"/>
          <w:b/>
          <w:bCs/>
          <w:color w:val="0E101A"/>
          <w:lang w:val="en-GB"/>
        </w:rPr>
        <w:t>Underlying Persons with Disabilities’ Issues in SDGs and CRPD</w:t>
      </w:r>
    </w:p>
    <w:p w14:paraId="6B8639F3" w14:textId="503AD8F9" w:rsidR="00622BC0" w:rsidRDefault="00826C5A">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 xml:space="preserve">The core principles of indivisibility and interdependency define the fundamental freedoms and rights of a human being. These principles imply that certain rights are fundamental and inviolable, regardless of a person’s status such as the right to health, right to education, right to gender equality, right to employment, and right to accessibility in sustainable cities. The deprivation of one right might restrict access to other rights; likewise, exercising one right, might facilitate the enjoyment of other rights proving the interrelated nature of human rights. The Universal Declaration of Human Rights states that “All human beings are born free and equal in dignity and rights,” thus, equality and non-discrimination become central principles for all international human rights frameworks, including the CRPD. </w:t>
      </w:r>
    </w:p>
    <w:p w14:paraId="176A10DF" w14:textId="77777777" w:rsidR="00622BC0" w:rsidRDefault="00826C5A">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In light of this, the five SDG goals discussed in this study are interrelated to one another and with human rights. Mandatory indicators of each development goal are closely linked to the collective measures in respecting, promoting, protecting and fulfilling fundamental freedoms and human rights of all people, including persons with disabilities. The collective measures, as mentioned, require a multi-stakeholder effort and wide-ranging levels of authorities in society, from government, civil society, to private sector. These bodies should be activated and involved in a thorough process of realizing inclusive communities, which are compliant with SDGs and CRPD. </w:t>
      </w:r>
    </w:p>
    <w:p w14:paraId="5F69A7D3" w14:textId="207EA724" w:rsidR="00622BC0" w:rsidRDefault="00826C5A">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 xml:space="preserve">Furthermore, SDGs and CRPD national policies require robust commitments, resources and implementation mechanisms to navigate and oversee the implementation of such frameworks in all sectors and throughout all levels of society. Consequently, local government, policymakers, and officials are necessarily essential to increase the quality of knowledge and understanding about SDGs and CRPD. In doing so, the narrative on disability issues and human rights might correctly shift from the charity or medical-based approach to human rights basis among local governments, policymakers, and officials. Thus, capacity building among government officials is essential to raise their level of awareness and knowledge in developing local plans and budgets on disability issues. This way, national policy and regulation of SDGs and CRPD get to align with implementation at regional level. In the end, the expected outcome is the enjoyment and protection of the rights of persons with disabilities at the smallest level of society. </w:t>
      </w:r>
    </w:p>
    <w:p w14:paraId="73583972" w14:textId="117346B8" w:rsidR="00622BC0" w:rsidRDefault="00826C5A">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Second, the implementation of SDGs and CRPD emphasises the essence of participation and involvement so it can reflect and realise the principles of no one left behind and non-discrimination, as pledged by these frameworks, respectively. In this regard, participation and involvement of persons with disabilities, represented by OPDs, are essential in the entire process of SDGs and CRPD implementation in all sectors and levels. The disability movement in the five surveyed countries has not yet succeeded in shifting perspectives to a paradigm of human rights approach that includes policymaking and budget processes. However, several signs of progress are noted by the OPD</w:t>
      </w:r>
      <w:r w:rsidR="0067025E">
        <w:rPr>
          <w:rFonts w:ascii="Cambria" w:hAnsi="Cambria" w:cs="Cambria"/>
          <w:color w:val="0E101A"/>
          <w:lang w:val="en-GB"/>
        </w:rPr>
        <w:t>s</w:t>
      </w:r>
      <w:r>
        <w:rPr>
          <w:rFonts w:ascii="Cambria" w:hAnsi="Cambria" w:cs="Cambria"/>
          <w:color w:val="0E101A"/>
          <w:lang w:val="en-GB"/>
        </w:rPr>
        <w:t>; namely, the integration of the CRPD and SDGs into national mechanisms, the adoption of specific disability laws and inclusive regulations on different issues, and independent advocacy to monitor the CRPD implementation through shadow reports.</w:t>
      </w:r>
    </w:p>
    <w:p w14:paraId="1AA0B005" w14:textId="77777777" w:rsidR="00622BC0" w:rsidRDefault="00826C5A">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Moreover, in the larger 10 ASEAN member states region has adopted the newly integrated framework for SDGs and CRPD, the ASEAN Enabling Masterplan 2025. As reiterated in the Masterplan, the participation of OPDs is essential to fulfilling the CRPD General Comment No.7 on “the participation of persons with disabilities in the implementation and monitoring of the Convention.” Therefore, meaningful participation of OPDs should be increased by facilitating their active contribution in the whole processes of policymaking, budget development and implementation for various issues and rights related to disabilities at all levels. That being said, the implementation of SDGs and CRPD would be more effective and efficient with a fully inclusive approach, measurable indicators, feasible action plans and programmes, and timely response.</w:t>
      </w:r>
    </w:p>
    <w:p w14:paraId="218D6EFC" w14:textId="77777777" w:rsidR="00622BC0" w:rsidRDefault="00622BC0">
      <w:pPr>
        <w:widowControl w:val="0"/>
        <w:autoSpaceDE w:val="0"/>
        <w:autoSpaceDN w:val="0"/>
        <w:adjustRightInd w:val="0"/>
        <w:ind w:right="-6"/>
        <w:jc w:val="both"/>
        <w:rPr>
          <w:rFonts w:ascii="Cambria" w:hAnsi="Cambria" w:cs="Cambria"/>
          <w:color w:val="0E101A"/>
          <w:lang w:val="en-GB"/>
        </w:rPr>
      </w:pPr>
    </w:p>
    <w:p w14:paraId="49E771BE" w14:textId="77777777" w:rsidR="00622BC0" w:rsidRDefault="00826C5A">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Way Forward to Protect the Rights of Persons with Disabilities</w:t>
      </w:r>
    </w:p>
    <w:p w14:paraId="4F0368B4" w14:textId="77777777" w:rsidR="00622BC0" w:rsidRDefault="00826C5A">
      <w:pPr>
        <w:widowControl w:val="0"/>
        <w:autoSpaceDE w:val="0"/>
        <w:autoSpaceDN w:val="0"/>
        <w:adjustRightInd w:val="0"/>
        <w:spacing w:after="200"/>
        <w:ind w:right="-6"/>
        <w:jc w:val="both"/>
        <w:rPr>
          <w:rFonts w:ascii="Cambria" w:hAnsi="Cambria"/>
          <w:lang w:val="en-GB"/>
        </w:rPr>
      </w:pPr>
      <w:r>
        <w:rPr>
          <w:rFonts w:ascii="Cambria" w:hAnsi="Cambria"/>
          <w:lang w:val="en-GB"/>
        </w:rPr>
        <w:t xml:space="preserve">This research should be a starting point for ADF to continue participating and monitoring the policy elaboration and implementation towards the rights and inclusion of all persons with disabilities in ASEAN. ADF and its members can utilize this research to develop follow-up initiatives in the countries surveyed in this report.  For example, OPDs can use this research to support and guide the drafting of alternative reports to the CRPD Committee or civil society reports on SDG implementation as part of the National Voluntary Reporting process.  ADF can offer its members to amplify the links between the CRPD and the SDGs through capacity building and training. Most importantly, the baseline should be updated annually through monitoring and evaluation schemes based on CRPD articles and SDG indicators and targets. These activities are relevant to the implementation of the ASEAN Enabling Masterplan 2025: Mainstreaming the Rights of Persons with Disabilities. </w:t>
      </w:r>
    </w:p>
    <w:p w14:paraId="50D4A3B2" w14:textId="60166646"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five ASEAN countries studied already drew plans for attaining the 2030 Agenda, particularly for attaining SDG 3 on good health and well-being, SDG 4 on quality education, SDG 5 on gender equality, SDG 8 on decent work and economic growth, and SDG 11 sustainable cities and communities. Nevertheless, they have not translated their plans into programmes that fully address the inclusion of persons with disabilities. </w:t>
      </w:r>
    </w:p>
    <w:p w14:paraId="6876BAD7" w14:textId="487C3552"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Programme implementation in the five countries are not yet fully inclusive of persons with disabilities leaving gaps in compliance with the CRPD.  Development programmes to implement the SDGs are not appropriately integrated in national and regional planning. Coordination needs to be strengthened in programme planning, monitoring and evaluation, so that all key stakeholders are meaningfully involved in undertaking their roles and responsibilities in protecting and fulfilling the rights of persons with disabilities.</w:t>
      </w:r>
    </w:p>
    <w:p w14:paraId="2DEAC2AB"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participation and advocacy efforts of OPDs in the implementation of SDGs has encouraged various sectors to set up monitoring and evaluation activities. Secondly, it is noted that OPDs played an important educational role to raise awareness and increase the understanding of human rights and disability perspective among government apparatus, societies, and multi-stakeholders based on the CRPD has recorded results. </w:t>
      </w:r>
    </w:p>
    <w:p w14:paraId="223AD790"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Therefore, OPDs can increase their initiatives and participation in creating even more momentum on training, monitoring, discussion, etc. Meanwhile, governments and other related stakeholders should involve OPDs for their input in the legislative and policy making processes. Increased participation of OPDs, particularly technical participation, would substantially improve the prospect of meaningfully applying the pledge to “leave no-one behind.” </w:t>
      </w:r>
    </w:p>
    <w:p w14:paraId="466C870E" w14:textId="7777777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This baseline report becomes a contribution and pathway towards enacting policies and institutionalised mechanisms for protecting and fulfilling the rights of persons with disabilities on an equal basis with others. Success will mean that the rights to health, quality inclusive education, gender equality, employment, and accessibility are guaranteed and enjoyed by all persons with disabilities including under-represented groups of persons with disabilites such as women and girls with disabilites, persons with psychosocial disabilites, persons with intellectual disabilities, persons with Deafblindness etc. . </w:t>
      </w:r>
    </w:p>
    <w:p w14:paraId="4C85F276" w14:textId="56F084A1"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All citizens can benefit from an accessible environment and society if governments adopted universal design, reasonable accommodation, and accessibility principles in the city and the broader society. Persons with disabilities to participate would be encouraged to participate in the public sphere if the physical and non-physical obstacles discussed in this report are eliminated. The principle of inclusion is essential to ensure that the necessary development agenda and programmes are well addressed and implemented as articulated and needed by persons with disabilities and their family members. </w:t>
      </w:r>
    </w:p>
    <w:p w14:paraId="49B3728E" w14:textId="279AB307" w:rsidR="00622BC0" w:rsidRDefault="00826C5A">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All of the states surveyed in this report have adopted CPRD principles of non-discrimination and the fulfilment and enjoyment of the rights of persons with disabilities in legislation.  However, there are still gaps in compliance with all of the articles of the CRPD as well as gaps in implementation.  As a result, the civil society , the treatment of persons with disabilities and their opportunities to attain the fundamental rights as enshrined in the adopted policies and regulations remain unequal. It is important that OPD</w:t>
      </w:r>
      <w:r w:rsidR="0067025E">
        <w:rPr>
          <w:rFonts w:ascii="Cambria" w:hAnsi="Cambria" w:cs="Cambria"/>
          <w:lang w:val="en-GB"/>
        </w:rPr>
        <w:t>s</w:t>
      </w:r>
      <w:r>
        <w:rPr>
          <w:rFonts w:ascii="Cambria" w:hAnsi="Cambria" w:cs="Cambria"/>
          <w:lang w:val="en-GB"/>
        </w:rPr>
        <w:t xml:space="preserve"> and persons with disabilities should engage even more actively, both in formal and informal advocacy, in order to usher in a change of paradigm from the social model of treating disability issues, which translates into exclusion, to human rights-based approach, which is an inclusive one.</w:t>
      </w:r>
    </w:p>
    <w:p w14:paraId="3BF94C93" w14:textId="77777777" w:rsidR="00622BC0" w:rsidRDefault="00826C5A">
      <w:pPr>
        <w:widowControl w:val="0"/>
        <w:autoSpaceDE w:val="0"/>
        <w:autoSpaceDN w:val="0"/>
        <w:adjustRightInd w:val="0"/>
        <w:spacing w:after="200" w:line="276" w:lineRule="auto"/>
        <w:ind w:right="-6"/>
        <w:rPr>
          <w:rFonts w:ascii="Cambria" w:hAnsi="Cambria" w:cs="Cambria"/>
          <w:lang w:val="en-GB"/>
        </w:rPr>
      </w:pPr>
      <w:r>
        <w:rPr>
          <w:rFonts w:ascii="Calibri" w:hAnsi="Calibri" w:cs="Calibri"/>
          <w:lang w:val="en-GB"/>
        </w:rPr>
        <w:br w:type="page"/>
      </w:r>
    </w:p>
    <w:p w14:paraId="65FB7F43" w14:textId="77777777" w:rsidR="00622BC0" w:rsidRDefault="00826C5A">
      <w:pPr>
        <w:widowControl w:val="0"/>
        <w:autoSpaceDE w:val="0"/>
        <w:autoSpaceDN w:val="0"/>
        <w:adjustRightInd w:val="0"/>
        <w:spacing w:after="200"/>
        <w:ind w:right="-6"/>
        <w:jc w:val="center"/>
        <w:rPr>
          <w:rFonts w:ascii="Cambria" w:hAnsi="Cambria" w:cs="Cambria"/>
          <w:b/>
          <w:bCs/>
          <w:lang w:val="en-GB"/>
        </w:rPr>
      </w:pPr>
      <w:r>
        <w:rPr>
          <w:rFonts w:ascii="Cambria" w:hAnsi="Cambria" w:cs="Cambria"/>
          <w:b/>
          <w:bCs/>
          <w:lang w:val="en-GB"/>
        </w:rPr>
        <w:t>Bibliography</w:t>
      </w:r>
    </w:p>
    <w:p w14:paraId="7C4E21B3" w14:textId="77777777" w:rsidR="00622BC0" w:rsidRDefault="00622BC0">
      <w:pPr>
        <w:widowControl w:val="0"/>
        <w:autoSpaceDE w:val="0"/>
        <w:autoSpaceDN w:val="0"/>
        <w:adjustRightInd w:val="0"/>
        <w:spacing w:after="200" w:line="276" w:lineRule="auto"/>
        <w:ind w:right="-6"/>
        <w:rPr>
          <w:rFonts w:ascii="Cambria" w:hAnsi="Cambria" w:cs="Cambria"/>
          <w:b/>
          <w:bCs/>
          <w:lang w:val="en-GB"/>
        </w:rPr>
      </w:pPr>
    </w:p>
    <w:p w14:paraId="5C6FD39A" w14:textId="77777777" w:rsidR="00622BC0" w:rsidRDefault="00826C5A">
      <w:pPr>
        <w:widowControl w:val="0"/>
        <w:autoSpaceDE w:val="0"/>
        <w:autoSpaceDN w:val="0"/>
        <w:adjustRightInd w:val="0"/>
        <w:spacing w:after="200" w:line="276" w:lineRule="auto"/>
        <w:ind w:left="802" w:right="-6" w:hanging="802"/>
        <w:jc w:val="both"/>
        <w:rPr>
          <w:rFonts w:ascii="Cambria" w:hAnsi="Cambria" w:cs="Cambria"/>
          <w:lang w:val="en-GB"/>
        </w:rPr>
      </w:pPr>
      <w:r>
        <w:rPr>
          <w:rFonts w:ascii="Cambria" w:hAnsi="Cambria" w:cs="Cambria"/>
          <w:b/>
          <w:bCs/>
          <w:lang w:val="en-GB"/>
        </w:rPr>
        <w:t>Books</w:t>
      </w:r>
    </w:p>
    <w:p w14:paraId="49159349"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Banks, L. M, and Polack, S. (2015). The Economic Costs of Exclusion and Gains of Inclusion of People with Disabilities Evidence from Low and Middle Income Countries. London School: CBM.</w:t>
      </w:r>
    </w:p>
    <w:p w14:paraId="5BC03747"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Kanter, A. S. (2015). The Development of Disability Rights Under International Law From Charity to Human Rights. New York: Routledge.</w:t>
      </w:r>
    </w:p>
    <w:p w14:paraId="78157DE0"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proofErr w:type="spellStart"/>
      <w:r>
        <w:rPr>
          <w:rFonts w:ascii="Cambria" w:hAnsi="Cambria" w:cs="Cambria"/>
          <w:lang w:val="en-GB"/>
        </w:rPr>
        <w:t>Nursyamsi</w:t>
      </w:r>
      <w:proofErr w:type="spellEnd"/>
      <w:r>
        <w:rPr>
          <w:rFonts w:ascii="Cambria" w:hAnsi="Cambria" w:cs="Cambria"/>
          <w:lang w:val="en-GB"/>
        </w:rPr>
        <w:t xml:space="preserve">, F., </w:t>
      </w:r>
      <w:proofErr w:type="spellStart"/>
      <w:r>
        <w:rPr>
          <w:rFonts w:ascii="Cambria" w:hAnsi="Cambria" w:cs="Cambria"/>
          <w:lang w:val="en-GB"/>
        </w:rPr>
        <w:t>Arifianti</w:t>
      </w:r>
      <w:proofErr w:type="spellEnd"/>
      <w:r>
        <w:rPr>
          <w:rFonts w:ascii="Cambria" w:hAnsi="Cambria" w:cs="Cambria"/>
          <w:lang w:val="en-GB"/>
        </w:rPr>
        <w:t xml:space="preserve">, D. E., et al. (2015). </w:t>
      </w:r>
      <w:proofErr w:type="spellStart"/>
      <w:r>
        <w:rPr>
          <w:rFonts w:ascii="Cambria" w:hAnsi="Cambria" w:cs="Cambria"/>
          <w:lang w:val="en-GB"/>
        </w:rPr>
        <w:t>Kerangka</w:t>
      </w:r>
      <w:proofErr w:type="spellEnd"/>
      <w:r>
        <w:rPr>
          <w:rFonts w:ascii="Cambria" w:hAnsi="Cambria" w:cs="Cambria"/>
          <w:lang w:val="en-GB"/>
        </w:rPr>
        <w:t xml:space="preserve"> Hukum Disabilities di Indonesia: </w:t>
      </w:r>
      <w:proofErr w:type="spellStart"/>
      <w:r>
        <w:rPr>
          <w:rFonts w:ascii="Cambria" w:hAnsi="Cambria" w:cs="Cambria"/>
          <w:lang w:val="en-GB"/>
        </w:rPr>
        <w:t>Menuju</w:t>
      </w:r>
      <w:proofErr w:type="spellEnd"/>
      <w:r>
        <w:rPr>
          <w:rFonts w:ascii="Cambria" w:hAnsi="Cambria" w:cs="Cambria"/>
          <w:lang w:val="en-GB"/>
        </w:rPr>
        <w:t xml:space="preserve"> Indonesia Ramah Disabilities. Jakarta: PSHK.</w:t>
      </w:r>
    </w:p>
    <w:p w14:paraId="6B8AE778"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proofErr w:type="spellStart"/>
      <w:r>
        <w:rPr>
          <w:rFonts w:ascii="Cambria" w:hAnsi="Cambria" w:cs="Cambria"/>
          <w:lang w:val="en-GB"/>
        </w:rPr>
        <w:t>Pozdniakova</w:t>
      </w:r>
      <w:proofErr w:type="spellEnd"/>
      <w:r>
        <w:rPr>
          <w:rFonts w:ascii="Cambria" w:hAnsi="Cambria" w:cs="Cambria"/>
          <w:lang w:val="en-GB"/>
        </w:rPr>
        <w:t xml:space="preserve">, A. M., (2019). Smart Sustainable Cities: The Concept and Approaches Measurement. Poland: Centrum </w:t>
      </w:r>
      <w:proofErr w:type="spellStart"/>
      <w:r>
        <w:rPr>
          <w:rFonts w:ascii="Cambria" w:hAnsi="Cambria" w:cs="Cambria"/>
          <w:lang w:val="en-GB"/>
        </w:rPr>
        <w:t>Bada</w:t>
      </w:r>
      <w:r>
        <w:rPr>
          <w:rFonts w:ascii="Times Roman" w:hAnsi="Times Roman" w:cs="Times Roman"/>
          <w:lang w:val="en-GB"/>
        </w:rPr>
        <w:t>ń</w:t>
      </w:r>
      <w:proofErr w:type="spellEnd"/>
      <w:r>
        <w:rPr>
          <w:rFonts w:ascii="Cambria" w:hAnsi="Cambria" w:cs="Cambria"/>
          <w:lang w:val="en-GB"/>
        </w:rPr>
        <w:t xml:space="preserve"> </w:t>
      </w:r>
      <w:proofErr w:type="spellStart"/>
      <w:r>
        <w:rPr>
          <w:rFonts w:ascii="Cambria" w:hAnsi="Cambria" w:cs="Cambria"/>
          <w:lang w:val="en-GB"/>
        </w:rPr>
        <w:t>i</w:t>
      </w:r>
      <w:proofErr w:type="spellEnd"/>
      <w:r>
        <w:rPr>
          <w:rFonts w:ascii="Cambria" w:hAnsi="Cambria" w:cs="Cambria"/>
          <w:lang w:val="en-GB"/>
        </w:rPr>
        <w:t xml:space="preserve"> </w:t>
      </w:r>
      <w:proofErr w:type="spellStart"/>
      <w:r>
        <w:rPr>
          <w:rFonts w:ascii="Cambria" w:hAnsi="Cambria" w:cs="Cambria"/>
          <w:lang w:val="en-GB"/>
        </w:rPr>
        <w:t>Innowacji</w:t>
      </w:r>
      <w:proofErr w:type="spellEnd"/>
      <w:r>
        <w:rPr>
          <w:rFonts w:ascii="Cambria" w:hAnsi="Cambria" w:cs="Cambria"/>
          <w:lang w:val="en-GB"/>
        </w:rPr>
        <w:t xml:space="preserve"> Pro-</w:t>
      </w:r>
      <w:proofErr w:type="spellStart"/>
      <w:r>
        <w:rPr>
          <w:rFonts w:ascii="Cambria" w:hAnsi="Cambria" w:cs="Cambria"/>
          <w:lang w:val="en-GB"/>
        </w:rPr>
        <w:t>Akademia</w:t>
      </w:r>
      <w:proofErr w:type="spellEnd"/>
      <w:r>
        <w:rPr>
          <w:rFonts w:ascii="Cambria" w:hAnsi="Cambria" w:cs="Cambria"/>
          <w:lang w:val="en-GB"/>
        </w:rPr>
        <w:t>.</w:t>
      </w:r>
    </w:p>
    <w:p w14:paraId="4ADED26A" w14:textId="77777777" w:rsidR="00622BC0" w:rsidRDefault="00826C5A">
      <w:pPr>
        <w:widowControl w:val="0"/>
        <w:autoSpaceDE w:val="0"/>
        <w:autoSpaceDN w:val="0"/>
        <w:adjustRightInd w:val="0"/>
        <w:spacing w:before="240" w:after="240" w:line="276" w:lineRule="auto"/>
        <w:ind w:left="799" w:right="-6" w:hanging="799"/>
        <w:jc w:val="both"/>
        <w:rPr>
          <w:rFonts w:ascii="Cambria" w:hAnsi="Cambria" w:cs="Cambria"/>
          <w:lang w:val="en-GB"/>
        </w:rPr>
      </w:pPr>
      <w:r>
        <w:rPr>
          <w:rFonts w:ascii="Cambria" w:hAnsi="Cambria" w:cs="Cambria"/>
          <w:lang w:val="en-GB"/>
        </w:rPr>
        <w:t>Zehnder, Alexander J. B. (2018). The Three Pillars of Sustainability Framework: Approaches for Laws and Governance. Singapore: NTU</w:t>
      </w:r>
    </w:p>
    <w:p w14:paraId="613B1508" w14:textId="77777777" w:rsidR="00622BC0" w:rsidRDefault="00622BC0">
      <w:pPr>
        <w:widowControl w:val="0"/>
        <w:autoSpaceDE w:val="0"/>
        <w:autoSpaceDN w:val="0"/>
        <w:adjustRightInd w:val="0"/>
        <w:spacing w:after="200" w:line="276" w:lineRule="auto"/>
        <w:ind w:left="799" w:right="-6" w:hanging="799"/>
        <w:jc w:val="both"/>
        <w:rPr>
          <w:rFonts w:ascii="Cambria" w:hAnsi="Cambria" w:cs="Cambria"/>
          <w:lang w:val="en-GB"/>
        </w:rPr>
      </w:pPr>
    </w:p>
    <w:p w14:paraId="32A2BCA8" w14:textId="77777777" w:rsidR="00622BC0" w:rsidRDefault="00826C5A">
      <w:pPr>
        <w:widowControl w:val="0"/>
        <w:autoSpaceDE w:val="0"/>
        <w:autoSpaceDN w:val="0"/>
        <w:adjustRightInd w:val="0"/>
        <w:spacing w:after="200" w:line="276" w:lineRule="auto"/>
        <w:ind w:left="802" w:right="-6" w:hanging="802"/>
        <w:jc w:val="both"/>
        <w:rPr>
          <w:rFonts w:ascii="Cambria" w:hAnsi="Cambria" w:cs="Cambria"/>
          <w:b/>
          <w:bCs/>
          <w:lang w:val="en-GB"/>
        </w:rPr>
      </w:pPr>
      <w:r>
        <w:rPr>
          <w:rFonts w:ascii="Cambria" w:hAnsi="Cambria" w:cs="Cambria"/>
          <w:b/>
          <w:bCs/>
          <w:lang w:val="en-GB"/>
        </w:rPr>
        <w:t>Journals and Research</w:t>
      </w:r>
    </w:p>
    <w:p w14:paraId="282C5053"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proofErr w:type="spellStart"/>
      <w:r>
        <w:rPr>
          <w:rFonts w:ascii="Cambria" w:hAnsi="Cambria" w:cs="Cambria"/>
          <w:lang w:val="en-GB"/>
        </w:rPr>
        <w:t>Binh</w:t>
      </w:r>
      <w:proofErr w:type="spellEnd"/>
      <w:r>
        <w:rPr>
          <w:rFonts w:ascii="Cambria" w:hAnsi="Cambria" w:cs="Cambria"/>
          <w:lang w:val="en-GB"/>
        </w:rPr>
        <w:t xml:space="preserve">, </w:t>
      </w:r>
      <w:proofErr w:type="spellStart"/>
      <w:r>
        <w:rPr>
          <w:rFonts w:ascii="Cambria" w:hAnsi="Cambria" w:cs="Cambria"/>
          <w:lang w:val="en-GB"/>
        </w:rPr>
        <w:t>Vũ</w:t>
      </w:r>
      <w:proofErr w:type="spellEnd"/>
      <w:r>
        <w:rPr>
          <w:rFonts w:ascii="Cambria" w:hAnsi="Cambria" w:cs="Cambria"/>
          <w:lang w:val="en-GB"/>
        </w:rPr>
        <w:t xml:space="preserve"> </w:t>
      </w:r>
      <w:proofErr w:type="spellStart"/>
      <w:r>
        <w:rPr>
          <w:rFonts w:ascii="Cambria" w:hAnsi="Cambria" w:cs="Cambria"/>
          <w:lang w:val="en-GB"/>
        </w:rPr>
        <w:t>Ngọc</w:t>
      </w:r>
      <w:proofErr w:type="spellEnd"/>
      <w:r>
        <w:rPr>
          <w:rFonts w:ascii="Cambria" w:hAnsi="Cambria" w:cs="Cambria"/>
          <w:lang w:val="en-GB"/>
        </w:rPr>
        <w:t xml:space="preserve"> </w:t>
      </w:r>
      <w:proofErr w:type="spellStart"/>
      <w:r>
        <w:rPr>
          <w:rFonts w:ascii="Cambria" w:hAnsi="Cambria" w:cs="Cambria"/>
          <w:lang w:val="en-GB"/>
        </w:rPr>
        <w:t>Bình</w:t>
      </w:r>
      <w:proofErr w:type="spellEnd"/>
      <w:r>
        <w:rPr>
          <w:rFonts w:ascii="Cambria" w:hAnsi="Cambria" w:cs="Cambria"/>
          <w:lang w:val="en-GB"/>
        </w:rPr>
        <w:t>. (2016). Towards a National Human Rights Institution – Global Experiences and Suggestions for Viet Nam (paper presented at the National Seminar on Establishing A National Human Rights Institution in Viet Nam organised by the Viet Nam Government Steering Committee on Human Rights on 14 September 2016). Hanoi, Viet Nam: VNB.</w:t>
      </w:r>
    </w:p>
    <w:p w14:paraId="47124B15"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proofErr w:type="spellStart"/>
      <w:r>
        <w:rPr>
          <w:rFonts w:ascii="Cambria" w:hAnsi="Cambria" w:cs="Cambria"/>
          <w:lang w:val="en-GB"/>
        </w:rPr>
        <w:t>Binh</w:t>
      </w:r>
      <w:proofErr w:type="spellEnd"/>
      <w:r>
        <w:rPr>
          <w:rFonts w:ascii="Cambria" w:hAnsi="Cambria" w:cs="Cambria"/>
          <w:lang w:val="en-GB"/>
        </w:rPr>
        <w:t xml:space="preserve">, </w:t>
      </w:r>
      <w:proofErr w:type="spellStart"/>
      <w:r>
        <w:rPr>
          <w:rFonts w:ascii="Cambria" w:hAnsi="Cambria" w:cs="Cambria"/>
          <w:lang w:val="en-GB"/>
        </w:rPr>
        <w:t>Vũ</w:t>
      </w:r>
      <w:proofErr w:type="spellEnd"/>
      <w:r>
        <w:rPr>
          <w:rFonts w:ascii="Cambria" w:hAnsi="Cambria" w:cs="Cambria"/>
          <w:lang w:val="en-GB"/>
        </w:rPr>
        <w:t xml:space="preserve"> </w:t>
      </w:r>
      <w:proofErr w:type="spellStart"/>
      <w:r>
        <w:rPr>
          <w:rFonts w:ascii="Cambria" w:hAnsi="Cambria" w:cs="Cambria"/>
          <w:lang w:val="en-GB"/>
        </w:rPr>
        <w:t>Ngọc</w:t>
      </w:r>
      <w:proofErr w:type="spellEnd"/>
      <w:r>
        <w:rPr>
          <w:rFonts w:ascii="Cambria" w:hAnsi="Cambria" w:cs="Cambria"/>
          <w:lang w:val="en-GB"/>
        </w:rPr>
        <w:t>. (2018). The Issue of Disability, the Rights of Persons with Disability and the 2030 Agenda for Sustainable Development (paper presented at the National Thematic Seminar on the Rights of Persons with Disability organised by the Hanoi National University School of Law on 16 November 2018). Hanoi, Viet Nam: VNB.</w:t>
      </w:r>
    </w:p>
    <w:p w14:paraId="23D730AF"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proofErr w:type="spellStart"/>
      <w:r>
        <w:rPr>
          <w:rFonts w:ascii="Cambria" w:hAnsi="Cambria" w:cs="Cambria"/>
          <w:lang w:val="en-GB"/>
        </w:rPr>
        <w:t>Binh</w:t>
      </w:r>
      <w:proofErr w:type="spellEnd"/>
      <w:r>
        <w:rPr>
          <w:rFonts w:ascii="Cambria" w:hAnsi="Cambria" w:cs="Cambria"/>
          <w:lang w:val="en-GB"/>
        </w:rPr>
        <w:t xml:space="preserve">, </w:t>
      </w:r>
      <w:proofErr w:type="spellStart"/>
      <w:r>
        <w:rPr>
          <w:rFonts w:ascii="Cambria" w:hAnsi="Cambria" w:cs="Cambria"/>
          <w:lang w:val="en-GB"/>
        </w:rPr>
        <w:t>Vũ</w:t>
      </w:r>
      <w:proofErr w:type="spellEnd"/>
      <w:r>
        <w:rPr>
          <w:rFonts w:ascii="Cambria" w:hAnsi="Cambria" w:cs="Cambria"/>
          <w:lang w:val="en-GB"/>
        </w:rPr>
        <w:t xml:space="preserve"> </w:t>
      </w:r>
      <w:proofErr w:type="spellStart"/>
      <w:r>
        <w:rPr>
          <w:rFonts w:ascii="Cambria" w:hAnsi="Cambria" w:cs="Cambria"/>
          <w:lang w:val="en-GB"/>
        </w:rPr>
        <w:t>Ngọc</w:t>
      </w:r>
      <w:proofErr w:type="spellEnd"/>
      <w:r>
        <w:rPr>
          <w:rFonts w:ascii="Cambria" w:hAnsi="Cambria" w:cs="Cambria"/>
          <w:lang w:val="en-GB"/>
        </w:rPr>
        <w:t>. (2016). Integrating the Convention on the Rights of Persons with Disabilities (CRPD) in Teacher Training Programmes for Children with Disabilities (paper presented at the National Scientific Conference on Resources Development for Integrated Education for Children with Disabilities organised by the Hanoi National University of Education and UNICEF on 17 July 2016). Hanoi, Viet Nam: VNB.</w:t>
      </w:r>
    </w:p>
    <w:p w14:paraId="11736B11" w14:textId="77777777" w:rsidR="00622BC0" w:rsidRDefault="00826C5A">
      <w:pPr>
        <w:widowControl w:val="0"/>
        <w:tabs>
          <w:tab w:val="left" w:pos="0"/>
        </w:tabs>
        <w:autoSpaceDE w:val="0"/>
        <w:autoSpaceDN w:val="0"/>
        <w:adjustRightInd w:val="0"/>
        <w:spacing w:after="58" w:line="276" w:lineRule="auto"/>
        <w:ind w:left="799" w:right="-6" w:hanging="799"/>
        <w:jc w:val="both"/>
        <w:rPr>
          <w:rFonts w:ascii="Cambria" w:hAnsi="Cambria" w:cs="Cambria"/>
          <w:lang w:val="en-GB"/>
        </w:rPr>
      </w:pPr>
      <w:proofErr w:type="spellStart"/>
      <w:r>
        <w:rPr>
          <w:rFonts w:ascii="Cambria" w:hAnsi="Cambria" w:cs="Cambria"/>
          <w:lang w:val="en-GB"/>
        </w:rPr>
        <w:t>Binh</w:t>
      </w:r>
      <w:proofErr w:type="spellEnd"/>
      <w:r>
        <w:rPr>
          <w:rFonts w:ascii="Cambria" w:hAnsi="Cambria" w:cs="Cambria"/>
          <w:lang w:val="en-GB"/>
        </w:rPr>
        <w:t xml:space="preserve">, </w:t>
      </w:r>
      <w:proofErr w:type="spellStart"/>
      <w:r>
        <w:rPr>
          <w:rFonts w:ascii="Cambria" w:hAnsi="Cambria" w:cs="Cambria"/>
          <w:lang w:val="en-GB"/>
        </w:rPr>
        <w:t>Vũ</w:t>
      </w:r>
      <w:proofErr w:type="spellEnd"/>
      <w:r>
        <w:rPr>
          <w:rFonts w:ascii="Cambria" w:hAnsi="Cambria" w:cs="Cambria"/>
          <w:lang w:val="en-GB"/>
        </w:rPr>
        <w:t xml:space="preserve"> </w:t>
      </w:r>
      <w:proofErr w:type="spellStart"/>
      <w:r>
        <w:rPr>
          <w:rFonts w:ascii="Cambria" w:hAnsi="Cambria" w:cs="Cambria"/>
          <w:lang w:val="en-GB"/>
        </w:rPr>
        <w:t>Ngọc</w:t>
      </w:r>
      <w:proofErr w:type="spellEnd"/>
      <w:r>
        <w:rPr>
          <w:rFonts w:ascii="Cambria" w:hAnsi="Cambria" w:cs="Cambria"/>
          <w:lang w:val="en-GB"/>
        </w:rPr>
        <w:t xml:space="preserve"> </w:t>
      </w:r>
      <w:proofErr w:type="spellStart"/>
      <w:r>
        <w:rPr>
          <w:rFonts w:ascii="Cambria" w:hAnsi="Cambria" w:cs="Cambria"/>
          <w:lang w:val="en-GB"/>
        </w:rPr>
        <w:t>Bình</w:t>
      </w:r>
      <w:proofErr w:type="spellEnd"/>
      <w:r>
        <w:rPr>
          <w:rFonts w:ascii="Cambria" w:hAnsi="Cambria" w:cs="Cambria"/>
          <w:lang w:val="en-GB"/>
        </w:rPr>
        <w:t>. (2016). Towards Human Rights for All in ASEAN - the Participation of Civil Society Organisations and Practical Issues to be Addressed for Viet Nam (paper presented at the National Symposium on “the Role of Civil Society in the Economic, Social and Cultural Developments in Viet Nam” organised in Hanoi, 14-15 April 2016). Hanoi, Viet Nam: VNB.</w:t>
      </w:r>
    </w:p>
    <w:p w14:paraId="13DF1537" w14:textId="77777777" w:rsidR="00622BC0" w:rsidRDefault="00622BC0">
      <w:pPr>
        <w:widowControl w:val="0"/>
        <w:tabs>
          <w:tab w:val="left" w:pos="0"/>
        </w:tabs>
        <w:autoSpaceDE w:val="0"/>
        <w:autoSpaceDN w:val="0"/>
        <w:adjustRightInd w:val="0"/>
        <w:spacing w:after="58" w:line="276" w:lineRule="auto"/>
        <w:ind w:left="799" w:right="-6" w:hanging="799"/>
        <w:jc w:val="both"/>
        <w:rPr>
          <w:rFonts w:ascii="Cambria" w:hAnsi="Cambria" w:cs="Cambria"/>
          <w:lang w:val="en-GB"/>
        </w:rPr>
      </w:pPr>
    </w:p>
    <w:p w14:paraId="703D8EA2"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Department of Education. (2018). Updating of the Philippine Compliance Report to the UN Convention on the Rights of Persons with Disabilities. The Philippines: DEP-ED.</w:t>
      </w:r>
    </w:p>
    <w:p w14:paraId="0495CAC6"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 xml:space="preserve">Department of Labour and Employment. (2018). </w:t>
      </w:r>
      <w:proofErr w:type="spellStart"/>
      <w:r>
        <w:rPr>
          <w:rFonts w:ascii="Cambria" w:hAnsi="Cambria" w:cs="Cambria"/>
          <w:i/>
          <w:iCs/>
          <w:lang w:val="en-GB"/>
        </w:rPr>
        <w:t>Tulong</w:t>
      </w:r>
      <w:proofErr w:type="spellEnd"/>
      <w:r>
        <w:rPr>
          <w:rFonts w:ascii="Cambria" w:hAnsi="Cambria" w:cs="Cambria"/>
          <w:i/>
          <w:iCs/>
          <w:lang w:val="en-GB"/>
        </w:rPr>
        <w:t xml:space="preserve"> </w:t>
      </w:r>
      <w:proofErr w:type="spellStart"/>
      <w:r>
        <w:rPr>
          <w:rFonts w:ascii="Cambria" w:hAnsi="Cambria" w:cs="Cambria"/>
          <w:i/>
          <w:iCs/>
          <w:lang w:val="en-GB"/>
        </w:rPr>
        <w:t>Alalay</w:t>
      </w:r>
      <w:proofErr w:type="spellEnd"/>
      <w:r>
        <w:rPr>
          <w:rFonts w:ascii="Cambria" w:hAnsi="Cambria" w:cs="Cambria"/>
          <w:i/>
          <w:iCs/>
          <w:lang w:val="en-GB"/>
        </w:rPr>
        <w:t xml:space="preserve"> </w:t>
      </w:r>
      <w:proofErr w:type="spellStart"/>
      <w:r>
        <w:rPr>
          <w:rFonts w:ascii="Cambria" w:hAnsi="Cambria" w:cs="Cambria"/>
          <w:i/>
          <w:iCs/>
          <w:lang w:val="en-GB"/>
        </w:rPr>
        <w:t>sa</w:t>
      </w:r>
      <w:proofErr w:type="spellEnd"/>
      <w:r>
        <w:rPr>
          <w:rFonts w:ascii="Cambria" w:hAnsi="Cambria" w:cs="Cambria"/>
          <w:i/>
          <w:iCs/>
          <w:lang w:val="en-GB"/>
        </w:rPr>
        <w:t xml:space="preserve"> </w:t>
      </w:r>
      <w:proofErr w:type="spellStart"/>
      <w:r>
        <w:rPr>
          <w:rFonts w:ascii="Cambria" w:hAnsi="Cambria" w:cs="Cambria"/>
          <w:i/>
          <w:iCs/>
          <w:lang w:val="en-GB"/>
        </w:rPr>
        <w:t>Taong</w:t>
      </w:r>
      <w:proofErr w:type="spellEnd"/>
      <w:r>
        <w:rPr>
          <w:rFonts w:ascii="Cambria" w:hAnsi="Cambria" w:cs="Cambria"/>
          <w:i/>
          <w:iCs/>
          <w:lang w:val="en-GB"/>
        </w:rPr>
        <w:t xml:space="preserve"> may </w:t>
      </w:r>
      <w:proofErr w:type="spellStart"/>
      <w:r>
        <w:rPr>
          <w:rFonts w:ascii="Cambria" w:hAnsi="Cambria" w:cs="Cambria"/>
          <w:i/>
          <w:iCs/>
          <w:lang w:val="en-GB"/>
        </w:rPr>
        <w:t>Kapansanan</w:t>
      </w:r>
      <w:proofErr w:type="spellEnd"/>
      <w:r>
        <w:rPr>
          <w:rFonts w:ascii="Cambria" w:hAnsi="Cambria" w:cs="Cambria"/>
          <w:i/>
          <w:iCs/>
          <w:lang w:val="en-GB"/>
        </w:rPr>
        <w:t xml:space="preserve"> (TULAY)</w:t>
      </w:r>
      <w:r>
        <w:rPr>
          <w:rFonts w:ascii="Cambria" w:hAnsi="Cambria" w:cs="Cambria"/>
          <w:lang w:val="en-GB"/>
        </w:rPr>
        <w:t>. The Philippines: DOLE.</w:t>
      </w:r>
    </w:p>
    <w:p w14:paraId="0190D364"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Department of Labour and Employment. (2018). Updating of the Philippine Compliance Report to the UN Convention on the Rights of Persons with Disabilities. The Philippines: DOLE.</w:t>
      </w:r>
    </w:p>
    <w:p w14:paraId="2C0A656B"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Department of Social Welfare and Development. (2018). Updating of the Philippine Compliance Report to the UN Convention on the Rights of Persons with Disabilities. The Philippines: DSWD.</w:t>
      </w:r>
    </w:p>
    <w:p w14:paraId="25E1754B"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b/>
          <w:bCs/>
          <w:lang w:val="en-GB"/>
        </w:rPr>
      </w:pPr>
      <w:r>
        <w:rPr>
          <w:rFonts w:ascii="Cambria" w:hAnsi="Cambria" w:cs="Cambria"/>
          <w:lang w:val="en-GB"/>
        </w:rPr>
        <w:t>Department of Trade and Industry. (2018). Updating of the Philippine Compliance Report to the UN Convention on the Rights of Persons with Disabilities. The Philippines: DTI.</w:t>
      </w:r>
    </w:p>
    <w:p w14:paraId="555D7ECC"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General Statistics Office (GSO). (2018). The National Survey on People with Disabilities 2016 (VDS2016), Final Report. Hanoi, Viet Nam: GSO.</w:t>
      </w:r>
    </w:p>
    <w:p w14:paraId="7ED6314F" w14:textId="77777777" w:rsidR="00622BC0" w:rsidRPr="00826C5A" w:rsidRDefault="00826C5A">
      <w:pPr>
        <w:widowControl w:val="0"/>
        <w:autoSpaceDE w:val="0"/>
        <w:autoSpaceDN w:val="0"/>
        <w:adjustRightInd w:val="0"/>
        <w:spacing w:after="200" w:line="276" w:lineRule="auto"/>
        <w:ind w:left="799" w:right="-6" w:hanging="799"/>
        <w:jc w:val="both"/>
        <w:rPr>
          <w:rFonts w:ascii="Cambria" w:hAnsi="Cambria" w:cs="Cambria"/>
          <w:lang w:val="fr-BE"/>
        </w:rPr>
      </w:pPr>
      <w:r>
        <w:rPr>
          <w:rFonts w:ascii="Cambria" w:hAnsi="Cambria" w:cs="Cambria"/>
          <w:lang w:val="en-GB"/>
        </w:rPr>
        <w:t xml:space="preserve">General Statistics Office (GSO) (2019). The Viet Nam Population and Housing Census of 00:00 hours on 1 April 2019: Implementation organisation and preliminary results. </w:t>
      </w:r>
      <w:r w:rsidRPr="00826C5A">
        <w:rPr>
          <w:rFonts w:ascii="Cambria" w:hAnsi="Cambria" w:cs="Cambria"/>
          <w:lang w:val="fr-BE"/>
        </w:rPr>
        <w:t>Hanoi, Viet Nam: GSO.</w:t>
      </w:r>
    </w:p>
    <w:p w14:paraId="7A2E9A15"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proofErr w:type="spellStart"/>
      <w:r w:rsidRPr="00826C5A">
        <w:rPr>
          <w:rFonts w:ascii="Cambria" w:hAnsi="Cambria" w:cs="Cambria"/>
          <w:lang w:val="fr-BE"/>
        </w:rPr>
        <w:t>Hastuti</w:t>
      </w:r>
      <w:proofErr w:type="spellEnd"/>
      <w:r w:rsidRPr="00826C5A">
        <w:rPr>
          <w:rFonts w:ascii="Cambria" w:hAnsi="Cambria" w:cs="Cambria"/>
          <w:lang w:val="fr-BE"/>
        </w:rPr>
        <w:t xml:space="preserve">, </w:t>
      </w:r>
      <w:proofErr w:type="spellStart"/>
      <w:r w:rsidRPr="00826C5A">
        <w:rPr>
          <w:rFonts w:ascii="Cambria" w:hAnsi="Cambria" w:cs="Cambria"/>
          <w:lang w:val="fr-BE"/>
        </w:rPr>
        <w:t>Dewi</w:t>
      </w:r>
      <w:proofErr w:type="spellEnd"/>
      <w:r w:rsidRPr="00826C5A">
        <w:rPr>
          <w:rFonts w:ascii="Cambria" w:hAnsi="Cambria" w:cs="Cambria"/>
          <w:lang w:val="fr-BE"/>
        </w:rPr>
        <w:t xml:space="preserve">, R. K., et el. </w:t>
      </w:r>
      <w:r>
        <w:rPr>
          <w:rFonts w:ascii="Cambria" w:hAnsi="Cambria" w:cs="Cambria"/>
          <w:lang w:val="en-GB"/>
        </w:rPr>
        <w:t xml:space="preserve">(2019). Draft </w:t>
      </w:r>
      <w:proofErr w:type="spellStart"/>
      <w:r>
        <w:rPr>
          <w:rFonts w:ascii="Cambria" w:hAnsi="Cambria" w:cs="Cambria"/>
          <w:lang w:val="en-GB"/>
        </w:rPr>
        <w:t>Kertas</w:t>
      </w:r>
      <w:proofErr w:type="spellEnd"/>
      <w:r>
        <w:rPr>
          <w:rFonts w:ascii="Cambria" w:hAnsi="Cambria" w:cs="Cambria"/>
          <w:lang w:val="en-GB"/>
        </w:rPr>
        <w:t xml:space="preserve"> </w:t>
      </w:r>
      <w:proofErr w:type="spellStart"/>
      <w:r>
        <w:rPr>
          <w:rFonts w:ascii="Cambria" w:hAnsi="Cambria" w:cs="Cambria"/>
          <w:lang w:val="en-GB"/>
        </w:rPr>
        <w:t>Kerja</w:t>
      </w:r>
      <w:proofErr w:type="spellEnd"/>
      <w:r>
        <w:rPr>
          <w:rFonts w:ascii="Cambria" w:hAnsi="Cambria" w:cs="Cambria"/>
          <w:lang w:val="en-GB"/>
        </w:rPr>
        <w:t xml:space="preserve"> “</w:t>
      </w:r>
      <w:proofErr w:type="spellStart"/>
      <w:r>
        <w:rPr>
          <w:rFonts w:ascii="Cambria" w:hAnsi="Cambria" w:cs="Cambria"/>
          <w:lang w:val="en-GB"/>
        </w:rPr>
        <w:t>Kendala-kendala</w:t>
      </w:r>
      <w:proofErr w:type="spellEnd"/>
      <w:r>
        <w:rPr>
          <w:rFonts w:ascii="Cambria" w:hAnsi="Cambria" w:cs="Cambria"/>
          <w:lang w:val="en-GB"/>
        </w:rPr>
        <w:t xml:space="preserve"> </w:t>
      </w:r>
      <w:proofErr w:type="spellStart"/>
      <w:r>
        <w:rPr>
          <w:rFonts w:ascii="Cambria" w:hAnsi="Cambria" w:cs="Cambria"/>
          <w:lang w:val="en-GB"/>
        </w:rPr>
        <w:t>Mewujudkan</w:t>
      </w:r>
      <w:proofErr w:type="spellEnd"/>
      <w:r>
        <w:rPr>
          <w:rFonts w:ascii="Cambria" w:hAnsi="Cambria" w:cs="Cambria"/>
          <w:lang w:val="en-GB"/>
        </w:rPr>
        <w:t xml:space="preserve"> Pembangunan </w:t>
      </w:r>
      <w:proofErr w:type="spellStart"/>
      <w:r>
        <w:rPr>
          <w:rFonts w:ascii="Cambria" w:hAnsi="Cambria" w:cs="Cambria"/>
          <w:lang w:val="en-GB"/>
        </w:rPr>
        <w:t>Inklusif</w:t>
      </w:r>
      <w:proofErr w:type="spellEnd"/>
      <w:r>
        <w:rPr>
          <w:rFonts w:ascii="Cambria" w:hAnsi="Cambria" w:cs="Cambria"/>
          <w:lang w:val="en-GB"/>
        </w:rPr>
        <w:t xml:space="preserve"> </w:t>
      </w:r>
      <w:proofErr w:type="spellStart"/>
      <w:r>
        <w:rPr>
          <w:rFonts w:ascii="Cambria" w:hAnsi="Cambria" w:cs="Cambria"/>
          <w:lang w:val="en-GB"/>
        </w:rPr>
        <w:t>Terhadap</w:t>
      </w:r>
      <w:proofErr w:type="spellEnd"/>
      <w:r>
        <w:rPr>
          <w:rFonts w:ascii="Cambria" w:hAnsi="Cambria" w:cs="Cambria"/>
          <w:lang w:val="en-GB"/>
        </w:rPr>
        <w:t xml:space="preserve"> </w:t>
      </w:r>
      <w:proofErr w:type="spellStart"/>
      <w:r>
        <w:rPr>
          <w:rFonts w:ascii="Cambria" w:hAnsi="Cambria" w:cs="Cambria"/>
          <w:lang w:val="en-GB"/>
        </w:rPr>
        <w:t>Penyandang</w:t>
      </w:r>
      <w:proofErr w:type="spellEnd"/>
      <w:r>
        <w:rPr>
          <w:rFonts w:ascii="Cambria" w:hAnsi="Cambria" w:cs="Cambria"/>
          <w:lang w:val="en-GB"/>
        </w:rPr>
        <w:t xml:space="preserve"> Disabilities.” Jakarta: </w:t>
      </w:r>
      <w:proofErr w:type="spellStart"/>
      <w:r>
        <w:rPr>
          <w:rFonts w:ascii="Cambria" w:hAnsi="Cambria" w:cs="Cambria"/>
          <w:lang w:val="en-GB"/>
        </w:rPr>
        <w:t>Semeru</w:t>
      </w:r>
      <w:proofErr w:type="spellEnd"/>
      <w:r>
        <w:rPr>
          <w:rFonts w:ascii="Cambria" w:hAnsi="Cambria" w:cs="Cambria"/>
          <w:lang w:val="en-GB"/>
        </w:rPr>
        <w:t xml:space="preserve"> Institute.</w:t>
      </w:r>
    </w:p>
    <w:p w14:paraId="68DA1788"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 xml:space="preserve">Working Plan 2019. (2018). </w:t>
      </w:r>
      <w:proofErr w:type="spellStart"/>
      <w:r>
        <w:rPr>
          <w:rFonts w:ascii="Cambria" w:hAnsi="Cambria" w:cs="Cambria"/>
          <w:lang w:val="en-GB"/>
        </w:rPr>
        <w:t>Pemerataan</w:t>
      </w:r>
      <w:proofErr w:type="spellEnd"/>
      <w:r>
        <w:rPr>
          <w:rFonts w:ascii="Cambria" w:hAnsi="Cambria" w:cs="Cambria"/>
          <w:lang w:val="en-GB"/>
        </w:rPr>
        <w:t xml:space="preserve"> Pembangunan </w:t>
      </w:r>
      <w:proofErr w:type="spellStart"/>
      <w:r>
        <w:rPr>
          <w:rFonts w:ascii="Cambria" w:hAnsi="Cambria" w:cs="Cambria"/>
          <w:lang w:val="en-GB"/>
        </w:rPr>
        <w:t>untuk</w:t>
      </w:r>
      <w:proofErr w:type="spellEnd"/>
      <w:r>
        <w:rPr>
          <w:rFonts w:ascii="Cambria" w:hAnsi="Cambria" w:cs="Cambria"/>
          <w:lang w:val="en-GB"/>
        </w:rPr>
        <w:t xml:space="preserve"> </w:t>
      </w:r>
      <w:proofErr w:type="spellStart"/>
      <w:r>
        <w:rPr>
          <w:rFonts w:ascii="Cambria" w:hAnsi="Cambria" w:cs="Cambria"/>
          <w:lang w:val="en-GB"/>
        </w:rPr>
        <w:t>Pertumbuhan</w:t>
      </w:r>
      <w:proofErr w:type="spellEnd"/>
      <w:r>
        <w:rPr>
          <w:rFonts w:ascii="Cambria" w:hAnsi="Cambria" w:cs="Cambria"/>
          <w:lang w:val="en-GB"/>
        </w:rPr>
        <w:t xml:space="preserve"> </w:t>
      </w:r>
      <w:proofErr w:type="spellStart"/>
      <w:r>
        <w:rPr>
          <w:rFonts w:ascii="Cambria" w:hAnsi="Cambria" w:cs="Cambria"/>
          <w:lang w:val="en-GB"/>
        </w:rPr>
        <w:t>Berkualitas</w:t>
      </w:r>
      <w:proofErr w:type="spellEnd"/>
      <w:r>
        <w:rPr>
          <w:rFonts w:ascii="Cambria" w:hAnsi="Cambria" w:cs="Cambria"/>
          <w:lang w:val="en-GB"/>
        </w:rPr>
        <w:t xml:space="preserve">. </w:t>
      </w:r>
      <w:proofErr w:type="spellStart"/>
      <w:r>
        <w:rPr>
          <w:rFonts w:ascii="Cambria" w:hAnsi="Cambria" w:cs="Cambria"/>
          <w:lang w:val="en-GB"/>
        </w:rPr>
        <w:t>Jakarta:Jakarta</w:t>
      </w:r>
      <w:proofErr w:type="spellEnd"/>
      <w:r>
        <w:rPr>
          <w:rFonts w:ascii="Cambria" w:hAnsi="Cambria" w:cs="Cambria"/>
          <w:lang w:val="en-GB"/>
        </w:rPr>
        <w:t>: The Ministry of Planning and Development of Indonesia.</w:t>
      </w:r>
    </w:p>
    <w:p w14:paraId="11C598A5"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proofErr w:type="spellStart"/>
      <w:r>
        <w:rPr>
          <w:rFonts w:ascii="Cambria" w:hAnsi="Cambria" w:cs="Cambria"/>
          <w:lang w:val="en-GB"/>
        </w:rPr>
        <w:t>Maftuhin</w:t>
      </w:r>
      <w:proofErr w:type="spellEnd"/>
      <w:r>
        <w:rPr>
          <w:rFonts w:ascii="Cambria" w:hAnsi="Cambria" w:cs="Cambria"/>
          <w:lang w:val="en-GB"/>
        </w:rPr>
        <w:t xml:space="preserve">, A. (2017). </w:t>
      </w:r>
      <w:proofErr w:type="spellStart"/>
      <w:r>
        <w:rPr>
          <w:rFonts w:ascii="Cambria" w:hAnsi="Cambria" w:cs="Cambria"/>
          <w:lang w:val="en-GB"/>
        </w:rPr>
        <w:t>Mendefinisikan</w:t>
      </w:r>
      <w:proofErr w:type="spellEnd"/>
      <w:r>
        <w:rPr>
          <w:rFonts w:ascii="Cambria" w:hAnsi="Cambria" w:cs="Cambria"/>
          <w:lang w:val="en-GB"/>
        </w:rPr>
        <w:t xml:space="preserve"> </w:t>
      </w:r>
      <w:proofErr w:type="spellStart"/>
      <w:r>
        <w:rPr>
          <w:rFonts w:ascii="Cambria" w:hAnsi="Cambria" w:cs="Cambria"/>
          <w:lang w:val="en-GB"/>
        </w:rPr>
        <w:t>Asal-Usul</w:t>
      </w:r>
      <w:proofErr w:type="spellEnd"/>
      <w:r>
        <w:rPr>
          <w:rFonts w:ascii="Cambria" w:hAnsi="Cambria" w:cs="Cambria"/>
          <w:lang w:val="en-GB"/>
        </w:rPr>
        <w:t xml:space="preserve"> Kota </w:t>
      </w:r>
      <w:proofErr w:type="spellStart"/>
      <w:r>
        <w:rPr>
          <w:rFonts w:ascii="Cambria" w:hAnsi="Cambria" w:cs="Cambria"/>
          <w:lang w:val="en-GB"/>
        </w:rPr>
        <w:t>Inklusif</w:t>
      </w:r>
      <w:proofErr w:type="spellEnd"/>
      <w:r>
        <w:rPr>
          <w:rFonts w:ascii="Cambria" w:hAnsi="Cambria" w:cs="Cambria"/>
          <w:lang w:val="en-GB"/>
        </w:rPr>
        <w:t xml:space="preserve"> </w:t>
      </w:r>
      <w:proofErr w:type="spellStart"/>
      <w:r>
        <w:rPr>
          <w:rFonts w:ascii="Cambria" w:hAnsi="Cambria" w:cs="Cambria"/>
          <w:lang w:val="en-GB"/>
        </w:rPr>
        <w:t>Teori</w:t>
      </w:r>
      <w:proofErr w:type="spellEnd"/>
      <w:r>
        <w:rPr>
          <w:rFonts w:ascii="Cambria" w:hAnsi="Cambria" w:cs="Cambria"/>
          <w:lang w:val="en-GB"/>
        </w:rPr>
        <w:t xml:space="preserve"> dan </w:t>
      </w:r>
      <w:proofErr w:type="spellStart"/>
      <w:r>
        <w:rPr>
          <w:rFonts w:ascii="Cambria" w:hAnsi="Cambria" w:cs="Cambria"/>
          <w:lang w:val="en-GB"/>
        </w:rPr>
        <w:t>Indikator</w:t>
      </w:r>
      <w:proofErr w:type="spellEnd"/>
      <w:r>
        <w:rPr>
          <w:rFonts w:ascii="Cambria" w:hAnsi="Cambria" w:cs="Cambria"/>
          <w:lang w:val="en-GB"/>
        </w:rPr>
        <w:t xml:space="preserve">. </w:t>
      </w:r>
      <w:proofErr w:type="spellStart"/>
      <w:r>
        <w:rPr>
          <w:rFonts w:ascii="Cambria" w:hAnsi="Cambria" w:cs="Cambria"/>
          <w:lang w:val="en-GB"/>
        </w:rPr>
        <w:t>Inklusi</w:t>
      </w:r>
      <w:proofErr w:type="spellEnd"/>
      <w:r>
        <w:rPr>
          <w:rFonts w:ascii="Cambria" w:hAnsi="Cambria" w:cs="Cambria"/>
          <w:lang w:val="en-GB"/>
        </w:rPr>
        <w:t xml:space="preserve">. Semarang: UNDIP. </w:t>
      </w:r>
    </w:p>
    <w:p w14:paraId="647DBC6B"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Oxfam. (2016). Even It Up – How to Tackle Inequality in Viet Nam. Hanoi, Viet Nam: Oxfam.</w:t>
      </w:r>
    </w:p>
    <w:p w14:paraId="46B243D7"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proofErr w:type="spellStart"/>
      <w:r>
        <w:rPr>
          <w:rFonts w:ascii="Cambria" w:hAnsi="Cambria" w:cs="Cambria"/>
          <w:lang w:val="en-GB"/>
        </w:rPr>
        <w:t>Prapto</w:t>
      </w:r>
      <w:proofErr w:type="spellEnd"/>
      <w:r>
        <w:rPr>
          <w:rFonts w:ascii="Cambria" w:hAnsi="Cambria" w:cs="Cambria"/>
          <w:lang w:val="en-GB"/>
        </w:rPr>
        <w:t xml:space="preserve">, (2018). </w:t>
      </w:r>
      <w:proofErr w:type="spellStart"/>
      <w:r>
        <w:rPr>
          <w:rFonts w:ascii="Cambria" w:hAnsi="Cambria" w:cs="Cambria"/>
          <w:lang w:val="en-GB"/>
        </w:rPr>
        <w:t>Evaluasi</w:t>
      </w:r>
      <w:proofErr w:type="spellEnd"/>
      <w:r>
        <w:rPr>
          <w:rFonts w:ascii="Cambria" w:hAnsi="Cambria" w:cs="Cambria"/>
          <w:lang w:val="en-GB"/>
        </w:rPr>
        <w:t xml:space="preserve"> </w:t>
      </w:r>
      <w:proofErr w:type="spellStart"/>
      <w:r>
        <w:rPr>
          <w:rFonts w:ascii="Cambria" w:hAnsi="Cambria" w:cs="Cambria"/>
          <w:lang w:val="en-GB"/>
        </w:rPr>
        <w:t>Pelaksanaan</w:t>
      </w:r>
      <w:proofErr w:type="spellEnd"/>
      <w:r>
        <w:rPr>
          <w:rFonts w:ascii="Cambria" w:hAnsi="Cambria" w:cs="Cambria"/>
          <w:lang w:val="en-GB"/>
        </w:rPr>
        <w:t xml:space="preserve"> RKP dan Midterm Review RPJMN 2014-2019 </w:t>
      </w:r>
      <w:proofErr w:type="spellStart"/>
      <w:r>
        <w:rPr>
          <w:rFonts w:ascii="Cambria" w:hAnsi="Cambria" w:cs="Cambria"/>
          <w:lang w:val="en-GB"/>
        </w:rPr>
        <w:t>Bidang</w:t>
      </w:r>
      <w:proofErr w:type="spellEnd"/>
      <w:r>
        <w:rPr>
          <w:rFonts w:ascii="Cambria" w:hAnsi="Cambria" w:cs="Cambria"/>
          <w:lang w:val="en-GB"/>
        </w:rPr>
        <w:t xml:space="preserve"> Pendidikan dan Agama. Jakarta: The Ministry of Planning and Development of Indonesia. </w:t>
      </w:r>
    </w:p>
    <w:p w14:paraId="3FE16952"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proofErr w:type="spellStart"/>
      <w:r>
        <w:rPr>
          <w:rFonts w:ascii="Cambria" w:hAnsi="Cambria" w:cs="Cambria"/>
          <w:lang w:val="en-GB"/>
        </w:rPr>
        <w:t>Purwanti</w:t>
      </w:r>
      <w:proofErr w:type="spellEnd"/>
      <w:r>
        <w:rPr>
          <w:rFonts w:ascii="Cambria" w:hAnsi="Cambria" w:cs="Cambria"/>
          <w:lang w:val="en-GB"/>
        </w:rPr>
        <w:t xml:space="preserve">, S.D. (2017). </w:t>
      </w:r>
      <w:proofErr w:type="spellStart"/>
      <w:r>
        <w:rPr>
          <w:rFonts w:ascii="Cambria" w:hAnsi="Cambria" w:cs="Cambria"/>
          <w:lang w:val="en-GB"/>
        </w:rPr>
        <w:t>Pengelolaan</w:t>
      </w:r>
      <w:proofErr w:type="spellEnd"/>
      <w:r>
        <w:rPr>
          <w:rFonts w:ascii="Cambria" w:hAnsi="Cambria" w:cs="Cambria"/>
          <w:lang w:val="en-GB"/>
        </w:rPr>
        <w:t xml:space="preserve"> Tenaga </w:t>
      </w:r>
      <w:proofErr w:type="spellStart"/>
      <w:r>
        <w:rPr>
          <w:rFonts w:ascii="Cambria" w:hAnsi="Cambria" w:cs="Cambria"/>
          <w:lang w:val="en-GB"/>
        </w:rPr>
        <w:t>Kerja</w:t>
      </w:r>
      <w:proofErr w:type="spellEnd"/>
      <w:r>
        <w:rPr>
          <w:rFonts w:ascii="Cambria" w:hAnsi="Cambria" w:cs="Cambria"/>
          <w:lang w:val="en-GB"/>
        </w:rPr>
        <w:t xml:space="preserve"> </w:t>
      </w:r>
      <w:proofErr w:type="spellStart"/>
      <w:r>
        <w:rPr>
          <w:rFonts w:ascii="Cambria" w:hAnsi="Cambria" w:cs="Cambria"/>
          <w:lang w:val="en-GB"/>
        </w:rPr>
        <w:t>Difabel</w:t>
      </w:r>
      <w:proofErr w:type="spellEnd"/>
      <w:r>
        <w:rPr>
          <w:rFonts w:ascii="Cambria" w:hAnsi="Cambria" w:cs="Cambria"/>
          <w:lang w:val="en-GB"/>
        </w:rPr>
        <w:t xml:space="preserve"> </w:t>
      </w:r>
      <w:proofErr w:type="spellStart"/>
      <w:r>
        <w:rPr>
          <w:rFonts w:ascii="Cambria" w:hAnsi="Cambria" w:cs="Cambria"/>
          <w:lang w:val="en-GB"/>
        </w:rPr>
        <w:t>Untuk</w:t>
      </w:r>
      <w:proofErr w:type="spellEnd"/>
      <w:r>
        <w:rPr>
          <w:rFonts w:ascii="Cambria" w:hAnsi="Cambria" w:cs="Cambria"/>
          <w:lang w:val="en-GB"/>
        </w:rPr>
        <w:t xml:space="preserve"> </w:t>
      </w:r>
      <w:proofErr w:type="spellStart"/>
      <w:r>
        <w:rPr>
          <w:rFonts w:ascii="Cambria" w:hAnsi="Cambria" w:cs="Cambria"/>
          <w:lang w:val="en-GB"/>
        </w:rPr>
        <w:t>Mewujudkan</w:t>
      </w:r>
      <w:proofErr w:type="spellEnd"/>
      <w:r>
        <w:rPr>
          <w:rFonts w:ascii="Cambria" w:hAnsi="Cambria" w:cs="Cambria"/>
          <w:lang w:val="en-GB"/>
        </w:rPr>
        <w:t xml:space="preserve"> Workplace Inclusion. Indonesia: INKLUSI.</w:t>
      </w:r>
    </w:p>
    <w:p w14:paraId="45923CF0"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The Ministry of Health of Indonesia. (2018). Results of the Principal Health Research. Jakarta: Health Development and Research Centre of Ministry of Health of Indonesia.</w:t>
      </w:r>
    </w:p>
    <w:p w14:paraId="1638AE56"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proofErr w:type="spellStart"/>
      <w:r w:rsidRPr="00826C5A">
        <w:rPr>
          <w:rFonts w:ascii="Cambria" w:hAnsi="Cambria" w:cs="Cambria"/>
          <w:lang w:val="fr-BE"/>
        </w:rPr>
        <w:t>Utomo</w:t>
      </w:r>
      <w:proofErr w:type="spellEnd"/>
      <w:r w:rsidRPr="00826C5A">
        <w:rPr>
          <w:rFonts w:ascii="Cambria" w:hAnsi="Cambria" w:cs="Cambria"/>
          <w:lang w:val="fr-BE"/>
        </w:rPr>
        <w:t xml:space="preserve">, S. D., </w:t>
      </w:r>
      <w:proofErr w:type="spellStart"/>
      <w:r w:rsidRPr="00826C5A">
        <w:rPr>
          <w:rFonts w:ascii="Cambria" w:hAnsi="Cambria" w:cs="Cambria"/>
          <w:lang w:val="fr-BE"/>
        </w:rPr>
        <w:t>Nursyamsi</w:t>
      </w:r>
      <w:proofErr w:type="spellEnd"/>
      <w:r w:rsidRPr="00826C5A">
        <w:rPr>
          <w:rFonts w:ascii="Cambria" w:hAnsi="Cambria" w:cs="Cambria"/>
          <w:lang w:val="fr-BE"/>
        </w:rPr>
        <w:t xml:space="preserve">, F., et al. (2018). </w:t>
      </w:r>
      <w:proofErr w:type="spellStart"/>
      <w:r w:rsidRPr="00826C5A">
        <w:rPr>
          <w:rFonts w:ascii="Cambria" w:hAnsi="Cambria" w:cs="Cambria"/>
          <w:lang w:val="fr-BE"/>
        </w:rPr>
        <w:t>Mewujudkan</w:t>
      </w:r>
      <w:proofErr w:type="spellEnd"/>
      <w:r w:rsidRPr="00826C5A">
        <w:rPr>
          <w:rFonts w:ascii="Cambria" w:hAnsi="Cambria" w:cs="Cambria"/>
          <w:lang w:val="fr-BE"/>
        </w:rPr>
        <w:t xml:space="preserve"> </w:t>
      </w:r>
      <w:proofErr w:type="spellStart"/>
      <w:r w:rsidRPr="00826C5A">
        <w:rPr>
          <w:rFonts w:ascii="Cambria" w:hAnsi="Cambria" w:cs="Cambria"/>
          <w:lang w:val="fr-BE"/>
        </w:rPr>
        <w:t>Pembangunan</w:t>
      </w:r>
      <w:proofErr w:type="spellEnd"/>
      <w:r w:rsidRPr="00826C5A">
        <w:rPr>
          <w:rFonts w:ascii="Cambria" w:hAnsi="Cambria" w:cs="Cambria"/>
          <w:lang w:val="fr-BE"/>
        </w:rPr>
        <w:t xml:space="preserve"> </w:t>
      </w:r>
      <w:proofErr w:type="spellStart"/>
      <w:r w:rsidRPr="00826C5A">
        <w:rPr>
          <w:rFonts w:ascii="Cambria" w:hAnsi="Cambria" w:cs="Cambria"/>
          <w:lang w:val="fr-BE"/>
        </w:rPr>
        <w:t>Inklusif</w:t>
      </w:r>
      <w:proofErr w:type="spellEnd"/>
      <w:r w:rsidRPr="00826C5A">
        <w:rPr>
          <w:rFonts w:ascii="Cambria" w:hAnsi="Cambria" w:cs="Cambria"/>
          <w:lang w:val="fr-BE"/>
        </w:rPr>
        <w:t xml:space="preserve"> </w:t>
      </w:r>
      <w:proofErr w:type="spellStart"/>
      <w:r w:rsidRPr="00826C5A">
        <w:rPr>
          <w:rFonts w:ascii="Cambria" w:hAnsi="Cambria" w:cs="Cambria"/>
          <w:lang w:val="fr-BE"/>
        </w:rPr>
        <w:t>Disabilities</w:t>
      </w:r>
      <w:proofErr w:type="spellEnd"/>
      <w:r w:rsidRPr="00826C5A">
        <w:rPr>
          <w:rFonts w:ascii="Cambria" w:hAnsi="Cambria" w:cs="Cambria"/>
          <w:lang w:val="fr-BE"/>
        </w:rPr>
        <w:t xml:space="preserve">: </w:t>
      </w:r>
      <w:proofErr w:type="spellStart"/>
      <w:r w:rsidRPr="00826C5A">
        <w:rPr>
          <w:rFonts w:ascii="Cambria" w:hAnsi="Cambria" w:cs="Cambria"/>
          <w:lang w:val="fr-BE"/>
        </w:rPr>
        <w:t>Rekomendasi</w:t>
      </w:r>
      <w:proofErr w:type="spellEnd"/>
      <w:r w:rsidRPr="00826C5A">
        <w:rPr>
          <w:rFonts w:ascii="Cambria" w:hAnsi="Cambria" w:cs="Cambria"/>
          <w:lang w:val="fr-BE"/>
        </w:rPr>
        <w:t xml:space="preserve"> </w:t>
      </w:r>
      <w:proofErr w:type="spellStart"/>
      <w:r w:rsidRPr="00826C5A">
        <w:rPr>
          <w:rFonts w:ascii="Cambria" w:hAnsi="Cambria" w:cs="Cambria"/>
          <w:lang w:val="fr-BE"/>
        </w:rPr>
        <w:t>Kebijakan</w:t>
      </w:r>
      <w:proofErr w:type="spellEnd"/>
      <w:r w:rsidRPr="00826C5A">
        <w:rPr>
          <w:rFonts w:ascii="Cambria" w:hAnsi="Cambria" w:cs="Cambria"/>
          <w:lang w:val="fr-BE"/>
        </w:rPr>
        <w:t xml:space="preserve"> </w:t>
      </w:r>
      <w:proofErr w:type="spellStart"/>
      <w:r w:rsidRPr="00826C5A">
        <w:rPr>
          <w:rFonts w:ascii="Cambria" w:hAnsi="Cambria" w:cs="Cambria"/>
          <w:lang w:val="fr-BE"/>
        </w:rPr>
        <w:t>Untuk</w:t>
      </w:r>
      <w:proofErr w:type="spellEnd"/>
      <w:r w:rsidRPr="00826C5A">
        <w:rPr>
          <w:rFonts w:ascii="Cambria" w:hAnsi="Cambria" w:cs="Cambria"/>
          <w:lang w:val="fr-BE"/>
        </w:rPr>
        <w:t xml:space="preserve"> </w:t>
      </w:r>
      <w:proofErr w:type="spellStart"/>
      <w:r w:rsidRPr="00826C5A">
        <w:rPr>
          <w:rFonts w:ascii="Cambria" w:hAnsi="Cambria" w:cs="Cambria"/>
          <w:lang w:val="fr-BE"/>
        </w:rPr>
        <w:t>Penyusunan</w:t>
      </w:r>
      <w:proofErr w:type="spellEnd"/>
      <w:r w:rsidRPr="00826C5A">
        <w:rPr>
          <w:rFonts w:ascii="Cambria" w:hAnsi="Cambria" w:cs="Cambria"/>
          <w:lang w:val="fr-BE"/>
        </w:rPr>
        <w:t xml:space="preserve"> RPJMN 2020-2024. </w:t>
      </w:r>
      <w:r>
        <w:rPr>
          <w:rFonts w:ascii="Cambria" w:hAnsi="Cambria" w:cs="Cambria"/>
          <w:lang w:val="en-GB"/>
        </w:rPr>
        <w:t>Jakarta: PATTIRO.</w:t>
      </w:r>
    </w:p>
    <w:p w14:paraId="1784E958" w14:textId="77777777" w:rsidR="00622BC0" w:rsidRDefault="00826C5A">
      <w:pPr>
        <w:widowControl w:val="0"/>
        <w:autoSpaceDE w:val="0"/>
        <w:autoSpaceDN w:val="0"/>
        <w:adjustRightInd w:val="0"/>
        <w:spacing w:before="240" w:after="240" w:line="276" w:lineRule="auto"/>
        <w:ind w:left="799" w:right="-6" w:hanging="799"/>
        <w:jc w:val="both"/>
        <w:rPr>
          <w:rFonts w:ascii="Cambria" w:hAnsi="Cambria" w:cs="Cambria"/>
          <w:lang w:val="en-GB"/>
        </w:rPr>
      </w:pPr>
      <w:r>
        <w:rPr>
          <w:rFonts w:ascii="Cambria" w:hAnsi="Cambria" w:cs="Cambria"/>
          <w:lang w:val="en-GB"/>
        </w:rPr>
        <w:t>Watch, Social. (2019). The Philippines SDGs Agenda: Closing Gaps, Overcoming Policy Incoherence. Philippines: Social Watch.</w:t>
      </w:r>
    </w:p>
    <w:p w14:paraId="60F88F1D"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 xml:space="preserve">Wong, R. &amp; Wong, M. E. (2015). Social Impact of Policies for the Disabled in Singapore: 50 Years of Social Issues in Singapore. Singapore. </w:t>
      </w:r>
    </w:p>
    <w:p w14:paraId="3A972394" w14:textId="77777777" w:rsidR="00622BC0" w:rsidRDefault="00622BC0">
      <w:pPr>
        <w:widowControl w:val="0"/>
        <w:autoSpaceDE w:val="0"/>
        <w:autoSpaceDN w:val="0"/>
        <w:adjustRightInd w:val="0"/>
        <w:spacing w:after="200" w:line="276" w:lineRule="auto"/>
        <w:ind w:right="-6"/>
        <w:jc w:val="both"/>
        <w:rPr>
          <w:rFonts w:ascii="Cambria" w:hAnsi="Cambria" w:cs="Cambria"/>
          <w:lang w:val="en-GB"/>
        </w:rPr>
      </w:pPr>
    </w:p>
    <w:p w14:paraId="533CA8A6" w14:textId="77777777" w:rsidR="00622BC0" w:rsidRDefault="00826C5A">
      <w:pPr>
        <w:widowControl w:val="0"/>
        <w:autoSpaceDE w:val="0"/>
        <w:autoSpaceDN w:val="0"/>
        <w:adjustRightInd w:val="0"/>
        <w:spacing w:after="200" w:line="276" w:lineRule="auto"/>
        <w:ind w:left="802" w:right="-6" w:hanging="802"/>
        <w:jc w:val="both"/>
        <w:rPr>
          <w:rFonts w:ascii="Cambria" w:hAnsi="Cambria" w:cs="Cambria"/>
          <w:lang w:val="en-GB"/>
        </w:rPr>
      </w:pPr>
      <w:r>
        <w:rPr>
          <w:rFonts w:ascii="Cambria" w:hAnsi="Cambria" w:cs="Cambria"/>
          <w:b/>
          <w:bCs/>
          <w:lang w:val="en-GB"/>
        </w:rPr>
        <w:t>International Reports</w:t>
      </w:r>
    </w:p>
    <w:p w14:paraId="591ED7DF"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Committee, C. (2012). Initial Report Submitted by Thailand. CRPD Committee.</w:t>
      </w:r>
    </w:p>
    <w:p w14:paraId="0F4C719D"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Committee, C. (2014). Article 9: Accessibility. CRPD Committee.</w:t>
      </w:r>
    </w:p>
    <w:p w14:paraId="02AF4139"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Committee, C. (2014). Article 12: Equal recognition before the law. CRPD Committee.</w:t>
      </w:r>
    </w:p>
    <w:p w14:paraId="1865C921"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Committee, C. (2014). Initial Report Submitted by Philippines. CRPD Committee.</w:t>
      </w:r>
    </w:p>
    <w:p w14:paraId="13E1AAEB"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Committee, C. (2015). List of Issue in Relation to the Initial Report of Thailand to CRPD. CRPD Committee.</w:t>
      </w:r>
    </w:p>
    <w:p w14:paraId="5366BF21"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Committee, C. (2016). General Comment No. 3 on Women and Girls with Disabilities. CRPD Committee.</w:t>
      </w:r>
    </w:p>
    <w:p w14:paraId="27BF32F3"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Committee, C. (2016). Initial Report Submitted by Singapore. CRPD Committee.</w:t>
      </w:r>
    </w:p>
    <w:p w14:paraId="6D126592"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Committee, C. (2018). General Comment No. 6 on Equality and Non-discrimination. CRPD Committee.</w:t>
      </w:r>
    </w:p>
    <w:p w14:paraId="75CF954F"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Committee, C. (2018). General Comment No. 7 on the Participation of Persons with Disabilities, Including Children with Disabilities, through Their Representative Organisations, in the Implementation and Monitoring of the Convention. CRPD Committee.</w:t>
      </w:r>
    </w:p>
    <w:p w14:paraId="37A000E5"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Committee, C. (2018). Initial Report Submitted by Indonesia. CRPD Committee.</w:t>
      </w:r>
    </w:p>
    <w:p w14:paraId="104F1B26"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Committee, C. (2018). List of Issue in Relation to the Initial Report of The Philippines to CRPD. CRPD Committee.</w:t>
      </w:r>
    </w:p>
    <w:p w14:paraId="45D13EFF"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Committee, C. (2018). The Report of the Committee on the Rights of Persons with Disabilities on its twentieth session (27 August–21 September 2018). CRPD Committee.</w:t>
      </w:r>
    </w:p>
    <w:p w14:paraId="076A8D57"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Committee, C. (2019). The Report of the Committee on the Rights of Persons with Disabilities on its 21</w:t>
      </w:r>
      <w:r>
        <w:rPr>
          <w:rFonts w:ascii="Cambria" w:hAnsi="Cambria" w:cs="Cambria"/>
          <w:vertAlign w:val="superscript"/>
          <w:lang w:val="en-GB"/>
        </w:rPr>
        <w:t>st</w:t>
      </w:r>
      <w:r>
        <w:rPr>
          <w:rFonts w:ascii="Cambria" w:hAnsi="Cambria" w:cs="Cambria"/>
          <w:lang w:val="en-GB"/>
        </w:rPr>
        <w:t xml:space="preserve"> session (11 March–5 April 2019). CRPD Committee.</w:t>
      </w:r>
    </w:p>
    <w:p w14:paraId="1DBCE7C6" w14:textId="77777777" w:rsidR="00622BC0" w:rsidRDefault="00826C5A">
      <w:pPr>
        <w:widowControl w:val="0"/>
        <w:autoSpaceDE w:val="0"/>
        <w:autoSpaceDN w:val="0"/>
        <w:adjustRightInd w:val="0"/>
        <w:spacing w:after="200" w:line="276" w:lineRule="auto"/>
        <w:ind w:right="-6"/>
        <w:jc w:val="both"/>
        <w:rPr>
          <w:rFonts w:ascii="Cambria" w:hAnsi="Cambria" w:cs="Cambria"/>
          <w:lang w:val="en-GB"/>
        </w:rPr>
      </w:pPr>
      <w:r>
        <w:rPr>
          <w:rFonts w:ascii="Cambria" w:hAnsi="Cambria" w:cs="Cambria"/>
          <w:lang w:val="en-GB"/>
        </w:rPr>
        <w:t>Government of Singapore. (2017). 3</w:t>
      </w:r>
      <w:r>
        <w:rPr>
          <w:rFonts w:ascii="Cambria" w:hAnsi="Cambria" w:cs="Cambria"/>
          <w:vertAlign w:val="superscript"/>
          <w:lang w:val="en-GB"/>
        </w:rPr>
        <w:t>rd</w:t>
      </w:r>
      <w:r>
        <w:rPr>
          <w:rFonts w:ascii="Cambria" w:hAnsi="Cambria" w:cs="Cambria"/>
          <w:lang w:val="en-GB"/>
        </w:rPr>
        <w:t xml:space="preserve"> Enabling Masterplan. Singapore. </w:t>
      </w:r>
    </w:p>
    <w:p w14:paraId="73144E00"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Government of Singapore. (2018). Voluntary National Review. Singapore.</w:t>
      </w:r>
    </w:p>
    <w:p w14:paraId="6D01433E"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IMF. (2017). ASEAN Progress towards Sustainable Development Goals and The Role of IMF. IMF.</w:t>
      </w:r>
    </w:p>
    <w:p w14:paraId="647D9B6E"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Indonesia, Alternative Report. (2017). Implementation of the United Nations Convention on the Rights of persons with disabilities. Jakarta: Indonesia Disability Convention Team.</w:t>
      </w:r>
    </w:p>
    <w:p w14:paraId="41C0B92E"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Indonesia, Voluntary National Review. (2019). Empowering People and Ensuring Inclusiveness and Equality. Jakarta: National Development Planning Agency.</w:t>
      </w:r>
    </w:p>
    <w:p w14:paraId="198CFAF8"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Indonesia, Voluntary National Review. (2019). Our Agenda for Inclusive Development. Jakarta: Indonesia OPD.</w:t>
      </w:r>
    </w:p>
    <w:p w14:paraId="5084CD17"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International Disability Alliance (IDA). (2014). Disabilities and Inequalities in the Sustainable Development Process Briefing Paper for the Open Working Group Session on Promoting Equality – 5th of February 2014. IDA</w:t>
      </w:r>
    </w:p>
    <w:p w14:paraId="11BCD2C2"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International Labour Organisation (ILO). (2017). Final Report - Mapping persons with disabilities (PWD) in Indonesia. Jakarta: ILO.</w:t>
      </w:r>
    </w:p>
    <w:p w14:paraId="13EE296E"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Nations, U. (2018). The Sustainable Development Goals Report, 2018. United Nations.</w:t>
      </w:r>
    </w:p>
    <w:p w14:paraId="32B82958"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Nations, U. (2019). The Sustainable Development Goals Report, 2019. United Nations.</w:t>
      </w:r>
    </w:p>
    <w:p w14:paraId="5E16DA47"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 xml:space="preserve">OHCHR. (2014). The Convention on the Rights of Persons with Disabilities, Training Guide Professional Training Series No.19. OHCHR. </w:t>
      </w:r>
    </w:p>
    <w:p w14:paraId="2DC0B04F"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OHCHR. (2017). Human Rights Indicators Tables, Updated with the Sustainable Development Goals (SDG) Indicators. OHCHR.</w:t>
      </w:r>
    </w:p>
    <w:p w14:paraId="54388A5C"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The Kingdom of Thailand. (2012). Voluntary National Review .Thailand.</w:t>
      </w:r>
    </w:p>
    <w:p w14:paraId="1820C616"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The Republic of Philippines. (2016). Voluntary National Review .The Philippines.</w:t>
      </w:r>
    </w:p>
    <w:p w14:paraId="3C5C0B97"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The Republic of Philippines. (2019). Voluntary National Review .The Philippines.</w:t>
      </w:r>
    </w:p>
    <w:p w14:paraId="32357247"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The Socialist Republic of Viet Nam. (2012). National Third and Fourth Combined Periodic Reports on the Implementation of the Convention on the Rights of the Child (CRC). Hanoi, Viet Nam: Viet Nam.</w:t>
      </w:r>
    </w:p>
    <w:p w14:paraId="476DE024"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The Socialist Republic of Viet Nam. (2018). Initial Report on the Implementation of the Convention on the Rights of Persons with Disabilities (CRPD). Hanoi, Viet Nam: Viet Nam.</w:t>
      </w:r>
    </w:p>
    <w:p w14:paraId="5D3C9074"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The Socialist Republic of Viet Nam. (2018). Viet Nam’s Country Report under the Third Cycle of the Universal Periodic Review. Hanoi, Viet Nam: Viet Nam.</w:t>
      </w:r>
    </w:p>
    <w:p w14:paraId="777EA800"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The Socialist Republic of Viet Nam. (2018). Viet Nam’s Voluntary National Review on the Implementation of the Sustainable Development Goals. Hanoi, Viet Nam: Viet Nam.</w:t>
      </w:r>
    </w:p>
    <w:p w14:paraId="50FFFD7D"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UNDP. (2018). Human Development Indices and Indicators 2018 Statistical updates. Hanoi, Viet Nam: UNDP.</w:t>
      </w:r>
    </w:p>
    <w:p w14:paraId="07AC770F" w14:textId="77777777" w:rsidR="00622BC0" w:rsidRDefault="00826C5A">
      <w:pPr>
        <w:widowControl w:val="0"/>
        <w:autoSpaceDE w:val="0"/>
        <w:autoSpaceDN w:val="0"/>
        <w:adjustRightInd w:val="0"/>
        <w:spacing w:before="240" w:after="240" w:line="276" w:lineRule="auto"/>
        <w:ind w:left="799" w:right="-6" w:hanging="799"/>
        <w:jc w:val="both"/>
        <w:rPr>
          <w:rFonts w:ascii="Cambria" w:hAnsi="Cambria" w:cs="Cambria"/>
          <w:lang w:val="en-GB"/>
        </w:rPr>
      </w:pPr>
      <w:r>
        <w:rPr>
          <w:rFonts w:ascii="Cambria" w:hAnsi="Cambria" w:cs="Cambria"/>
          <w:lang w:val="en-GB"/>
        </w:rPr>
        <w:t>UNESCAP. (2012). Disability at a Glance 2012: Strengthening the Evidence Base in Asia and the Pacific. UNESCAP.</w:t>
      </w:r>
    </w:p>
    <w:p w14:paraId="7E603B55"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UNESCAP. (2016). Disability at A Glance 2015, Strengthening Employment Prospects for Persons with Disabilities in Asia and the Pacific. UNESCAP.</w:t>
      </w:r>
    </w:p>
    <w:p w14:paraId="4CD1379F"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UNESCAP. (2017). Complementarities between the ASEAN Community Vision 2025 and the United Nations 2030 Agenda for Sustainable Development: A Framework for Action. UNESCAP.</w:t>
      </w:r>
    </w:p>
    <w:p w14:paraId="114F9F76"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UNESCAP. (2017). Disability in Asia and Pacific: The Facts. UNESCAP.</w:t>
      </w:r>
    </w:p>
    <w:p w14:paraId="36A53D65"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UNESCAP. (2018). Building Disability-Inclusive Societies in Asia and the Pacific, Assessing Progress of the Incheon Strategy. UNESCAP.</w:t>
      </w:r>
    </w:p>
    <w:p w14:paraId="7C312920"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UNESCAP. (2018). Incheon Strategy to "Make The Right Real" for Persons with disabilities in the Asia and Pacific and Beijing Declaration, including the Action Plan to Accelerate the Implementation of Incheon Strategy. UNESCAP.</w:t>
      </w:r>
    </w:p>
    <w:p w14:paraId="05039DE0"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UNESCAP. (2019). Asia and the Pacific SDG Progress Report 2019. UNESCAP.</w:t>
      </w:r>
    </w:p>
    <w:p w14:paraId="76CC478E"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UNICEF and the Ministry of Labour, Invalids and Social Affairs (MOLISA) (2017). Children with Disabilities in Viet Nam – Finding of the National Survey on People with Disabilities 2016-2017. Hanoi, Viet Nam: UNICEF and MOLISA.</w:t>
      </w:r>
    </w:p>
    <w:p w14:paraId="15E200BC"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UN Women. (2016). Facts and Figures on Women and Men in Viet Nam 2010-2015. Hanoi, Viet Nam: UN Women.</w:t>
      </w:r>
    </w:p>
    <w:p w14:paraId="1A42E060" w14:textId="77777777" w:rsidR="00622BC0" w:rsidRDefault="00622BC0">
      <w:pPr>
        <w:widowControl w:val="0"/>
        <w:autoSpaceDE w:val="0"/>
        <w:autoSpaceDN w:val="0"/>
        <w:adjustRightInd w:val="0"/>
        <w:spacing w:after="200" w:line="276" w:lineRule="auto"/>
        <w:ind w:left="799" w:right="-6" w:hanging="799"/>
        <w:jc w:val="both"/>
        <w:rPr>
          <w:rFonts w:ascii="Cambria" w:hAnsi="Cambria" w:cs="Cambria"/>
          <w:lang w:val="en-GB"/>
        </w:rPr>
      </w:pPr>
    </w:p>
    <w:p w14:paraId="12A67F92" w14:textId="77777777" w:rsidR="00622BC0" w:rsidRDefault="00826C5A">
      <w:pPr>
        <w:widowControl w:val="0"/>
        <w:autoSpaceDE w:val="0"/>
        <w:autoSpaceDN w:val="0"/>
        <w:adjustRightInd w:val="0"/>
        <w:spacing w:after="200" w:line="276" w:lineRule="auto"/>
        <w:ind w:right="-6"/>
        <w:jc w:val="both"/>
        <w:rPr>
          <w:rFonts w:ascii="Cambria" w:hAnsi="Cambria" w:cs="Cambria"/>
          <w:lang w:val="en-GB"/>
        </w:rPr>
      </w:pPr>
      <w:r>
        <w:rPr>
          <w:rFonts w:ascii="Cambria" w:hAnsi="Cambria" w:cs="Cambria"/>
          <w:b/>
          <w:bCs/>
          <w:lang w:val="en-GB"/>
        </w:rPr>
        <w:t>ASEAN Documents</w:t>
      </w:r>
    </w:p>
    <w:p w14:paraId="1878BC76"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ASEAN. (2007). The ASEAN Charter. ASEAN Secretariat.</w:t>
      </w:r>
    </w:p>
    <w:p w14:paraId="6AE2CC16"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ASEAN. (2013). ASEAN Human Rights Declaration and the Phnom Penh Statement on the Adoption of the Human Rights Declaration (AHRD). ASEAN Secretariat.</w:t>
      </w:r>
    </w:p>
    <w:p w14:paraId="19BC644D"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ASEAN. (2017). ASEAN Statistical Report on Millennium Development Goals 2017. ASEAN Secretariat.</w:t>
      </w:r>
    </w:p>
    <w:p w14:paraId="6B609EA2"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b/>
          <w:bCs/>
          <w:lang w:val="en-GB"/>
        </w:rPr>
      </w:pPr>
      <w:r>
        <w:rPr>
          <w:rFonts w:ascii="Cambria" w:hAnsi="Cambria" w:cs="Cambria"/>
          <w:lang w:val="en-GB"/>
        </w:rPr>
        <w:t>ASEAN, C. U. (2017). Financing the Sustainable Development Goals in ASEAN, Strengthening Integrated National Financing Frameworks to Deliver 2030 Agenda. ASEAN Secretariat.</w:t>
      </w:r>
    </w:p>
    <w:p w14:paraId="74B2A3AF"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Secretariat, A. (2018). ASEAN Enabling Masterplan 2025: Mainstreaming the Rights of Persons with Disabilities in ASEAN Community. ASEAN Secretariat.</w:t>
      </w:r>
    </w:p>
    <w:p w14:paraId="043E7414"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ASEAN. (2019). Chairman’s Statement of the 34th ASEAN Summit Bangkok, 23 June 2019, Advancing Partnership for Sustainability. ASEAN Secretariat.</w:t>
      </w:r>
    </w:p>
    <w:p w14:paraId="6AF7CE59" w14:textId="77777777" w:rsidR="00622BC0" w:rsidRDefault="00622BC0">
      <w:pPr>
        <w:widowControl w:val="0"/>
        <w:autoSpaceDE w:val="0"/>
        <w:autoSpaceDN w:val="0"/>
        <w:adjustRightInd w:val="0"/>
        <w:spacing w:after="200" w:line="276" w:lineRule="auto"/>
        <w:ind w:left="799" w:right="-6" w:hanging="799"/>
        <w:jc w:val="both"/>
        <w:rPr>
          <w:rFonts w:ascii="Cambria" w:hAnsi="Cambria" w:cs="Cambria"/>
          <w:lang w:val="en-GB"/>
        </w:rPr>
      </w:pPr>
    </w:p>
    <w:p w14:paraId="3FB4172E" w14:textId="77777777" w:rsidR="00622BC0" w:rsidRDefault="00826C5A">
      <w:pPr>
        <w:widowControl w:val="0"/>
        <w:autoSpaceDE w:val="0"/>
        <w:autoSpaceDN w:val="0"/>
        <w:adjustRightInd w:val="0"/>
        <w:spacing w:after="200" w:line="276" w:lineRule="auto"/>
        <w:ind w:right="-6"/>
        <w:jc w:val="both"/>
        <w:rPr>
          <w:rFonts w:ascii="Cambria" w:hAnsi="Cambria" w:cs="Cambria"/>
          <w:b/>
          <w:bCs/>
          <w:lang w:val="en-GB"/>
        </w:rPr>
      </w:pPr>
      <w:r>
        <w:rPr>
          <w:rFonts w:ascii="Cambria" w:hAnsi="Cambria" w:cs="Cambria"/>
          <w:b/>
          <w:bCs/>
          <w:lang w:val="en-GB"/>
        </w:rPr>
        <w:t>Websites</w:t>
      </w:r>
    </w:p>
    <w:p w14:paraId="7AEA1A72"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b/>
          <w:bCs/>
          <w:lang w:val="en-GB"/>
        </w:rPr>
      </w:pPr>
      <w:r>
        <w:rPr>
          <w:rFonts w:ascii="Cambria" w:hAnsi="Cambria" w:cs="Cambria"/>
          <w:lang w:val="en-GB"/>
        </w:rPr>
        <w:t>Autonomous Vehicles. (n.d.). Retrieved from https://www.smartnation.sg/what-is-smart-</w:t>
      </w:r>
      <w:r>
        <w:rPr>
          <w:rFonts w:ascii="Cambria" w:hAnsi="Cambria" w:cs="Cambria"/>
          <w:lang w:val="en-GB"/>
        </w:rPr>
        <w:tab/>
        <w:t>nation/initiatives/Transport/autonomous-vehicles.</w:t>
      </w:r>
    </w:p>
    <w:p w14:paraId="02058659"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 xml:space="preserve">Chia, L. (2016), Compulsory education for all special needs children from 2019. </w:t>
      </w:r>
      <w:r>
        <w:rPr>
          <w:rFonts w:ascii="Cambria" w:hAnsi="Cambria" w:cs="Cambria"/>
          <w:i/>
          <w:iCs/>
          <w:lang w:val="en-GB"/>
        </w:rPr>
        <w:t>Channel</w:t>
      </w:r>
      <w:r>
        <w:rPr>
          <w:rFonts w:ascii="Cambria" w:hAnsi="Cambria" w:cs="Cambria"/>
          <w:i/>
          <w:iCs/>
          <w:lang w:val="en-GB"/>
        </w:rPr>
        <w:tab/>
        <w:t>News Asia.</w:t>
      </w:r>
      <w:r>
        <w:rPr>
          <w:rFonts w:ascii="Cambria" w:hAnsi="Cambria" w:cs="Cambria"/>
          <w:i/>
          <w:iCs/>
          <w:lang w:val="en-GB"/>
        </w:rPr>
        <w:tab/>
      </w:r>
      <w:r>
        <w:rPr>
          <w:rFonts w:ascii="Cambria" w:hAnsi="Cambria" w:cs="Cambria"/>
          <w:lang w:val="en-GB"/>
        </w:rPr>
        <w:t>Retrieved from</w:t>
      </w:r>
      <w:r>
        <w:rPr>
          <w:rFonts w:ascii="Cambria" w:hAnsi="Cambria" w:cs="Cambria"/>
          <w:lang w:val="en-GB"/>
        </w:rPr>
        <w:tab/>
        <w:t>https://www.channelnewsasia.com/news/singapore/compulsory-education-for</w:t>
      </w:r>
      <w:r>
        <w:rPr>
          <w:rFonts w:ascii="Cambria" w:hAnsi="Cambria" w:cs="Cambria"/>
          <w:lang w:val="en-GB"/>
        </w:rPr>
        <w:tab/>
        <w:t>-all-special-needs-children-from-2019-7718218.</w:t>
      </w:r>
    </w:p>
    <w:p w14:paraId="28FFAC6C"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Contactless fare payment for public transport. (n.d.). Retrieved from</w:t>
      </w:r>
      <w:r>
        <w:rPr>
          <w:rFonts w:ascii="Cambria" w:hAnsi="Cambria" w:cs="Cambria"/>
          <w:lang w:val="en-GB"/>
        </w:rPr>
        <w:tab/>
        <w:t>https://www.smartnation.sg/what-is-smart-nation/initiatives/Transport/contactless-</w:t>
      </w:r>
      <w:r>
        <w:rPr>
          <w:rFonts w:ascii="Cambria" w:hAnsi="Cambria" w:cs="Cambria"/>
          <w:lang w:val="en-GB"/>
        </w:rPr>
        <w:tab/>
        <w:t>fare</w:t>
      </w:r>
      <w:r>
        <w:rPr>
          <w:rFonts w:ascii="Cambria" w:hAnsi="Cambria" w:cs="Cambria"/>
          <w:lang w:val="en-GB"/>
        </w:rPr>
        <w:tab/>
        <w:t>-payment-for-public-transport.</w:t>
      </w:r>
    </w:p>
    <w:p w14:paraId="73866587"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 xml:space="preserve">Corban, Nicola. (2010). Access to Justice Persons with Disabilities in Indonesia. Retrieved from </w:t>
      </w:r>
      <w:hyperlink r:id="rId81" w:history="1">
        <w:r>
          <w:rPr>
            <w:rFonts w:ascii="Cambria" w:hAnsi="Cambria" w:cs="Cambria"/>
            <w:color w:val="0000FF"/>
            <w:u w:val="single" w:color="0000FF"/>
            <w:lang w:val="en-GB"/>
          </w:rPr>
          <w:t>http://www.ilo.org/wcmsp5/groups/public/%40asia/%40ro-bangkok/%40ilo-jakarta/documents/publication/wcms_160337.pdf</w:t>
        </w:r>
      </w:hyperlink>
      <w:r>
        <w:rPr>
          <w:rFonts w:ascii="Cambria" w:hAnsi="Cambria" w:cs="Cambria"/>
          <w:lang w:val="en-GB"/>
        </w:rPr>
        <w:t>.</w:t>
      </w:r>
    </w:p>
    <w:p w14:paraId="05F1E907"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 xml:space="preserve">CRPD Parallel Report. (n.d.). Retrieved from </w:t>
      </w:r>
      <w:hyperlink r:id="rId82" w:history="1">
        <w:r>
          <w:rPr>
            <w:rFonts w:ascii="Cambria" w:hAnsi="Cambria" w:cs="Cambria"/>
            <w:color w:val="0000FF"/>
            <w:u w:val="single" w:color="0000FF"/>
            <w:lang w:val="en-GB"/>
          </w:rPr>
          <w:t>https://www.dpa.org.sg/wp-content/uploads/2019/10/CRPDParallel-Report_DPA-Singapore.pdf.</w:t>
        </w:r>
      </w:hyperlink>
      <w:r>
        <w:rPr>
          <w:rFonts w:ascii="Cambria" w:hAnsi="Cambria" w:cs="Cambria"/>
          <w:lang w:val="en-GB"/>
        </w:rPr>
        <w:fldChar w:fldCharType="begin"/>
      </w:r>
      <w:r>
        <w:rPr>
          <w:rFonts w:ascii="Cambria" w:hAnsi="Cambria" w:cs="Cambria"/>
          <w:lang w:val="en-GB"/>
        </w:rPr>
        <w:instrText>HYPERLINK "https://www.dpa.org.sg/wp-content/uploads/2019/10/CRPDParallel-Report_DPA-Singapore.pdf."</w:instrText>
      </w:r>
      <w:r>
        <w:rPr>
          <w:rFonts w:ascii="Cambria" w:hAnsi="Cambria" w:cs="Cambria"/>
          <w:lang w:val="en-GB"/>
        </w:rPr>
        <w:fldChar w:fldCharType="separate"/>
      </w:r>
    </w:p>
    <w:p w14:paraId="2C85641F"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fldChar w:fldCharType="end"/>
      </w:r>
      <w:r>
        <w:rPr>
          <w:rFonts w:ascii="Cambria" w:hAnsi="Cambria" w:cs="Cambria"/>
          <w:lang w:val="en-GB"/>
        </w:rPr>
        <w:t>Disability Facts and Figures. (n.d.) Retrieved from https://www.spd.org.sg/about-us/disability-facts-figures/.</w:t>
      </w:r>
    </w:p>
    <w:p w14:paraId="145EC40B"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Early intervention. (n.d.). Retrieved from https://www.spd.org.sg/early-intervention-programmeme-for-infants-and-children/.</w:t>
      </w:r>
    </w:p>
    <w:p w14:paraId="1293981D"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 xml:space="preserve">General Statistics Office. (n.d.). Retrieved from </w:t>
      </w:r>
      <w:hyperlink r:id="rId83" w:history="1">
        <w:r>
          <w:rPr>
            <w:rFonts w:ascii="Cambria" w:hAnsi="Cambria" w:cs="Cambria"/>
            <w:lang w:val="en-GB"/>
          </w:rPr>
          <w:t>https://www.gso.gov.vn/Default_en.aspx?tabid=491</w:t>
        </w:r>
      </w:hyperlink>
      <w:r>
        <w:rPr>
          <w:rFonts w:ascii="Cambria" w:hAnsi="Cambria" w:cs="Cambria"/>
          <w:lang w:val="en-GB"/>
        </w:rPr>
        <w:t>.</w:t>
      </w:r>
    </w:p>
    <w:p w14:paraId="433F5A44"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 xml:space="preserve">IDEA. (2013). Final Constitution of The Republic of Viet Nam. Retrieved from </w:t>
      </w:r>
      <w:hyperlink r:id="rId84" w:history="1">
        <w:r>
          <w:rPr>
            <w:rFonts w:ascii="Cambria" w:hAnsi="Cambria" w:cs="Cambria"/>
            <w:lang w:val="en-GB"/>
          </w:rPr>
          <w:t>https://www.ilo.org/dyn/natlex/docs/ELECTRONIC/94490/114946/F114201808/VNM94490%20Eng.pdf</w:t>
        </w:r>
      </w:hyperlink>
      <w:r>
        <w:rPr>
          <w:rFonts w:ascii="Cambria" w:hAnsi="Cambria" w:cs="Cambria"/>
          <w:lang w:val="en-GB"/>
        </w:rPr>
        <w:t>.</w:t>
      </w:r>
    </w:p>
    <w:p w14:paraId="7076B259"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 xml:space="preserve">International Labour Organisation. (n.d.). Decent Work. Retrieved from </w:t>
      </w:r>
      <w:hyperlink r:id="rId85" w:history="1">
        <w:r>
          <w:rPr>
            <w:rFonts w:ascii="Cambria" w:hAnsi="Cambria" w:cs="Cambria"/>
            <w:color w:val="0000FF"/>
            <w:u w:val="single" w:color="0000FF"/>
            <w:lang w:val="en-GB"/>
          </w:rPr>
          <w:t>https://www.ilo.org/global/topics/decent-work/lang--</w:t>
        </w:r>
        <w:proofErr w:type="spellStart"/>
        <w:r>
          <w:rPr>
            <w:rFonts w:ascii="Cambria" w:hAnsi="Cambria" w:cs="Cambria"/>
            <w:color w:val="0000FF"/>
            <w:u w:val="single" w:color="0000FF"/>
            <w:lang w:val="en-GB"/>
          </w:rPr>
          <w:t>en</w:t>
        </w:r>
        <w:proofErr w:type="spellEnd"/>
        <w:r>
          <w:rPr>
            <w:rFonts w:ascii="Cambria" w:hAnsi="Cambria" w:cs="Cambria"/>
            <w:color w:val="0000FF"/>
            <w:u w:val="single" w:color="0000FF"/>
            <w:lang w:val="en-GB"/>
          </w:rPr>
          <w:t>/index.htm</w:t>
        </w:r>
      </w:hyperlink>
      <w:r>
        <w:rPr>
          <w:rFonts w:ascii="Cambria" w:hAnsi="Cambria" w:cs="Cambria"/>
          <w:lang w:val="en-GB"/>
        </w:rPr>
        <w:t>.</w:t>
      </w:r>
    </w:p>
    <w:p w14:paraId="14A503C2"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color w:val="0000FF"/>
          <w:u w:val="single" w:color="0000FF"/>
          <w:lang w:val="en-GB"/>
        </w:rPr>
      </w:pPr>
      <w:r>
        <w:rPr>
          <w:rFonts w:ascii="Cambria" w:hAnsi="Cambria" w:cs="Cambria"/>
          <w:lang w:val="en-GB"/>
        </w:rPr>
        <w:t xml:space="preserve">KPPA. (2019). Workshop </w:t>
      </w:r>
      <w:proofErr w:type="spellStart"/>
      <w:r>
        <w:rPr>
          <w:rFonts w:ascii="Cambria" w:hAnsi="Cambria" w:cs="Cambria"/>
          <w:lang w:val="en-GB"/>
        </w:rPr>
        <w:t>Penyusunan</w:t>
      </w:r>
      <w:proofErr w:type="spellEnd"/>
      <w:r>
        <w:rPr>
          <w:rFonts w:ascii="Cambria" w:hAnsi="Cambria" w:cs="Cambria"/>
          <w:lang w:val="en-GB"/>
        </w:rPr>
        <w:t xml:space="preserve"> Draft RUU </w:t>
      </w:r>
      <w:proofErr w:type="spellStart"/>
      <w:r>
        <w:rPr>
          <w:rFonts w:ascii="Cambria" w:hAnsi="Cambria" w:cs="Cambria"/>
          <w:lang w:val="en-GB"/>
        </w:rPr>
        <w:t>Kesetaraan</w:t>
      </w:r>
      <w:proofErr w:type="spellEnd"/>
      <w:r>
        <w:rPr>
          <w:rFonts w:ascii="Cambria" w:hAnsi="Cambria" w:cs="Cambria"/>
          <w:lang w:val="en-GB"/>
        </w:rPr>
        <w:t xml:space="preserve"> Gender. Retrieved from </w:t>
      </w:r>
      <w:hyperlink r:id="rId86" w:history="1">
        <w:r>
          <w:rPr>
            <w:rFonts w:ascii="Cambria" w:hAnsi="Cambria" w:cs="Cambria"/>
            <w:color w:val="0000FF"/>
            <w:u w:val="single" w:color="0000FF"/>
            <w:lang w:val="en-GB"/>
          </w:rPr>
          <w:t>https://www.kemenpppa.go.id/index.php/page/read/29/2291/workshop-penyusunan-draft-rancangan-undang-undang-kesetaraan-gender</w:t>
        </w:r>
      </w:hyperlink>
      <w:r>
        <w:rPr>
          <w:rFonts w:ascii="Cambria" w:hAnsi="Cambria" w:cs="Cambria"/>
          <w:color w:val="0000FF"/>
          <w:u w:val="single" w:color="0000FF"/>
          <w:lang w:val="en-GB"/>
        </w:rPr>
        <w:t>.</w:t>
      </w:r>
    </w:p>
    <w:p w14:paraId="198DF408" w14:textId="77777777" w:rsidR="00622BC0" w:rsidRDefault="00826C5A">
      <w:pPr>
        <w:widowControl w:val="0"/>
        <w:autoSpaceDE w:val="0"/>
        <w:autoSpaceDN w:val="0"/>
        <w:adjustRightInd w:val="0"/>
        <w:spacing w:after="200"/>
        <w:ind w:left="799" w:right="-6" w:hanging="799"/>
        <w:jc w:val="both"/>
        <w:rPr>
          <w:rFonts w:ascii="Cambria" w:hAnsi="Cambria" w:cs="Cambria"/>
          <w:color w:val="0000FF"/>
          <w:u w:val="single" w:color="0000FF"/>
          <w:lang w:val="en-GB"/>
        </w:rPr>
      </w:pPr>
      <w:r>
        <w:rPr>
          <w:rFonts w:ascii="Cambria" w:hAnsi="Cambria" w:cs="Cambria"/>
          <w:u w:color="0000FF"/>
          <w:lang w:val="en-GB"/>
        </w:rPr>
        <w:t xml:space="preserve">Open Development Thailand. (2018). Sustainable Development Goals. Retrieved from </w:t>
      </w:r>
      <w:hyperlink r:id="rId87" w:history="1">
        <w:r>
          <w:rPr>
            <w:rFonts w:ascii="Cambria" w:hAnsi="Cambria" w:cs="Cambria"/>
            <w:u w:val="single" w:color="0000FF"/>
            <w:lang w:val="en-GB"/>
          </w:rPr>
          <w:t>https://thailand.opendevelopmentmekong.net/th/topics/sustainable-development-goals/</w:t>
        </w:r>
      </w:hyperlink>
      <w:r>
        <w:rPr>
          <w:rFonts w:ascii="Cambria" w:hAnsi="Cambria" w:cs="Cambria"/>
          <w:u w:val="single" w:color="0000FF"/>
          <w:lang w:val="en-GB"/>
        </w:rPr>
        <w:t>.</w:t>
      </w:r>
    </w:p>
    <w:p w14:paraId="75D7A67A"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u w:color="0000FF"/>
          <w:lang w:val="en-GB"/>
        </w:rPr>
      </w:pPr>
      <w:r>
        <w:rPr>
          <w:rFonts w:ascii="Cambria" w:hAnsi="Cambria" w:cs="Cambria"/>
          <w:u w:color="0000FF"/>
          <w:lang w:val="en-GB"/>
        </w:rPr>
        <w:t>Scope and teaching approach to sexuality education in schools. (n.d.). Retrieved from</w:t>
      </w:r>
      <w:r>
        <w:rPr>
          <w:rFonts w:ascii="Cambria" w:hAnsi="Cambria" w:cs="Cambria"/>
          <w:u w:color="0000FF"/>
          <w:lang w:val="en-GB"/>
        </w:rPr>
        <w:tab/>
        <w:t>https://www.moe.gov.sg/education/programmemes/social-and-emotional</w:t>
      </w:r>
      <w:r>
        <w:rPr>
          <w:rFonts w:ascii="Cambria" w:hAnsi="Cambria" w:cs="Cambria"/>
          <w:u w:color="0000FF"/>
          <w:lang w:val="en-GB"/>
        </w:rPr>
        <w:tab/>
        <w:t>learning/sexuality</w:t>
      </w:r>
      <w:r>
        <w:rPr>
          <w:rFonts w:ascii="Cambria" w:hAnsi="Cambria" w:cs="Cambria"/>
          <w:u w:color="0000FF"/>
          <w:lang w:val="en-GB"/>
        </w:rPr>
        <w:tab/>
        <w:t>-education/scope-and-teaching-approach-of-sexuality-education-in</w:t>
      </w:r>
      <w:r>
        <w:rPr>
          <w:rFonts w:ascii="Cambria" w:hAnsi="Cambria" w:cs="Cambria"/>
          <w:u w:color="0000FF"/>
          <w:lang w:val="en-GB"/>
        </w:rPr>
        <w:tab/>
        <w:t>schools/.</w:t>
      </w:r>
    </w:p>
    <w:p w14:paraId="6D1A92C6"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u w:color="0000FF"/>
          <w:lang w:val="en-GB"/>
        </w:rPr>
      </w:pPr>
      <w:r>
        <w:rPr>
          <w:rFonts w:ascii="Cambria" w:hAnsi="Cambria" w:cs="Cambria"/>
          <w:u w:color="0000FF"/>
          <w:lang w:val="en-GB"/>
        </w:rPr>
        <w:t xml:space="preserve">SDGs. (2015). Transforming Our World: The 2030 Agenda for Sustainable. General Assembly UN. Retrieved from </w:t>
      </w:r>
      <w:hyperlink r:id="rId88" w:history="1">
        <w:r>
          <w:rPr>
            <w:rFonts w:ascii="Cambria" w:hAnsi="Cambria" w:cs="Cambria"/>
            <w:color w:val="0000FF"/>
            <w:u w:val="single" w:color="0000FF"/>
            <w:lang w:val="en-GB"/>
          </w:rPr>
          <w:t>https://sustainabledevelopment.un.org/post2015/transformingourworld</w:t>
        </w:r>
      </w:hyperlink>
      <w:r>
        <w:rPr>
          <w:rFonts w:ascii="Cambria" w:hAnsi="Cambria" w:cs="Cambria"/>
          <w:u w:color="0000FF"/>
          <w:lang w:val="en-GB"/>
        </w:rPr>
        <w:t xml:space="preserve">. </w:t>
      </w:r>
    </w:p>
    <w:p w14:paraId="2F7DAAE5"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u w:color="0000FF"/>
          <w:lang w:val="en-GB"/>
        </w:rPr>
      </w:pPr>
      <w:r>
        <w:rPr>
          <w:rFonts w:ascii="Cambria" w:hAnsi="Cambria" w:cs="Cambria"/>
          <w:u w:color="0000FF"/>
          <w:lang w:val="en-GB"/>
        </w:rPr>
        <w:t>SDGs. (n.d.). Retrieved from https://scout.betterworld.sg/sustainable-</w:t>
      </w:r>
      <w:r>
        <w:rPr>
          <w:rFonts w:ascii="Cambria" w:hAnsi="Cambria" w:cs="Cambria"/>
          <w:u w:color="0000FF"/>
          <w:lang w:val="en-GB"/>
        </w:rPr>
        <w:tab/>
        <w:t>development-goals/.</w:t>
      </w:r>
    </w:p>
    <w:p w14:paraId="0311DB80"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u w:color="0000FF"/>
          <w:lang w:val="en-GB"/>
        </w:rPr>
      </w:pPr>
      <w:r>
        <w:rPr>
          <w:rFonts w:ascii="Cambria" w:hAnsi="Cambria" w:cs="Cambria"/>
          <w:u w:color="0000FF"/>
          <w:lang w:val="en-GB"/>
        </w:rPr>
        <w:t>SDGs. (n.d.). Retrieved from https://www.singstat.gov.sg/find-data/sdg/goal-1..</w:t>
      </w:r>
    </w:p>
    <w:p w14:paraId="5F1E7BD7"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u w:color="0000FF"/>
          <w:lang w:val="en-GB"/>
        </w:rPr>
      </w:pPr>
      <w:r>
        <w:rPr>
          <w:rFonts w:ascii="Cambria" w:hAnsi="Cambria" w:cs="Cambria"/>
          <w:u w:color="0000FF"/>
          <w:lang w:val="en-GB"/>
        </w:rPr>
        <w:t xml:space="preserve">Sexuality education. (n.d.). Retrieved from </w:t>
      </w:r>
      <w:hyperlink r:id="rId89" w:history="1">
        <w:r>
          <w:rPr>
            <w:rFonts w:ascii="Cambria" w:hAnsi="Cambria" w:cs="Cambria"/>
            <w:color w:val="0000FF"/>
            <w:u w:val="single" w:color="0000FF"/>
            <w:lang w:val="en-GB"/>
          </w:rPr>
          <w:t>https://suchisuccess.com/sexuality-education/</w:t>
        </w:r>
      </w:hyperlink>
      <w:r>
        <w:rPr>
          <w:rFonts w:ascii="Cambria" w:hAnsi="Cambria" w:cs="Cambria"/>
          <w:color w:val="0000FF"/>
          <w:u w:val="single" w:color="0000FF"/>
          <w:lang w:val="en-GB"/>
        </w:rPr>
        <w:t>.</w:t>
      </w:r>
    </w:p>
    <w:p w14:paraId="2F81C5BE"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u w:color="0000FF"/>
          <w:lang w:val="en-GB"/>
        </w:rPr>
      </w:pPr>
      <w:r>
        <w:rPr>
          <w:rFonts w:ascii="Cambria" w:hAnsi="Cambria" w:cs="Cambria"/>
          <w:u w:color="0000FF"/>
          <w:lang w:val="en-GB"/>
        </w:rPr>
        <w:t>Singapore's Voluntary National Review Report to the 2018 UN High-Level Political Forum on Sustainable</w:t>
      </w:r>
      <w:r>
        <w:rPr>
          <w:rFonts w:ascii="Cambria" w:hAnsi="Cambria" w:cs="Cambria"/>
          <w:u w:color="0000FF"/>
          <w:lang w:val="en-GB"/>
        </w:rPr>
        <w:tab/>
        <w:t>Development. (n.d.). Retrieved from</w:t>
      </w:r>
      <w:r>
        <w:rPr>
          <w:rFonts w:ascii="Cambria" w:hAnsi="Cambria" w:cs="Cambria"/>
          <w:u w:color="0000FF"/>
          <w:lang w:val="en-GB"/>
        </w:rPr>
        <w:tab/>
        <w:t>https://sustainabledevelopment.un.org/content/documents/19439Singapores_Voluntary_National</w:t>
      </w:r>
      <w:r>
        <w:rPr>
          <w:rFonts w:ascii="Cambria" w:hAnsi="Cambria" w:cs="Cambria"/>
          <w:u w:color="0000FF"/>
          <w:lang w:val="en-GB"/>
        </w:rPr>
        <w:tab/>
        <w:t>_Review_Report_v2.pdf.</w:t>
      </w:r>
    </w:p>
    <w:p w14:paraId="208BE450" w14:textId="77777777" w:rsidR="00622BC0" w:rsidRDefault="00826C5A">
      <w:pPr>
        <w:widowControl w:val="0"/>
        <w:autoSpaceDE w:val="0"/>
        <w:autoSpaceDN w:val="0"/>
        <w:adjustRightInd w:val="0"/>
        <w:spacing w:after="200"/>
        <w:ind w:left="799" w:right="-6" w:hanging="799"/>
        <w:jc w:val="both"/>
        <w:rPr>
          <w:rFonts w:ascii="Cambria" w:hAnsi="Cambria" w:cs="Cambria"/>
          <w:u w:color="0000FF"/>
          <w:lang w:val="en-GB"/>
        </w:rPr>
      </w:pPr>
      <w:r>
        <w:rPr>
          <w:rFonts w:ascii="Cambria" w:hAnsi="Cambria" w:cs="Cambria"/>
          <w:u w:color="0000FF"/>
          <w:lang w:val="en-GB"/>
        </w:rPr>
        <w:t xml:space="preserve">Special Education Bureau. (2019). Special Education Information system (SET). Retrieved from </w:t>
      </w:r>
      <w:hyperlink r:id="rId90" w:history="1">
        <w:r>
          <w:rPr>
            <w:rFonts w:ascii="Cambria" w:hAnsi="Cambria" w:cs="Cambria"/>
            <w:u w:val="single" w:color="0000FF"/>
            <w:lang w:val="en-GB"/>
          </w:rPr>
          <w:t>http://203.159.157.29/set_index/index.php</w:t>
        </w:r>
      </w:hyperlink>
      <w:r>
        <w:rPr>
          <w:rFonts w:ascii="Cambria" w:hAnsi="Cambria" w:cs="Cambria"/>
          <w:u w:val="single" w:color="0000FF"/>
          <w:lang w:val="en-GB"/>
        </w:rPr>
        <w:t>.</w:t>
      </w:r>
    </w:p>
    <w:p w14:paraId="31C2A62F"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u w:color="0000FF"/>
          <w:lang w:val="en-GB"/>
        </w:rPr>
      </w:pPr>
      <w:r>
        <w:rPr>
          <w:rFonts w:ascii="Cambria" w:hAnsi="Cambria" w:cs="Cambria"/>
          <w:u w:color="0000FF"/>
          <w:lang w:val="en-GB"/>
        </w:rPr>
        <w:t xml:space="preserve">Tempo. (2017). INFID Criticises Govt over Implementation of SDGs. Retrieved from </w:t>
      </w:r>
      <w:hyperlink r:id="rId91" w:history="1">
        <w:r>
          <w:rPr>
            <w:rFonts w:ascii="Cambria" w:hAnsi="Cambria" w:cs="Cambria"/>
            <w:color w:val="0000FF"/>
            <w:u w:val="single" w:color="0000FF"/>
            <w:lang w:val="en-GB"/>
          </w:rPr>
          <w:t>https://en.tempo.co/read/911823/infid-criticises-govt-over-implementation-of-sdgs</w:t>
        </w:r>
      </w:hyperlink>
      <w:r>
        <w:rPr>
          <w:rFonts w:ascii="Cambria" w:hAnsi="Cambria" w:cs="Cambria"/>
          <w:u w:color="0000FF"/>
          <w:lang w:val="en-GB"/>
        </w:rPr>
        <w:t>.</w:t>
      </w:r>
    </w:p>
    <w:p w14:paraId="136E19BE" w14:textId="77777777" w:rsidR="00622BC0" w:rsidRDefault="00826C5A">
      <w:pPr>
        <w:widowControl w:val="0"/>
        <w:autoSpaceDE w:val="0"/>
        <w:autoSpaceDN w:val="0"/>
        <w:adjustRightInd w:val="0"/>
        <w:spacing w:before="240" w:after="240" w:line="276" w:lineRule="auto"/>
        <w:ind w:left="799" w:right="-6" w:hanging="799"/>
        <w:jc w:val="both"/>
        <w:rPr>
          <w:rFonts w:ascii="Cambria" w:hAnsi="Cambria" w:cs="Cambria"/>
          <w:u w:color="0563C1"/>
          <w:lang w:val="en-GB"/>
        </w:rPr>
      </w:pPr>
      <w:r>
        <w:rPr>
          <w:rFonts w:ascii="Cambria" w:hAnsi="Cambria" w:cs="Cambria"/>
          <w:u w:color="0000FF"/>
          <w:lang w:val="en-GB"/>
        </w:rPr>
        <w:t xml:space="preserve">The Philippines Statistics Authority. (n.d.). Disability Spares No one: A New Perspective. Retrieved from </w:t>
      </w:r>
      <w:hyperlink r:id="rId92" w:history="1">
        <w:r>
          <w:rPr>
            <w:rFonts w:ascii="Cambria" w:hAnsi="Cambria" w:cs="Cambria"/>
            <w:color w:val="0563C1"/>
            <w:u w:val="single" w:color="0563C1"/>
            <w:lang w:val="en-GB"/>
          </w:rPr>
          <w:t>https://psa.gov.ph/content/disability-spares-no-one-new-perspective</w:t>
        </w:r>
      </w:hyperlink>
      <w:r>
        <w:rPr>
          <w:rFonts w:ascii="Cambria" w:hAnsi="Cambria" w:cs="Cambria"/>
          <w:color w:val="0563C1"/>
          <w:u w:val="single" w:color="0563C1"/>
          <w:lang w:val="en-GB"/>
        </w:rPr>
        <w:t>.</w:t>
      </w:r>
    </w:p>
    <w:p w14:paraId="01DE3823"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u w:color="0563C1"/>
          <w:lang w:val="en-GB"/>
        </w:rPr>
      </w:pPr>
      <w:r>
        <w:rPr>
          <w:rFonts w:ascii="Cambria" w:hAnsi="Cambria" w:cs="Cambria"/>
          <w:u w:color="0563C1"/>
          <w:lang w:val="en-GB"/>
        </w:rPr>
        <w:t xml:space="preserve">The Republic of Viet Nam. (2010). The Law on Persons with Disability. Retrieved from </w:t>
      </w:r>
      <w:hyperlink r:id="rId93" w:history="1">
        <w:r>
          <w:rPr>
            <w:rFonts w:ascii="Cambria" w:hAnsi="Cambria" w:cs="Cambria"/>
            <w:u w:color="0563C1"/>
            <w:lang w:val="en-GB"/>
          </w:rPr>
          <w:t>https://www.ilo.org/wcmsp5/groups/public/---</w:t>
        </w:r>
        <w:proofErr w:type="spellStart"/>
        <w:r>
          <w:rPr>
            <w:rFonts w:ascii="Cambria" w:hAnsi="Cambria" w:cs="Cambria"/>
            <w:u w:color="0563C1"/>
            <w:lang w:val="en-GB"/>
          </w:rPr>
          <w:t>ed_protect</w:t>
        </w:r>
        <w:proofErr w:type="spellEnd"/>
        <w:r>
          <w:rPr>
            <w:rFonts w:ascii="Cambria" w:hAnsi="Cambria" w:cs="Cambria"/>
            <w:u w:color="0563C1"/>
            <w:lang w:val="en-GB"/>
          </w:rPr>
          <w:t>/---</w:t>
        </w:r>
        <w:proofErr w:type="spellStart"/>
        <w:r>
          <w:rPr>
            <w:rFonts w:ascii="Cambria" w:hAnsi="Cambria" w:cs="Cambria"/>
            <w:u w:color="0563C1"/>
            <w:lang w:val="en-GB"/>
          </w:rPr>
          <w:t>protrav</w:t>
        </w:r>
        <w:proofErr w:type="spellEnd"/>
        <w:r>
          <w:rPr>
            <w:rFonts w:ascii="Cambria" w:hAnsi="Cambria" w:cs="Cambria"/>
            <w:u w:color="0563C1"/>
            <w:lang w:val="en-GB"/>
          </w:rPr>
          <w:t>/---</w:t>
        </w:r>
        <w:proofErr w:type="spellStart"/>
        <w:r>
          <w:rPr>
            <w:rFonts w:ascii="Cambria" w:hAnsi="Cambria" w:cs="Cambria"/>
            <w:u w:color="0563C1"/>
            <w:lang w:val="en-GB"/>
          </w:rPr>
          <w:t>ilo_aids</w:t>
        </w:r>
        <w:proofErr w:type="spellEnd"/>
        <w:r>
          <w:rPr>
            <w:rFonts w:ascii="Cambria" w:hAnsi="Cambria" w:cs="Cambria"/>
            <w:u w:color="0563C1"/>
            <w:lang w:val="en-GB"/>
          </w:rPr>
          <w:t>/documents/</w:t>
        </w:r>
        <w:proofErr w:type="spellStart"/>
        <w:r>
          <w:rPr>
            <w:rFonts w:ascii="Cambria" w:hAnsi="Cambria" w:cs="Cambria"/>
            <w:u w:color="0563C1"/>
            <w:lang w:val="en-GB"/>
          </w:rPr>
          <w:t>legaldocument</w:t>
        </w:r>
        <w:proofErr w:type="spellEnd"/>
        <w:r>
          <w:rPr>
            <w:rFonts w:ascii="Cambria" w:hAnsi="Cambria" w:cs="Cambria"/>
            <w:u w:color="0563C1"/>
            <w:lang w:val="en-GB"/>
          </w:rPr>
          <w:t>/wcms_174606.pdf</w:t>
        </w:r>
      </w:hyperlink>
      <w:r>
        <w:rPr>
          <w:rFonts w:ascii="Cambria" w:hAnsi="Cambria" w:cs="Cambria"/>
          <w:u w:color="0563C1"/>
          <w:lang w:val="en-GB"/>
        </w:rPr>
        <w:t>.</w:t>
      </w:r>
    </w:p>
    <w:p w14:paraId="451C4D56"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u w:color="0563C1"/>
          <w:lang w:val="en-GB"/>
        </w:rPr>
      </w:pPr>
      <w:r>
        <w:rPr>
          <w:rFonts w:ascii="Cambria" w:hAnsi="Cambria" w:cs="Cambria"/>
          <w:u w:color="0563C1"/>
          <w:lang w:val="en-GB"/>
        </w:rPr>
        <w:t xml:space="preserve"> UNFPA. (2012). People with Disabilities in Viet Nam: Key Finding from 2009 Population and Housing Census. Retrieved from </w:t>
      </w:r>
      <w:hyperlink r:id="rId94" w:history="1">
        <w:r>
          <w:rPr>
            <w:rFonts w:ascii="Cambria" w:hAnsi="Cambria" w:cs="Cambria"/>
            <w:color w:val="0000FF"/>
            <w:u w:val="single" w:color="0000FF"/>
            <w:lang w:val="en-GB"/>
          </w:rPr>
          <w:t>https://vietnam.unfpa.org/en/publications/people-disabilities-viet-nam</w:t>
        </w:r>
      </w:hyperlink>
      <w:r>
        <w:rPr>
          <w:rFonts w:ascii="Cambria" w:hAnsi="Cambria" w:cs="Cambria"/>
          <w:u w:color="0563C1"/>
          <w:lang w:val="en-GB"/>
        </w:rPr>
        <w:t>.</w:t>
      </w:r>
    </w:p>
    <w:p w14:paraId="69CFC60B"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u w:color="0563C1"/>
          <w:lang w:val="en-GB"/>
        </w:rPr>
      </w:pPr>
      <w:r>
        <w:rPr>
          <w:rFonts w:ascii="Cambria" w:hAnsi="Cambria" w:cs="Cambria"/>
          <w:u w:color="0563C1"/>
          <w:lang w:val="en-GB"/>
        </w:rPr>
        <w:t xml:space="preserve">United Nations. (n.d.). Convention on the Rights of Persons with Disabilities. Retrieved from </w:t>
      </w:r>
      <w:hyperlink r:id="rId95" w:history="1">
        <w:r>
          <w:rPr>
            <w:rFonts w:ascii="Cambria" w:hAnsi="Cambria" w:cs="Cambria"/>
            <w:color w:val="0000FF"/>
            <w:u w:val="single" w:color="0000FF"/>
            <w:lang w:val="en-GB"/>
          </w:rPr>
          <w:t>https://treaties.un.org/pages/ViewDetails.aspx?src=TREATY&amp;mtdsg_no=IV-15&amp;chapter=4</w:t>
        </w:r>
      </w:hyperlink>
      <w:r>
        <w:rPr>
          <w:rFonts w:ascii="Cambria" w:hAnsi="Cambria" w:cs="Cambria"/>
          <w:u w:color="0563C1"/>
          <w:lang w:val="en-GB"/>
        </w:rPr>
        <w:t>.</w:t>
      </w:r>
    </w:p>
    <w:p w14:paraId="62ED70C1" w14:textId="77777777" w:rsidR="00622BC0" w:rsidRDefault="00826C5A">
      <w:pPr>
        <w:widowControl w:val="0"/>
        <w:autoSpaceDE w:val="0"/>
        <w:autoSpaceDN w:val="0"/>
        <w:adjustRightInd w:val="0"/>
        <w:spacing w:before="240" w:after="240" w:line="276" w:lineRule="auto"/>
        <w:ind w:left="799" w:right="-6" w:hanging="799"/>
        <w:jc w:val="both"/>
        <w:rPr>
          <w:rFonts w:ascii="Cambria" w:hAnsi="Cambria" w:cs="Cambria"/>
          <w:u w:color="0563C1"/>
          <w:lang w:val="en-GB"/>
        </w:rPr>
      </w:pPr>
      <w:r>
        <w:rPr>
          <w:rFonts w:ascii="Cambria" w:hAnsi="Cambria" w:cs="Cambria"/>
          <w:u w:color="0563C1"/>
          <w:lang w:val="en-GB"/>
        </w:rPr>
        <w:t xml:space="preserve">United Nations. (n.d.). United Nations Standard Rules on the Equalisation of Opportunities for Persons with Disabilities. Retrieved from </w:t>
      </w:r>
      <w:hyperlink r:id="rId96" w:history="1">
        <w:r>
          <w:rPr>
            <w:rFonts w:ascii="Cambria" w:hAnsi="Cambria" w:cs="Cambria"/>
            <w:color w:val="0000FF"/>
            <w:u w:val="single" w:color="0000FF"/>
            <w:lang w:val="en-GB"/>
          </w:rPr>
          <w:t>https://www.un.org/development/desa/disabilities/standard-rules-on-the-equalisation-of-opportunities-for-persons-with-disabilities.html</w:t>
        </w:r>
      </w:hyperlink>
      <w:r>
        <w:rPr>
          <w:rFonts w:ascii="Cambria" w:hAnsi="Cambria" w:cs="Cambria"/>
          <w:u w:color="0563C1"/>
          <w:lang w:val="en-GB"/>
        </w:rPr>
        <w:t>.</w:t>
      </w:r>
    </w:p>
    <w:p w14:paraId="4A0B975F"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u w:color="0563C1"/>
          <w:lang w:val="en-GB"/>
        </w:rPr>
      </w:pPr>
      <w:r>
        <w:rPr>
          <w:rFonts w:ascii="Cambria" w:hAnsi="Cambria" w:cs="Cambria"/>
          <w:u w:color="0563C1"/>
          <w:lang w:val="en-GB"/>
        </w:rPr>
        <w:t xml:space="preserve">Vietnam, United Nations. (n.d.). The National Action Plan for the Implementation of the 2030 Sustainable Development Agenda. Retrieved from </w:t>
      </w:r>
      <w:hyperlink r:id="rId97" w:history="1">
        <w:r>
          <w:rPr>
            <w:rFonts w:ascii="Cambria" w:hAnsi="Cambria" w:cs="Cambria"/>
            <w:color w:val="0000FF"/>
            <w:u w:val="single" w:color="0000FF"/>
            <w:lang w:val="en-GB"/>
          </w:rPr>
          <w:t>https://vietnam.un.org/index.php/en/4123-national-action-plan-implementation-2030-sustainable-development-agenda</w:t>
        </w:r>
      </w:hyperlink>
      <w:r>
        <w:rPr>
          <w:rFonts w:ascii="Cambria" w:hAnsi="Cambria" w:cs="Cambria"/>
          <w:u w:color="0563C1"/>
          <w:lang w:val="en-GB"/>
        </w:rPr>
        <w:t>.</w:t>
      </w:r>
    </w:p>
    <w:p w14:paraId="39BAE9A2"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u w:color="0563C1"/>
          <w:lang w:val="en-GB"/>
        </w:rPr>
      </w:pPr>
      <w:r>
        <w:rPr>
          <w:rFonts w:ascii="Cambria" w:hAnsi="Cambria" w:cs="Cambria"/>
          <w:u w:color="0563C1"/>
          <w:lang w:val="en-GB"/>
        </w:rPr>
        <w:t xml:space="preserve">Washington Group. (2017). The Washington Group Short Set on Functioning Questions Specifications. Retrieved from </w:t>
      </w:r>
      <w:hyperlink r:id="rId98" w:history="1">
        <w:r>
          <w:rPr>
            <w:rFonts w:ascii="Cambria" w:hAnsi="Cambria" w:cs="Cambria"/>
            <w:u w:color="0563C1"/>
            <w:lang w:val="en-GB"/>
          </w:rPr>
          <w:t>http://www.washingtongroup-disability.com/wp-content/uploads/2016/12/WG-Document-4-The-Washington-Group-Short-Set-on-Functioning-Question-Specifications.pdf</w:t>
        </w:r>
      </w:hyperlink>
      <w:r>
        <w:rPr>
          <w:rFonts w:ascii="Cambria" w:hAnsi="Cambria" w:cs="Cambria"/>
          <w:u w:color="0563C1"/>
          <w:lang w:val="en-GB"/>
        </w:rPr>
        <w:t>.</w:t>
      </w:r>
    </w:p>
    <w:p w14:paraId="52A1C8B0"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u w:color="0563C1"/>
          <w:lang w:val="en-GB"/>
        </w:rPr>
      </w:pPr>
      <w:r>
        <w:rPr>
          <w:rFonts w:ascii="Cambria" w:hAnsi="Cambria" w:cs="Cambria"/>
          <w:u w:color="0563C1"/>
          <w:lang w:val="en-GB"/>
        </w:rPr>
        <w:t xml:space="preserve">World Bank. (2006). Viet Nam Household Living Standards Survey. Retrieved from </w:t>
      </w:r>
      <w:hyperlink r:id="rId99" w:history="1">
        <w:r>
          <w:rPr>
            <w:rFonts w:ascii="Cambria" w:hAnsi="Cambria" w:cs="Cambria"/>
            <w:u w:color="0563C1"/>
            <w:lang w:val="en-GB"/>
          </w:rPr>
          <w:t>https://datacatalog.worldbank.org/dataset/Viet Nam-household-living-standards-survey-2006</w:t>
        </w:r>
      </w:hyperlink>
      <w:r>
        <w:rPr>
          <w:rFonts w:ascii="Cambria" w:hAnsi="Cambria" w:cs="Cambria"/>
          <w:u w:color="0563C1"/>
          <w:lang w:val="en-GB"/>
        </w:rPr>
        <w:t>.</w:t>
      </w:r>
    </w:p>
    <w:p w14:paraId="239CE3CD"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u w:color="0563C1"/>
          <w:lang w:val="en-GB"/>
        </w:rPr>
      </w:pPr>
      <w:r>
        <w:rPr>
          <w:rFonts w:ascii="Cambria" w:hAnsi="Cambria" w:cs="Cambria"/>
          <w:u w:color="0563C1"/>
          <w:lang w:val="en-GB"/>
        </w:rPr>
        <w:t xml:space="preserve">World Economic Forum. (2018). The Global Gender Gap Report 2018. Retrieved from </w:t>
      </w:r>
      <w:hyperlink r:id="rId100" w:history="1">
        <w:r>
          <w:rPr>
            <w:rFonts w:ascii="Cambria" w:hAnsi="Cambria" w:cs="Cambria"/>
            <w:color w:val="0000FF"/>
            <w:u w:val="single" w:color="0000FF"/>
            <w:lang w:val="en-GB"/>
          </w:rPr>
          <w:t>http://www3.weforum.org/docs/WEF_GGGR_2018.pdf</w:t>
        </w:r>
      </w:hyperlink>
      <w:r>
        <w:rPr>
          <w:rFonts w:ascii="Cambria" w:hAnsi="Cambria" w:cs="Cambria"/>
          <w:u w:color="0563C1"/>
          <w:lang w:val="en-GB"/>
        </w:rPr>
        <w:t>.</w:t>
      </w:r>
    </w:p>
    <w:p w14:paraId="54DBFD79"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u w:color="0000FF"/>
          <w:lang w:val="en-GB"/>
        </w:rPr>
      </w:pPr>
      <w:r>
        <w:rPr>
          <w:rFonts w:ascii="Cambria" w:hAnsi="Cambria" w:cs="Cambria"/>
          <w:u w:color="0563C1"/>
          <w:lang w:val="en-GB"/>
        </w:rPr>
        <w:t xml:space="preserve">World Health Organisation and the World Bank. (2011). </w:t>
      </w:r>
      <w:r>
        <w:rPr>
          <w:rFonts w:ascii="Cambria" w:hAnsi="Cambria" w:cs="Cambria"/>
          <w:i/>
          <w:iCs/>
          <w:u w:color="0563C1"/>
          <w:lang w:val="en-GB"/>
        </w:rPr>
        <w:t>World Report on Disability</w:t>
      </w:r>
      <w:r>
        <w:rPr>
          <w:rFonts w:ascii="Cambria" w:hAnsi="Cambria" w:cs="Cambria"/>
          <w:u w:color="0563C1"/>
          <w:lang w:val="en-GB"/>
        </w:rPr>
        <w:t xml:space="preserve">. Geneva. Retrieved from </w:t>
      </w:r>
      <w:hyperlink r:id="rId101" w:history="1">
        <w:r>
          <w:rPr>
            <w:rFonts w:ascii="Cambria" w:hAnsi="Cambria" w:cs="Cambria"/>
            <w:color w:val="0000FF"/>
            <w:u w:val="single" w:color="0000FF"/>
            <w:lang w:val="en-GB"/>
          </w:rPr>
          <w:t>http://www.who.int/disabilities/world_report/2011/report.pdf</w:t>
        </w:r>
      </w:hyperlink>
      <w:r>
        <w:rPr>
          <w:rFonts w:ascii="Cambria" w:hAnsi="Cambria" w:cs="Cambria"/>
          <w:color w:val="0000FF"/>
          <w:u w:val="single" w:color="0000FF"/>
          <w:lang w:val="en-GB"/>
        </w:rPr>
        <w:t>.</w:t>
      </w:r>
    </w:p>
    <w:p w14:paraId="1697E82C" w14:textId="77777777" w:rsidR="00622BC0" w:rsidRDefault="00622BC0">
      <w:pPr>
        <w:widowControl w:val="0"/>
        <w:autoSpaceDE w:val="0"/>
        <w:autoSpaceDN w:val="0"/>
        <w:adjustRightInd w:val="0"/>
        <w:spacing w:after="200" w:line="276" w:lineRule="auto"/>
        <w:ind w:right="-6"/>
        <w:jc w:val="both"/>
        <w:rPr>
          <w:rFonts w:ascii="Cambria" w:hAnsi="Cambria" w:cs="Cambria"/>
          <w:b/>
          <w:bCs/>
          <w:u w:color="0000FF"/>
          <w:lang w:val="en-GB"/>
        </w:rPr>
      </w:pPr>
    </w:p>
    <w:p w14:paraId="5CB291F6" w14:textId="77777777" w:rsidR="00622BC0" w:rsidRDefault="00826C5A">
      <w:pPr>
        <w:widowControl w:val="0"/>
        <w:autoSpaceDE w:val="0"/>
        <w:autoSpaceDN w:val="0"/>
        <w:adjustRightInd w:val="0"/>
        <w:spacing w:after="200" w:line="276" w:lineRule="auto"/>
        <w:ind w:right="-6"/>
        <w:jc w:val="both"/>
        <w:rPr>
          <w:rFonts w:ascii="Cambria" w:hAnsi="Cambria" w:cs="Cambria"/>
          <w:u w:color="0000FF"/>
          <w:lang w:val="en-GB"/>
        </w:rPr>
      </w:pPr>
      <w:r>
        <w:rPr>
          <w:rFonts w:ascii="Cambria" w:hAnsi="Cambria" w:cs="Cambria"/>
          <w:b/>
          <w:bCs/>
          <w:u w:color="0000FF"/>
          <w:lang w:val="en-GB"/>
        </w:rPr>
        <w:t>Interviews</w:t>
      </w:r>
    </w:p>
    <w:p w14:paraId="49966A20"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u w:color="0000FF"/>
          <w:lang w:val="en-GB"/>
        </w:rPr>
      </w:pPr>
      <w:proofErr w:type="spellStart"/>
      <w:r>
        <w:rPr>
          <w:rFonts w:ascii="Cambria" w:hAnsi="Cambria" w:cs="Cambria"/>
          <w:u w:color="0000FF"/>
          <w:lang w:val="en-GB"/>
        </w:rPr>
        <w:t>Aliah</w:t>
      </w:r>
      <w:proofErr w:type="spellEnd"/>
      <w:r>
        <w:rPr>
          <w:rFonts w:ascii="Cambria" w:hAnsi="Cambria" w:cs="Cambria"/>
          <w:u w:color="0000FF"/>
          <w:lang w:val="en-GB"/>
        </w:rPr>
        <w:t>. (2019). Ministry of Women Empowerment and Child Protection. Indonesia.</w:t>
      </w:r>
    </w:p>
    <w:p w14:paraId="2A722CB6" w14:textId="77777777" w:rsidR="00622BC0" w:rsidRDefault="00826C5A">
      <w:pPr>
        <w:widowControl w:val="0"/>
        <w:autoSpaceDE w:val="0"/>
        <w:autoSpaceDN w:val="0"/>
        <w:adjustRightInd w:val="0"/>
        <w:spacing w:before="240" w:after="240" w:line="276" w:lineRule="auto"/>
        <w:ind w:left="799" w:right="-6" w:hanging="799"/>
        <w:jc w:val="both"/>
        <w:rPr>
          <w:rFonts w:ascii="Cambria" w:hAnsi="Cambria" w:cs="Cambria"/>
          <w:u w:color="0000FF"/>
          <w:lang w:val="en-GB"/>
        </w:rPr>
      </w:pPr>
      <w:proofErr w:type="spellStart"/>
      <w:r>
        <w:rPr>
          <w:rFonts w:ascii="Cambria" w:hAnsi="Cambria" w:cs="Cambria"/>
          <w:u w:color="0000FF"/>
          <w:lang w:val="en-GB"/>
        </w:rPr>
        <w:t>Bernandino</w:t>
      </w:r>
      <w:proofErr w:type="spellEnd"/>
      <w:r>
        <w:rPr>
          <w:rFonts w:ascii="Cambria" w:hAnsi="Cambria" w:cs="Cambria"/>
          <w:u w:color="0000FF"/>
          <w:lang w:val="en-GB"/>
        </w:rPr>
        <w:t>, Benjamin Jun. (2019). UNCRPD Convenor of the Philippines (</w:t>
      </w:r>
      <w:proofErr w:type="spellStart"/>
      <w:r>
        <w:rPr>
          <w:rFonts w:ascii="Cambria" w:hAnsi="Cambria" w:cs="Cambria"/>
          <w:u w:color="0000FF"/>
          <w:lang w:val="en-GB"/>
        </w:rPr>
        <w:t>Lihaven</w:t>
      </w:r>
      <w:proofErr w:type="spellEnd"/>
      <w:r>
        <w:rPr>
          <w:rFonts w:ascii="Cambria" w:hAnsi="Cambria" w:cs="Cambria"/>
          <w:u w:color="0000FF"/>
          <w:lang w:val="en-GB"/>
        </w:rPr>
        <w:t xml:space="preserve"> Inc). The Philippines.</w:t>
      </w:r>
    </w:p>
    <w:p w14:paraId="792A08D9" w14:textId="77777777" w:rsidR="00622BC0" w:rsidRDefault="00826C5A">
      <w:pPr>
        <w:widowControl w:val="0"/>
        <w:autoSpaceDE w:val="0"/>
        <w:autoSpaceDN w:val="0"/>
        <w:adjustRightInd w:val="0"/>
        <w:spacing w:before="240" w:after="240" w:line="276" w:lineRule="auto"/>
        <w:ind w:left="799" w:right="-6" w:hanging="799"/>
        <w:jc w:val="both"/>
        <w:rPr>
          <w:rFonts w:ascii="Cambria" w:hAnsi="Cambria" w:cs="Cambria"/>
          <w:u w:color="0000FF"/>
          <w:lang w:val="en-GB"/>
        </w:rPr>
      </w:pPr>
      <w:proofErr w:type="spellStart"/>
      <w:r>
        <w:rPr>
          <w:rFonts w:ascii="Cambria" w:hAnsi="Cambria" w:cs="Cambria"/>
          <w:u w:color="0000FF"/>
          <w:lang w:val="en-GB"/>
        </w:rPr>
        <w:t>Cabotaje</w:t>
      </w:r>
      <w:proofErr w:type="spellEnd"/>
      <w:r>
        <w:rPr>
          <w:rFonts w:ascii="Cambria" w:hAnsi="Cambria" w:cs="Cambria"/>
          <w:u w:color="0000FF"/>
          <w:lang w:val="en-GB"/>
        </w:rPr>
        <w:t>, Myrna. (2019). Department of Health, USEC. The Philippines</w:t>
      </w:r>
    </w:p>
    <w:p w14:paraId="5CA258A7" w14:textId="77777777" w:rsidR="00622BC0" w:rsidRDefault="00826C5A">
      <w:pPr>
        <w:widowControl w:val="0"/>
        <w:autoSpaceDE w:val="0"/>
        <w:autoSpaceDN w:val="0"/>
        <w:adjustRightInd w:val="0"/>
        <w:spacing w:before="240" w:after="240" w:line="276" w:lineRule="auto"/>
        <w:ind w:left="799" w:right="-6" w:hanging="799"/>
        <w:jc w:val="both"/>
        <w:rPr>
          <w:rFonts w:ascii="Cambria" w:hAnsi="Cambria" w:cs="Cambria"/>
          <w:u w:color="0000FF"/>
          <w:lang w:val="en-GB"/>
        </w:rPr>
      </w:pPr>
      <w:proofErr w:type="spellStart"/>
      <w:r>
        <w:rPr>
          <w:rFonts w:ascii="Cambria" w:hAnsi="Cambria" w:cs="Cambria"/>
          <w:u w:color="0000FF"/>
          <w:lang w:val="en-GB"/>
        </w:rPr>
        <w:t>Damaiyanti</w:t>
      </w:r>
      <w:proofErr w:type="spellEnd"/>
      <w:r>
        <w:rPr>
          <w:rFonts w:ascii="Cambria" w:hAnsi="Cambria" w:cs="Cambria"/>
          <w:u w:color="0000FF"/>
          <w:lang w:val="en-GB"/>
        </w:rPr>
        <w:t xml:space="preserve">, </w:t>
      </w:r>
      <w:proofErr w:type="spellStart"/>
      <w:r>
        <w:rPr>
          <w:rFonts w:ascii="Cambria" w:hAnsi="Cambria" w:cs="Cambria"/>
          <w:u w:color="0000FF"/>
          <w:lang w:val="en-GB"/>
        </w:rPr>
        <w:t>Yeni</w:t>
      </w:r>
      <w:proofErr w:type="spellEnd"/>
      <w:r>
        <w:rPr>
          <w:rFonts w:ascii="Cambria" w:hAnsi="Cambria" w:cs="Cambria"/>
          <w:u w:color="0000FF"/>
          <w:lang w:val="en-GB"/>
        </w:rPr>
        <w:t xml:space="preserve"> Rossa. (2019). Chairperson of Mental Health Association. Indonesia.</w:t>
      </w:r>
    </w:p>
    <w:p w14:paraId="5B2FE731" w14:textId="77777777" w:rsidR="00622BC0" w:rsidRDefault="00826C5A">
      <w:pPr>
        <w:widowControl w:val="0"/>
        <w:autoSpaceDE w:val="0"/>
        <w:autoSpaceDN w:val="0"/>
        <w:adjustRightInd w:val="0"/>
        <w:spacing w:before="240" w:after="240" w:line="276" w:lineRule="auto"/>
        <w:ind w:left="799" w:right="-6" w:hanging="799"/>
        <w:jc w:val="both"/>
        <w:rPr>
          <w:rFonts w:ascii="Cambria" w:hAnsi="Cambria" w:cs="Cambria"/>
          <w:u w:color="0000FF"/>
          <w:lang w:val="en-GB"/>
        </w:rPr>
      </w:pPr>
      <w:proofErr w:type="spellStart"/>
      <w:r>
        <w:rPr>
          <w:rFonts w:ascii="Cambria" w:hAnsi="Cambria" w:cs="Cambria"/>
          <w:u w:color="0000FF"/>
          <w:lang w:val="en-GB"/>
        </w:rPr>
        <w:t>Darauay</w:t>
      </w:r>
      <w:proofErr w:type="spellEnd"/>
      <w:r>
        <w:rPr>
          <w:rFonts w:ascii="Cambria" w:hAnsi="Cambria" w:cs="Cambria"/>
          <w:u w:color="0000FF"/>
          <w:lang w:val="en-GB"/>
        </w:rPr>
        <w:t>, Mary Ann. (2019). Director of National Economic and Development Authority. The Philippines.</w:t>
      </w:r>
    </w:p>
    <w:p w14:paraId="57C52B8D" w14:textId="77777777" w:rsidR="00622BC0" w:rsidRDefault="00826C5A">
      <w:pPr>
        <w:widowControl w:val="0"/>
        <w:autoSpaceDE w:val="0"/>
        <w:autoSpaceDN w:val="0"/>
        <w:adjustRightInd w:val="0"/>
        <w:spacing w:before="240" w:after="240" w:line="276" w:lineRule="auto"/>
        <w:ind w:left="799" w:right="-6" w:hanging="799"/>
        <w:jc w:val="both"/>
        <w:rPr>
          <w:rFonts w:ascii="Cambria" w:hAnsi="Cambria" w:cs="Cambria"/>
          <w:u w:color="0000FF"/>
          <w:lang w:val="en-GB"/>
        </w:rPr>
      </w:pPr>
      <w:proofErr w:type="spellStart"/>
      <w:r>
        <w:rPr>
          <w:rFonts w:ascii="Cambria" w:hAnsi="Cambria" w:cs="Cambria"/>
          <w:u w:color="0000FF"/>
          <w:lang w:val="en-GB"/>
        </w:rPr>
        <w:t>Ema</w:t>
      </w:r>
      <w:proofErr w:type="spellEnd"/>
      <w:r>
        <w:rPr>
          <w:rFonts w:ascii="Cambria" w:hAnsi="Cambria" w:cs="Cambria"/>
          <w:u w:color="0000FF"/>
          <w:lang w:val="en-GB"/>
        </w:rPr>
        <w:t>. (2019). Ministry of Social Affairs. Indonesia.</w:t>
      </w:r>
    </w:p>
    <w:p w14:paraId="42249784" w14:textId="77777777" w:rsidR="00622BC0" w:rsidRDefault="00826C5A">
      <w:pPr>
        <w:widowControl w:val="0"/>
        <w:autoSpaceDE w:val="0"/>
        <w:autoSpaceDN w:val="0"/>
        <w:adjustRightInd w:val="0"/>
        <w:spacing w:before="240" w:after="240" w:line="276" w:lineRule="auto"/>
        <w:ind w:left="799" w:right="-6" w:hanging="799"/>
        <w:jc w:val="both"/>
        <w:rPr>
          <w:rFonts w:ascii="Cambria" w:hAnsi="Cambria" w:cs="Cambria"/>
          <w:u w:color="0000FF"/>
          <w:lang w:val="en-GB"/>
        </w:rPr>
      </w:pPr>
      <w:r>
        <w:rPr>
          <w:rFonts w:ascii="Cambria" w:hAnsi="Cambria" w:cs="Cambria"/>
          <w:u w:color="0000FF"/>
          <w:lang w:val="en-GB"/>
        </w:rPr>
        <w:t xml:space="preserve">Gonzales, </w:t>
      </w:r>
      <w:proofErr w:type="spellStart"/>
      <w:r>
        <w:rPr>
          <w:rFonts w:ascii="Cambria" w:hAnsi="Cambria" w:cs="Cambria"/>
          <w:u w:color="0000FF"/>
          <w:lang w:val="en-GB"/>
        </w:rPr>
        <w:t>Felecite</w:t>
      </w:r>
      <w:proofErr w:type="spellEnd"/>
      <w:r>
        <w:rPr>
          <w:rFonts w:ascii="Cambria" w:hAnsi="Cambria" w:cs="Cambria"/>
          <w:u w:color="0000FF"/>
          <w:lang w:val="en-GB"/>
        </w:rPr>
        <w:t xml:space="preserve"> Jean. (2019). The Association for Citizens with Developmental and Learning Disabilities (PACDLD). The Philippines.</w:t>
      </w:r>
    </w:p>
    <w:p w14:paraId="10D56DE2" w14:textId="77777777" w:rsidR="00622BC0" w:rsidRDefault="00826C5A">
      <w:pPr>
        <w:widowControl w:val="0"/>
        <w:autoSpaceDE w:val="0"/>
        <w:autoSpaceDN w:val="0"/>
        <w:adjustRightInd w:val="0"/>
        <w:spacing w:before="240" w:after="240" w:line="276" w:lineRule="auto"/>
        <w:ind w:left="799" w:right="-6" w:hanging="799"/>
        <w:jc w:val="both"/>
        <w:rPr>
          <w:rFonts w:ascii="Cambria" w:hAnsi="Cambria" w:cs="Cambria"/>
          <w:u w:color="0000FF"/>
          <w:lang w:val="en-GB"/>
        </w:rPr>
      </w:pPr>
      <w:proofErr w:type="spellStart"/>
      <w:r>
        <w:rPr>
          <w:rFonts w:ascii="Cambria" w:hAnsi="Cambria" w:cs="Cambria"/>
          <w:u w:color="0000FF"/>
          <w:lang w:val="en-GB"/>
        </w:rPr>
        <w:t>Kijtham</w:t>
      </w:r>
      <w:proofErr w:type="spellEnd"/>
      <w:r>
        <w:rPr>
          <w:rFonts w:ascii="Cambria" w:hAnsi="Cambria" w:cs="Cambria"/>
          <w:u w:color="0000FF"/>
          <w:lang w:val="en-GB"/>
        </w:rPr>
        <w:t xml:space="preserve">, </w:t>
      </w:r>
      <w:proofErr w:type="spellStart"/>
      <w:r>
        <w:rPr>
          <w:rFonts w:ascii="Cambria" w:hAnsi="Cambria" w:cs="Cambria"/>
          <w:u w:color="0000FF"/>
          <w:lang w:val="en-GB"/>
        </w:rPr>
        <w:t>Rutt</w:t>
      </w:r>
      <w:proofErr w:type="spellEnd"/>
      <w:r>
        <w:rPr>
          <w:rFonts w:ascii="Cambria" w:hAnsi="Cambria" w:cs="Cambria"/>
          <w:u w:color="0000FF"/>
          <w:lang w:val="en-GB"/>
        </w:rPr>
        <w:t>. (2019). International Relation and Special Affairs of Disabilities Thailand. Thailand.</w:t>
      </w:r>
    </w:p>
    <w:p w14:paraId="66E54327"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u w:color="0000FF"/>
          <w:lang w:val="en-GB"/>
        </w:rPr>
      </w:pPr>
      <w:proofErr w:type="spellStart"/>
      <w:r>
        <w:rPr>
          <w:rFonts w:ascii="Cambria" w:hAnsi="Cambria" w:cs="Cambria"/>
          <w:u w:color="0000FF"/>
          <w:lang w:val="en-GB"/>
        </w:rPr>
        <w:t>Kunashakaran</w:t>
      </w:r>
      <w:proofErr w:type="spellEnd"/>
      <w:r>
        <w:rPr>
          <w:rFonts w:ascii="Cambria" w:hAnsi="Cambria" w:cs="Cambria"/>
          <w:u w:color="0000FF"/>
          <w:lang w:val="en-GB"/>
        </w:rPr>
        <w:t>, S. (2019). Disabled People’s Association. Singapore.</w:t>
      </w:r>
    </w:p>
    <w:p w14:paraId="044E1706" w14:textId="77777777" w:rsidR="00622BC0" w:rsidRDefault="00826C5A">
      <w:pPr>
        <w:widowControl w:val="0"/>
        <w:autoSpaceDE w:val="0"/>
        <w:autoSpaceDN w:val="0"/>
        <w:adjustRightInd w:val="0"/>
        <w:spacing w:before="240" w:after="240" w:line="276" w:lineRule="auto"/>
        <w:ind w:left="799" w:right="-6" w:hanging="799"/>
        <w:jc w:val="both"/>
        <w:rPr>
          <w:rFonts w:ascii="Cambria" w:hAnsi="Cambria" w:cs="Cambria"/>
          <w:u w:color="0000FF"/>
          <w:lang w:val="en-GB"/>
        </w:rPr>
      </w:pPr>
      <w:r>
        <w:rPr>
          <w:rFonts w:ascii="Cambria" w:hAnsi="Cambria" w:cs="Cambria"/>
          <w:u w:color="0000FF"/>
          <w:lang w:val="en-GB"/>
        </w:rPr>
        <w:t>Lee, OIC Mateo. (2019). National Council on Disability Affairs. The Philippines.</w:t>
      </w:r>
    </w:p>
    <w:p w14:paraId="42D5EB37" w14:textId="77777777" w:rsidR="00622BC0" w:rsidRDefault="00826C5A">
      <w:pPr>
        <w:widowControl w:val="0"/>
        <w:autoSpaceDE w:val="0"/>
        <w:autoSpaceDN w:val="0"/>
        <w:adjustRightInd w:val="0"/>
        <w:spacing w:before="240" w:after="240" w:line="276" w:lineRule="auto"/>
        <w:ind w:left="799" w:right="-6" w:hanging="799"/>
        <w:jc w:val="both"/>
        <w:rPr>
          <w:rFonts w:ascii="Cambria" w:hAnsi="Cambria" w:cs="Cambria"/>
          <w:u w:color="0000FF"/>
          <w:lang w:val="en-GB"/>
        </w:rPr>
      </w:pPr>
      <w:r>
        <w:rPr>
          <w:rFonts w:ascii="Cambria" w:hAnsi="Cambria" w:cs="Cambria"/>
          <w:u w:color="0000FF"/>
          <w:lang w:val="en-GB"/>
        </w:rPr>
        <w:t>Margo. (2019). Ministry of Social Affairs. Indonesia.</w:t>
      </w:r>
    </w:p>
    <w:p w14:paraId="23AD7300" w14:textId="77777777" w:rsidR="00622BC0" w:rsidRDefault="00826C5A">
      <w:pPr>
        <w:widowControl w:val="0"/>
        <w:autoSpaceDE w:val="0"/>
        <w:autoSpaceDN w:val="0"/>
        <w:adjustRightInd w:val="0"/>
        <w:spacing w:before="240" w:after="240" w:line="276" w:lineRule="auto"/>
        <w:ind w:left="799" w:right="-6" w:hanging="799"/>
        <w:jc w:val="both"/>
        <w:rPr>
          <w:rFonts w:ascii="Cambria" w:hAnsi="Cambria" w:cs="Cambria"/>
          <w:u w:color="0000FF"/>
          <w:lang w:val="en-GB"/>
        </w:rPr>
      </w:pPr>
      <w:proofErr w:type="spellStart"/>
      <w:r>
        <w:rPr>
          <w:rFonts w:ascii="Cambria" w:hAnsi="Cambria" w:cs="Cambria"/>
          <w:u w:color="0000FF"/>
          <w:lang w:val="en-GB"/>
        </w:rPr>
        <w:t>Mulati</w:t>
      </w:r>
      <w:proofErr w:type="spellEnd"/>
      <w:r>
        <w:rPr>
          <w:rFonts w:ascii="Cambria" w:hAnsi="Cambria" w:cs="Cambria"/>
          <w:u w:color="0000FF"/>
          <w:lang w:val="en-GB"/>
        </w:rPr>
        <w:t>, Erna. (2019). Director of Family Health, Ministry of Health. Indonesia.</w:t>
      </w:r>
    </w:p>
    <w:p w14:paraId="50218E8E" w14:textId="77777777" w:rsidR="00622BC0" w:rsidRDefault="00826C5A">
      <w:pPr>
        <w:widowControl w:val="0"/>
        <w:autoSpaceDE w:val="0"/>
        <w:autoSpaceDN w:val="0"/>
        <w:adjustRightInd w:val="0"/>
        <w:spacing w:before="240" w:after="240" w:line="276" w:lineRule="auto"/>
        <w:ind w:left="799" w:right="-6" w:hanging="799"/>
        <w:jc w:val="both"/>
        <w:rPr>
          <w:rFonts w:ascii="Cambria" w:hAnsi="Cambria" w:cs="Cambria"/>
          <w:u w:color="0000FF"/>
          <w:lang w:val="en-GB"/>
        </w:rPr>
      </w:pPr>
      <w:r>
        <w:rPr>
          <w:rFonts w:ascii="Cambria" w:hAnsi="Cambria" w:cs="Cambria"/>
          <w:u w:color="0000FF"/>
          <w:lang w:val="en-GB"/>
        </w:rPr>
        <w:t xml:space="preserve">New, </w:t>
      </w:r>
      <w:proofErr w:type="spellStart"/>
      <w:r>
        <w:rPr>
          <w:rFonts w:ascii="Cambria" w:hAnsi="Cambria" w:cs="Cambria"/>
          <w:u w:color="0000FF"/>
          <w:lang w:val="en-GB"/>
        </w:rPr>
        <w:t>Emerito</w:t>
      </w:r>
      <w:proofErr w:type="spellEnd"/>
      <w:r>
        <w:rPr>
          <w:rFonts w:ascii="Cambria" w:hAnsi="Cambria" w:cs="Cambria"/>
          <w:u w:color="0000FF"/>
          <w:lang w:val="en-GB"/>
        </w:rPr>
        <w:t xml:space="preserve"> Rojas. (2019). </w:t>
      </w:r>
      <w:proofErr w:type="spellStart"/>
      <w:r>
        <w:rPr>
          <w:rFonts w:ascii="Cambria" w:hAnsi="Cambria" w:cs="Cambria"/>
          <w:u w:color="0000FF"/>
          <w:lang w:val="en-GB"/>
        </w:rPr>
        <w:t>Vois</w:t>
      </w:r>
      <w:proofErr w:type="spellEnd"/>
      <w:r>
        <w:rPr>
          <w:rFonts w:ascii="Cambria" w:hAnsi="Cambria" w:cs="Cambria"/>
          <w:u w:color="0000FF"/>
          <w:lang w:val="en-GB"/>
        </w:rPr>
        <w:t xml:space="preserve"> Association of the Philippines. The Philippines.</w:t>
      </w:r>
    </w:p>
    <w:p w14:paraId="3266C955" w14:textId="77777777" w:rsidR="00622BC0" w:rsidRDefault="00826C5A">
      <w:pPr>
        <w:widowControl w:val="0"/>
        <w:autoSpaceDE w:val="0"/>
        <w:autoSpaceDN w:val="0"/>
        <w:adjustRightInd w:val="0"/>
        <w:spacing w:before="240" w:after="240" w:line="276" w:lineRule="auto"/>
        <w:ind w:left="799" w:right="-6" w:hanging="799"/>
        <w:jc w:val="both"/>
        <w:rPr>
          <w:rFonts w:ascii="Cambria" w:hAnsi="Cambria" w:cs="Cambria"/>
          <w:u w:color="0000FF"/>
          <w:lang w:val="en-GB"/>
        </w:rPr>
      </w:pPr>
      <w:proofErr w:type="spellStart"/>
      <w:r>
        <w:rPr>
          <w:rFonts w:ascii="Cambria" w:hAnsi="Cambria" w:cs="Cambria"/>
          <w:u w:color="0000FF"/>
          <w:lang w:val="en-GB"/>
        </w:rPr>
        <w:t>Ngadirin</w:t>
      </w:r>
      <w:proofErr w:type="spellEnd"/>
      <w:r>
        <w:rPr>
          <w:rFonts w:ascii="Cambria" w:hAnsi="Cambria" w:cs="Cambria"/>
          <w:u w:color="0000FF"/>
          <w:lang w:val="en-GB"/>
        </w:rPr>
        <w:t>. (2019). Chief of Section of Inclusive Education, Ministry of Education. Indonesia.</w:t>
      </w:r>
    </w:p>
    <w:p w14:paraId="2C46A35D" w14:textId="77777777" w:rsidR="00622BC0" w:rsidRDefault="00826C5A">
      <w:pPr>
        <w:widowControl w:val="0"/>
        <w:autoSpaceDE w:val="0"/>
        <w:autoSpaceDN w:val="0"/>
        <w:adjustRightInd w:val="0"/>
        <w:spacing w:before="240" w:after="240" w:line="276" w:lineRule="auto"/>
        <w:ind w:left="799" w:right="-6" w:hanging="799"/>
        <w:jc w:val="both"/>
        <w:rPr>
          <w:rFonts w:ascii="Cambria" w:hAnsi="Cambria" w:cs="Cambria"/>
          <w:u w:color="0000FF"/>
          <w:lang w:val="en-GB"/>
        </w:rPr>
      </w:pPr>
      <w:proofErr w:type="spellStart"/>
      <w:r>
        <w:rPr>
          <w:rFonts w:ascii="Cambria" w:hAnsi="Cambria" w:cs="Cambria"/>
          <w:u w:color="0000FF"/>
          <w:lang w:val="en-GB"/>
        </w:rPr>
        <w:t>Ratanasakorn</w:t>
      </w:r>
      <w:proofErr w:type="spellEnd"/>
      <w:r>
        <w:rPr>
          <w:rFonts w:ascii="Cambria" w:hAnsi="Cambria" w:cs="Cambria"/>
          <w:u w:color="0000FF"/>
          <w:lang w:val="en-GB"/>
        </w:rPr>
        <w:t xml:space="preserve">, </w:t>
      </w:r>
      <w:proofErr w:type="spellStart"/>
      <w:r>
        <w:rPr>
          <w:rFonts w:ascii="Cambria" w:hAnsi="Cambria" w:cs="Cambria"/>
          <w:u w:color="0000FF"/>
          <w:lang w:val="en-GB"/>
        </w:rPr>
        <w:t>Samart</w:t>
      </w:r>
      <w:proofErr w:type="spellEnd"/>
      <w:r>
        <w:rPr>
          <w:rFonts w:ascii="Cambria" w:hAnsi="Cambria" w:cs="Cambria"/>
          <w:u w:color="0000FF"/>
          <w:lang w:val="en-GB"/>
        </w:rPr>
        <w:t>. (2019). Bureau of Education Administration. Thailand.</w:t>
      </w:r>
    </w:p>
    <w:p w14:paraId="2CF5E653" w14:textId="77777777" w:rsidR="00622BC0" w:rsidRDefault="00826C5A">
      <w:pPr>
        <w:widowControl w:val="0"/>
        <w:autoSpaceDE w:val="0"/>
        <w:autoSpaceDN w:val="0"/>
        <w:adjustRightInd w:val="0"/>
        <w:spacing w:before="240" w:after="240" w:line="276" w:lineRule="auto"/>
        <w:ind w:left="799" w:right="-6" w:hanging="799"/>
        <w:jc w:val="both"/>
        <w:rPr>
          <w:rFonts w:ascii="Cambria" w:hAnsi="Cambria" w:cs="Cambria"/>
          <w:u w:color="0000FF"/>
          <w:lang w:val="en-GB"/>
        </w:rPr>
      </w:pPr>
      <w:r>
        <w:rPr>
          <w:rFonts w:ascii="Cambria" w:hAnsi="Cambria" w:cs="Cambria"/>
          <w:u w:color="0000FF"/>
          <w:lang w:val="en-GB"/>
        </w:rPr>
        <w:t>Silva, Jaime. (2019). United Architects of the Philippines. The Philippines.</w:t>
      </w:r>
    </w:p>
    <w:p w14:paraId="7091D930" w14:textId="77777777" w:rsidR="00622BC0" w:rsidRDefault="00826C5A">
      <w:pPr>
        <w:widowControl w:val="0"/>
        <w:autoSpaceDE w:val="0"/>
        <w:autoSpaceDN w:val="0"/>
        <w:adjustRightInd w:val="0"/>
        <w:spacing w:after="200" w:line="276" w:lineRule="auto"/>
        <w:ind w:left="799" w:right="-6" w:hanging="799"/>
        <w:jc w:val="both"/>
        <w:rPr>
          <w:rFonts w:ascii="Cambria" w:hAnsi="Cambria" w:cs="Cambria"/>
          <w:u w:color="0000FF"/>
          <w:lang w:val="en-GB"/>
        </w:rPr>
      </w:pPr>
      <w:r>
        <w:rPr>
          <w:rFonts w:ascii="Cambria" w:hAnsi="Cambria" w:cs="Cambria"/>
          <w:u w:color="0000FF"/>
          <w:lang w:val="en-GB"/>
        </w:rPr>
        <w:t>Tan, A. (2019). Director of Disabilities Office, Ministry of Social and Family Development. Singapore.</w:t>
      </w:r>
    </w:p>
    <w:p w14:paraId="2645FAE1" w14:textId="77777777" w:rsidR="00622BC0" w:rsidRDefault="00826C5A">
      <w:pPr>
        <w:widowControl w:val="0"/>
        <w:autoSpaceDE w:val="0"/>
        <w:autoSpaceDN w:val="0"/>
        <w:adjustRightInd w:val="0"/>
        <w:spacing w:before="240" w:after="240" w:line="276" w:lineRule="auto"/>
        <w:ind w:left="799" w:right="-6" w:hanging="799"/>
        <w:jc w:val="both"/>
        <w:rPr>
          <w:rFonts w:ascii="Cambria" w:hAnsi="Cambria" w:cs="Cambria"/>
          <w:u w:color="0000FF"/>
          <w:lang w:val="en-GB"/>
        </w:rPr>
      </w:pPr>
      <w:proofErr w:type="spellStart"/>
      <w:r>
        <w:rPr>
          <w:rFonts w:ascii="Cambria" w:hAnsi="Cambria" w:cs="Cambria"/>
          <w:u w:color="0000FF"/>
          <w:lang w:val="en-GB"/>
        </w:rPr>
        <w:t>Utami</w:t>
      </w:r>
      <w:proofErr w:type="spellEnd"/>
      <w:r>
        <w:rPr>
          <w:rFonts w:ascii="Cambria" w:hAnsi="Cambria" w:cs="Cambria"/>
          <w:u w:color="0000FF"/>
          <w:lang w:val="en-GB"/>
        </w:rPr>
        <w:t xml:space="preserve">, </w:t>
      </w:r>
      <w:proofErr w:type="spellStart"/>
      <w:r>
        <w:rPr>
          <w:rFonts w:ascii="Cambria" w:hAnsi="Cambria" w:cs="Cambria"/>
          <w:u w:color="0000FF"/>
          <w:lang w:val="en-GB"/>
        </w:rPr>
        <w:t>Risna</w:t>
      </w:r>
      <w:proofErr w:type="spellEnd"/>
      <w:r>
        <w:rPr>
          <w:rFonts w:ascii="Cambria" w:hAnsi="Cambria" w:cs="Cambria"/>
          <w:u w:color="0000FF"/>
          <w:lang w:val="en-GB"/>
        </w:rPr>
        <w:t xml:space="preserve">. (2019). </w:t>
      </w:r>
      <w:proofErr w:type="spellStart"/>
      <w:r>
        <w:rPr>
          <w:rFonts w:ascii="Cambria" w:hAnsi="Cambria" w:cs="Cambria"/>
          <w:u w:color="0000FF"/>
          <w:lang w:val="en-GB"/>
        </w:rPr>
        <w:t>Ohanna</w:t>
      </w:r>
      <w:proofErr w:type="spellEnd"/>
      <w:r>
        <w:rPr>
          <w:rFonts w:ascii="Cambria" w:hAnsi="Cambria" w:cs="Cambria"/>
          <w:u w:color="0000FF"/>
          <w:lang w:val="en-GB"/>
        </w:rPr>
        <w:t xml:space="preserve"> Executive Director. Indonesia.</w:t>
      </w:r>
    </w:p>
    <w:p w14:paraId="65B647B4" w14:textId="77777777" w:rsidR="00622BC0" w:rsidRDefault="00826C5A">
      <w:pPr>
        <w:widowControl w:val="0"/>
        <w:autoSpaceDE w:val="0"/>
        <w:autoSpaceDN w:val="0"/>
        <w:adjustRightInd w:val="0"/>
        <w:spacing w:after="200" w:line="276" w:lineRule="auto"/>
        <w:ind w:right="-6"/>
        <w:rPr>
          <w:rFonts w:ascii="Cambria" w:hAnsi="Cambria" w:cs="Cambria"/>
          <w:b/>
          <w:bCs/>
          <w:u w:color="0000FF"/>
          <w:lang w:val="en-GB"/>
        </w:rPr>
      </w:pPr>
      <w:r>
        <w:rPr>
          <w:rFonts w:ascii="Calibri" w:hAnsi="Calibri" w:cs="Calibri"/>
          <w:u w:color="0000FF"/>
          <w:lang w:val="en-GB"/>
        </w:rPr>
        <w:br w:type="page"/>
      </w:r>
    </w:p>
    <w:p w14:paraId="1CE9A68D" w14:textId="77777777" w:rsidR="00622BC0" w:rsidRDefault="00826C5A">
      <w:pPr>
        <w:widowControl w:val="0"/>
        <w:autoSpaceDE w:val="0"/>
        <w:autoSpaceDN w:val="0"/>
        <w:adjustRightInd w:val="0"/>
        <w:spacing w:line="276" w:lineRule="auto"/>
        <w:ind w:right="-6"/>
        <w:jc w:val="center"/>
        <w:rPr>
          <w:rFonts w:ascii="Cambria" w:hAnsi="Cambria" w:cs="Cambria"/>
          <w:color w:val="0E101A"/>
          <w:u w:color="0000FF"/>
          <w:lang w:val="en-GB"/>
        </w:rPr>
      </w:pPr>
      <w:r>
        <w:rPr>
          <w:rFonts w:ascii="Cambria" w:hAnsi="Cambria" w:cs="Cambria"/>
          <w:b/>
          <w:bCs/>
          <w:color w:val="0E101A"/>
          <w:u w:color="0000FF"/>
          <w:lang w:val="en-GB"/>
        </w:rPr>
        <w:t>Profile of Researchers</w:t>
      </w:r>
    </w:p>
    <w:p w14:paraId="4AA720C0" w14:textId="77777777" w:rsidR="00622BC0" w:rsidRDefault="00622BC0">
      <w:pPr>
        <w:widowControl w:val="0"/>
        <w:autoSpaceDE w:val="0"/>
        <w:autoSpaceDN w:val="0"/>
        <w:adjustRightInd w:val="0"/>
        <w:spacing w:line="276" w:lineRule="auto"/>
        <w:ind w:right="-6"/>
        <w:jc w:val="both"/>
        <w:rPr>
          <w:rFonts w:ascii="Cambria" w:hAnsi="Cambria" w:cs="Cambria"/>
          <w:color w:val="0E101A"/>
          <w:u w:color="0000FF"/>
          <w:lang w:val="en-GB"/>
        </w:rPr>
      </w:pPr>
    </w:p>
    <w:p w14:paraId="08A04211" w14:textId="77777777" w:rsidR="00622BC0" w:rsidRDefault="00622BC0">
      <w:pPr>
        <w:widowControl w:val="0"/>
        <w:autoSpaceDE w:val="0"/>
        <w:autoSpaceDN w:val="0"/>
        <w:adjustRightInd w:val="0"/>
        <w:spacing w:line="276" w:lineRule="auto"/>
        <w:ind w:right="-6"/>
        <w:jc w:val="both"/>
        <w:rPr>
          <w:rFonts w:ascii="Cambria" w:hAnsi="Cambria" w:cs="Cambria"/>
          <w:b/>
          <w:bCs/>
          <w:color w:val="0E101A"/>
          <w:u w:color="0000FF"/>
          <w:lang w:val="en-GB"/>
        </w:rPr>
      </w:pPr>
    </w:p>
    <w:p w14:paraId="07133143" w14:textId="77777777" w:rsidR="00622BC0" w:rsidRDefault="00826C5A">
      <w:pPr>
        <w:widowControl w:val="0"/>
        <w:autoSpaceDE w:val="0"/>
        <w:autoSpaceDN w:val="0"/>
        <w:adjustRightInd w:val="0"/>
        <w:spacing w:line="276" w:lineRule="auto"/>
        <w:ind w:right="-6"/>
        <w:jc w:val="both"/>
        <w:rPr>
          <w:rFonts w:ascii="Cambria" w:hAnsi="Cambria" w:cs="Cambria"/>
          <w:b/>
          <w:bCs/>
          <w:color w:val="0E101A"/>
          <w:u w:color="0000FF"/>
          <w:lang w:val="en-GB"/>
        </w:rPr>
      </w:pPr>
      <w:r>
        <w:rPr>
          <w:rFonts w:ascii="Cambria" w:hAnsi="Cambria" w:cs="Cambria"/>
          <w:b/>
          <w:bCs/>
          <w:color w:val="0E101A"/>
          <w:u w:color="0000FF"/>
          <w:lang w:val="en-GB"/>
        </w:rPr>
        <w:t xml:space="preserve">Ms. Mimi Mariana </w:t>
      </w:r>
      <w:proofErr w:type="spellStart"/>
      <w:r>
        <w:rPr>
          <w:rFonts w:ascii="Cambria" w:hAnsi="Cambria" w:cs="Cambria"/>
          <w:b/>
          <w:bCs/>
          <w:color w:val="0E101A"/>
          <w:u w:color="0000FF"/>
          <w:lang w:val="en-GB"/>
        </w:rPr>
        <w:t>Lusli</w:t>
      </w:r>
      <w:proofErr w:type="spellEnd"/>
      <w:r>
        <w:rPr>
          <w:rFonts w:ascii="Cambria" w:hAnsi="Cambria" w:cs="Cambria"/>
          <w:b/>
          <w:bCs/>
          <w:color w:val="0E101A"/>
          <w:u w:color="0000FF"/>
          <w:lang w:val="en-GB"/>
        </w:rPr>
        <w:t xml:space="preserve"> </w:t>
      </w:r>
    </w:p>
    <w:p w14:paraId="06559BD4" w14:textId="77777777" w:rsidR="00622BC0" w:rsidRDefault="00826C5A">
      <w:pPr>
        <w:widowControl w:val="0"/>
        <w:autoSpaceDE w:val="0"/>
        <w:autoSpaceDN w:val="0"/>
        <w:adjustRightInd w:val="0"/>
        <w:spacing w:line="276" w:lineRule="auto"/>
        <w:ind w:right="-6"/>
        <w:jc w:val="both"/>
        <w:rPr>
          <w:rFonts w:ascii="Cambria" w:hAnsi="Cambria" w:cs="Cambria"/>
          <w:color w:val="0E101A"/>
          <w:u w:color="0000FF"/>
          <w:lang w:val="en-GB"/>
        </w:rPr>
      </w:pPr>
      <w:r>
        <w:rPr>
          <w:rFonts w:ascii="Cambria" w:hAnsi="Cambria" w:cs="Cambria"/>
          <w:color w:val="0E101A"/>
          <w:u w:color="0000FF"/>
          <w:lang w:val="en-GB"/>
        </w:rPr>
        <w:t xml:space="preserve">She is a lead researcher of this baseline study, with visual impairment, who was born on 17 December 1962. She obtained an educational bachelor degree in IKIP </w:t>
      </w:r>
      <w:proofErr w:type="spellStart"/>
      <w:r>
        <w:rPr>
          <w:rFonts w:ascii="Cambria" w:hAnsi="Cambria" w:cs="Cambria"/>
          <w:color w:val="0E101A"/>
          <w:u w:color="0000FF"/>
          <w:lang w:val="en-GB"/>
        </w:rPr>
        <w:t>Sanata</w:t>
      </w:r>
      <w:proofErr w:type="spellEnd"/>
      <w:r>
        <w:rPr>
          <w:rFonts w:ascii="Cambria" w:hAnsi="Cambria" w:cs="Cambria"/>
          <w:color w:val="0E101A"/>
          <w:u w:color="0000FF"/>
          <w:lang w:val="en-GB"/>
        </w:rPr>
        <w:t xml:space="preserve"> Dharma Yogyakarta in 1989. Besides, she graduated from a postgraduate study on public administration at the University of Indonesia in 1995. She also receives another postgraduate degree for international communication from the University of Leeds of the United Kingdom in 2005 and a doctoral degree from Vrije University Amsterdam in 2016. Mimi </w:t>
      </w:r>
      <w:proofErr w:type="spellStart"/>
      <w:r>
        <w:rPr>
          <w:rFonts w:ascii="Cambria" w:hAnsi="Cambria" w:cs="Cambria"/>
          <w:color w:val="0E101A"/>
          <w:u w:color="0000FF"/>
          <w:lang w:val="en-GB"/>
        </w:rPr>
        <w:t>Lusli</w:t>
      </w:r>
      <w:proofErr w:type="spellEnd"/>
      <w:r>
        <w:rPr>
          <w:rFonts w:ascii="Cambria" w:hAnsi="Cambria" w:cs="Cambria"/>
          <w:color w:val="0E101A"/>
          <w:u w:color="0000FF"/>
          <w:lang w:val="en-GB"/>
        </w:rPr>
        <w:t xml:space="preserve"> serves as Director of Mimi Institute, education institution for children and adolescent with special needs and education for communities and families with disabilities. Mimi </w:t>
      </w:r>
      <w:proofErr w:type="spellStart"/>
      <w:r>
        <w:rPr>
          <w:rFonts w:ascii="Cambria" w:hAnsi="Cambria" w:cs="Cambria"/>
          <w:color w:val="0E101A"/>
          <w:u w:color="0000FF"/>
          <w:lang w:val="en-GB"/>
        </w:rPr>
        <w:t>Luslia</w:t>
      </w:r>
      <w:proofErr w:type="spellEnd"/>
      <w:r>
        <w:rPr>
          <w:rFonts w:ascii="Cambria" w:hAnsi="Cambria" w:cs="Cambria"/>
          <w:color w:val="0E101A"/>
          <w:u w:color="0000FF"/>
          <w:lang w:val="en-GB"/>
        </w:rPr>
        <w:t xml:space="preserve"> has also been teaching since 1994-2003 and 2017 until now in the Language and Education Faculty, </w:t>
      </w:r>
      <w:proofErr w:type="spellStart"/>
      <w:r>
        <w:rPr>
          <w:rFonts w:ascii="Cambria" w:hAnsi="Cambria" w:cs="Cambria"/>
          <w:color w:val="0E101A"/>
          <w:u w:color="0000FF"/>
          <w:lang w:val="en-GB"/>
        </w:rPr>
        <w:t>Unika</w:t>
      </w:r>
      <w:proofErr w:type="spellEnd"/>
      <w:r>
        <w:rPr>
          <w:rFonts w:ascii="Cambria" w:hAnsi="Cambria" w:cs="Cambria"/>
          <w:color w:val="0E101A"/>
          <w:u w:color="0000FF"/>
          <w:lang w:val="en-GB"/>
        </w:rPr>
        <w:t xml:space="preserve"> </w:t>
      </w:r>
      <w:proofErr w:type="spellStart"/>
      <w:r>
        <w:rPr>
          <w:rFonts w:ascii="Cambria" w:hAnsi="Cambria" w:cs="Cambria"/>
          <w:color w:val="0E101A"/>
          <w:u w:color="0000FF"/>
          <w:lang w:val="en-GB"/>
        </w:rPr>
        <w:t>Atma</w:t>
      </w:r>
      <w:proofErr w:type="spellEnd"/>
      <w:r>
        <w:rPr>
          <w:rFonts w:ascii="Cambria" w:hAnsi="Cambria" w:cs="Cambria"/>
          <w:color w:val="0E101A"/>
          <w:u w:color="0000FF"/>
          <w:lang w:val="en-GB"/>
        </w:rPr>
        <w:t xml:space="preserve"> Jaya, Jakarta, Indonesia. She contributes actively in the Indonesian Association of Women with Disabilities as part of the organizing committee. </w:t>
      </w:r>
    </w:p>
    <w:p w14:paraId="1D47C83E" w14:textId="77777777" w:rsidR="00622BC0" w:rsidRDefault="00622BC0">
      <w:pPr>
        <w:widowControl w:val="0"/>
        <w:autoSpaceDE w:val="0"/>
        <w:autoSpaceDN w:val="0"/>
        <w:adjustRightInd w:val="0"/>
        <w:spacing w:line="276" w:lineRule="auto"/>
        <w:ind w:right="-6"/>
        <w:jc w:val="both"/>
        <w:rPr>
          <w:rFonts w:ascii="Cambria" w:hAnsi="Cambria" w:cs="Cambria"/>
          <w:color w:val="0E101A"/>
          <w:u w:color="0000FF"/>
          <w:lang w:val="en-GB"/>
        </w:rPr>
      </w:pPr>
    </w:p>
    <w:p w14:paraId="65D9BD26" w14:textId="77777777" w:rsidR="00622BC0" w:rsidRDefault="00826C5A">
      <w:pPr>
        <w:widowControl w:val="0"/>
        <w:autoSpaceDE w:val="0"/>
        <w:autoSpaceDN w:val="0"/>
        <w:adjustRightInd w:val="0"/>
        <w:spacing w:line="276" w:lineRule="auto"/>
        <w:ind w:right="-6"/>
        <w:jc w:val="both"/>
        <w:rPr>
          <w:rFonts w:ascii="Cambria" w:hAnsi="Cambria" w:cs="Cambria"/>
          <w:color w:val="0E101A"/>
          <w:u w:color="0000FF"/>
          <w:lang w:val="en-GB"/>
        </w:rPr>
      </w:pPr>
      <w:r>
        <w:rPr>
          <w:rFonts w:ascii="Cambria" w:hAnsi="Cambria" w:cs="Cambria"/>
          <w:b/>
          <w:bCs/>
          <w:color w:val="0E101A"/>
          <w:u w:color="0000FF"/>
        </w:rPr>
        <w:t>Ms.</w:t>
      </w:r>
      <w:r>
        <w:rPr>
          <w:rFonts w:ascii="Cambria" w:hAnsi="Cambria" w:cs="Cambria"/>
          <w:b/>
          <w:bCs/>
          <w:color w:val="0E101A"/>
          <w:u w:color="0000FF"/>
          <w:lang w:val="en-GB"/>
        </w:rPr>
        <w:t xml:space="preserve">. </w:t>
      </w:r>
      <w:proofErr w:type="spellStart"/>
      <w:r>
        <w:rPr>
          <w:rFonts w:ascii="Cambria" w:hAnsi="Cambria" w:cs="Cambria"/>
          <w:b/>
          <w:bCs/>
          <w:color w:val="0E101A"/>
          <w:u w:color="0000FF"/>
          <w:lang w:val="en-GB"/>
        </w:rPr>
        <w:t>Nantanoot</w:t>
      </w:r>
      <w:proofErr w:type="spellEnd"/>
      <w:r>
        <w:rPr>
          <w:rFonts w:ascii="Cambria" w:hAnsi="Cambria" w:cs="Cambria"/>
          <w:b/>
          <w:bCs/>
          <w:color w:val="0E101A"/>
          <w:u w:color="0000FF"/>
          <w:lang w:val="en-GB"/>
        </w:rPr>
        <w:t xml:space="preserve"> </w:t>
      </w:r>
      <w:proofErr w:type="spellStart"/>
      <w:r>
        <w:rPr>
          <w:rFonts w:ascii="Cambria" w:hAnsi="Cambria" w:cs="Cambria"/>
          <w:b/>
          <w:bCs/>
          <w:color w:val="0E101A"/>
          <w:u w:color="0000FF"/>
          <w:lang w:val="en-GB"/>
        </w:rPr>
        <w:t>Suwannawut</w:t>
      </w:r>
      <w:proofErr w:type="spellEnd"/>
      <w:r>
        <w:rPr>
          <w:rFonts w:ascii="Cambria" w:hAnsi="Cambria" w:cs="Cambria"/>
          <w:color w:val="0E101A"/>
          <w:u w:color="0000FF"/>
          <w:lang w:val="en-GB"/>
        </w:rPr>
        <w:t xml:space="preserve"> </w:t>
      </w:r>
    </w:p>
    <w:p w14:paraId="6D3A57B5" w14:textId="77777777" w:rsidR="00622BC0" w:rsidRDefault="00826C5A">
      <w:pPr>
        <w:widowControl w:val="0"/>
        <w:autoSpaceDE w:val="0"/>
        <w:autoSpaceDN w:val="0"/>
        <w:adjustRightInd w:val="0"/>
        <w:spacing w:line="276" w:lineRule="auto"/>
        <w:ind w:right="-6"/>
        <w:jc w:val="both"/>
        <w:rPr>
          <w:rFonts w:ascii="Cambria" w:hAnsi="Cambria" w:cs="Cambria"/>
          <w:color w:val="0E101A"/>
          <w:u w:color="0000FF"/>
          <w:lang w:val="en-GB"/>
        </w:rPr>
      </w:pPr>
      <w:r>
        <w:rPr>
          <w:rFonts w:ascii="Cambria" w:hAnsi="Cambria" w:cs="Cambria"/>
          <w:color w:val="0E101A"/>
          <w:u w:color="0000FF"/>
          <w:lang w:val="en-GB"/>
        </w:rPr>
        <w:t xml:space="preserve">She is a researcher at the Bureau of Special Education Administration, Thailand Ministry of Education, where she has been working on the issues of inclusive education and access technologies for persons with disabilities. She also guides academic researchers and practitioners in areas of disability employment and barrier-free society and inclusion. </w:t>
      </w:r>
      <w:proofErr w:type="spellStart"/>
      <w:r>
        <w:rPr>
          <w:rFonts w:ascii="Cambria" w:hAnsi="Cambria" w:cs="Cambria"/>
          <w:color w:val="0E101A"/>
          <w:u w:color="0000FF"/>
          <w:lang w:val="en-GB"/>
        </w:rPr>
        <w:t>Dr.</w:t>
      </w:r>
      <w:proofErr w:type="spellEnd"/>
      <w:r>
        <w:rPr>
          <w:rFonts w:ascii="Cambria" w:hAnsi="Cambria" w:cs="Cambria"/>
          <w:color w:val="0E101A"/>
          <w:u w:color="0000FF"/>
          <w:lang w:val="en-GB"/>
        </w:rPr>
        <w:t xml:space="preserve"> </w:t>
      </w:r>
      <w:proofErr w:type="spellStart"/>
      <w:r>
        <w:rPr>
          <w:rFonts w:ascii="Cambria" w:hAnsi="Cambria" w:cs="Cambria"/>
          <w:color w:val="0E101A"/>
          <w:u w:color="0000FF"/>
          <w:lang w:val="en-GB"/>
        </w:rPr>
        <w:t>Suwannawut</w:t>
      </w:r>
      <w:proofErr w:type="spellEnd"/>
      <w:r>
        <w:rPr>
          <w:rFonts w:ascii="Cambria" w:hAnsi="Cambria" w:cs="Cambria"/>
          <w:color w:val="0E101A"/>
          <w:u w:color="0000FF"/>
          <w:lang w:val="en-GB"/>
        </w:rPr>
        <w:t xml:space="preserve"> is one of the critical leaders of Thailand Association of the Blind and has served in several advisory committees such as The Promotion of information access for persons with visual impairments and print disability programme. She has been appointed to help many projects, such as digital TV and telecommunications for persons with disabilities. Her areas of specialisation are information accessibility, especially educational media production and Human-Computer Interaction (HCI). Besides, she was joining the team of Thailand Safe School network and got involved in DRR projects. She also has been elected as the ASEAN sub-regional chair of the World Blind Union.</w:t>
      </w:r>
    </w:p>
    <w:p w14:paraId="11C118C0" w14:textId="77777777" w:rsidR="00622BC0" w:rsidRDefault="00622BC0">
      <w:pPr>
        <w:widowControl w:val="0"/>
        <w:autoSpaceDE w:val="0"/>
        <w:autoSpaceDN w:val="0"/>
        <w:adjustRightInd w:val="0"/>
        <w:spacing w:line="276" w:lineRule="auto"/>
        <w:ind w:right="-6"/>
        <w:jc w:val="both"/>
        <w:rPr>
          <w:rFonts w:ascii="Cambria" w:hAnsi="Cambria" w:cs="Cambria"/>
          <w:b/>
          <w:bCs/>
          <w:color w:val="0E101A"/>
          <w:u w:color="0000FF"/>
          <w:lang w:val="en-GB"/>
        </w:rPr>
      </w:pPr>
    </w:p>
    <w:p w14:paraId="37DF3845" w14:textId="77777777" w:rsidR="00622BC0" w:rsidRDefault="00826C5A">
      <w:pPr>
        <w:widowControl w:val="0"/>
        <w:autoSpaceDE w:val="0"/>
        <w:autoSpaceDN w:val="0"/>
        <w:adjustRightInd w:val="0"/>
        <w:spacing w:line="276" w:lineRule="auto"/>
        <w:ind w:right="-6"/>
        <w:jc w:val="both"/>
        <w:rPr>
          <w:rFonts w:ascii="Cambria" w:hAnsi="Cambria" w:cs="Cambria"/>
          <w:color w:val="0E101A"/>
          <w:u w:color="0000FF"/>
          <w:lang w:val="en-GB"/>
        </w:rPr>
      </w:pPr>
      <w:r>
        <w:rPr>
          <w:rFonts w:ascii="Cambria" w:hAnsi="Cambria" w:cs="Cambria"/>
          <w:b/>
          <w:bCs/>
          <w:color w:val="0E101A"/>
          <w:u w:color="0000FF"/>
          <w:lang w:val="en-GB"/>
        </w:rPr>
        <w:t>Mr. Lim Chao Thong</w:t>
      </w:r>
    </w:p>
    <w:p w14:paraId="097E8397" w14:textId="77777777" w:rsidR="00622BC0" w:rsidRDefault="00826C5A">
      <w:pPr>
        <w:widowControl w:val="0"/>
        <w:autoSpaceDE w:val="0"/>
        <w:autoSpaceDN w:val="0"/>
        <w:adjustRightInd w:val="0"/>
        <w:spacing w:line="276" w:lineRule="auto"/>
        <w:ind w:right="-6"/>
        <w:jc w:val="both"/>
        <w:rPr>
          <w:rFonts w:ascii="Cambria" w:hAnsi="Cambria" w:cs="Cambria"/>
          <w:color w:val="0E101A"/>
          <w:u w:color="0000FF"/>
          <w:lang w:val="en-GB"/>
        </w:rPr>
      </w:pPr>
      <w:r>
        <w:rPr>
          <w:rFonts w:ascii="Cambria" w:hAnsi="Cambria" w:cs="Cambria"/>
          <w:color w:val="0E101A"/>
          <w:u w:color="0000FF"/>
          <w:lang w:val="en-GB"/>
        </w:rPr>
        <w:t xml:space="preserve">Lim Chao Thong has a total loss of vision in his left eye, is a data collector for the ASEAN Disability Forum, who is occupied currently as undergraduate studying psychology. In his free time, he likes to read books and various web novels. He is also always thinking of the next destination to travel later. </w:t>
      </w:r>
    </w:p>
    <w:p w14:paraId="558AE722" w14:textId="77777777" w:rsidR="00622BC0" w:rsidRDefault="00622BC0">
      <w:pPr>
        <w:widowControl w:val="0"/>
        <w:autoSpaceDE w:val="0"/>
        <w:autoSpaceDN w:val="0"/>
        <w:adjustRightInd w:val="0"/>
        <w:spacing w:line="276" w:lineRule="auto"/>
        <w:ind w:right="-6"/>
        <w:jc w:val="both"/>
        <w:rPr>
          <w:rFonts w:ascii="Cambria" w:hAnsi="Cambria" w:cs="Cambria"/>
          <w:color w:val="0E101A"/>
          <w:u w:color="0000FF"/>
          <w:lang w:val="en-GB"/>
        </w:rPr>
      </w:pPr>
    </w:p>
    <w:p w14:paraId="4CD1F4CB" w14:textId="77777777" w:rsidR="00622BC0" w:rsidRDefault="00826C5A">
      <w:pPr>
        <w:widowControl w:val="0"/>
        <w:autoSpaceDE w:val="0"/>
        <w:autoSpaceDN w:val="0"/>
        <w:adjustRightInd w:val="0"/>
        <w:spacing w:line="276" w:lineRule="auto"/>
        <w:ind w:right="-6"/>
        <w:jc w:val="both"/>
        <w:rPr>
          <w:rFonts w:ascii="Cambria" w:hAnsi="Cambria" w:cs="Cambria"/>
          <w:b/>
          <w:bCs/>
          <w:color w:val="0E101A"/>
          <w:u w:color="0000FF"/>
          <w:lang w:val="en-GB"/>
        </w:rPr>
      </w:pPr>
      <w:r>
        <w:rPr>
          <w:rFonts w:ascii="Cambria" w:hAnsi="Cambria" w:cs="Cambria"/>
          <w:b/>
          <w:bCs/>
          <w:color w:val="0E101A"/>
          <w:u w:color="0000FF"/>
          <w:lang w:val="en-GB"/>
        </w:rPr>
        <w:t>Ms. Della L. Leonor</w:t>
      </w:r>
    </w:p>
    <w:p w14:paraId="2DA8E9BD" w14:textId="77777777" w:rsidR="00622BC0" w:rsidRDefault="00826C5A">
      <w:pPr>
        <w:widowControl w:val="0"/>
        <w:autoSpaceDE w:val="0"/>
        <w:autoSpaceDN w:val="0"/>
        <w:adjustRightInd w:val="0"/>
        <w:spacing w:line="276" w:lineRule="auto"/>
        <w:ind w:right="-6"/>
        <w:jc w:val="both"/>
        <w:rPr>
          <w:rFonts w:ascii="Cambria" w:hAnsi="Cambria" w:cs="Cambria"/>
          <w:color w:val="0E101A"/>
          <w:u w:color="0000FF"/>
          <w:lang w:val="en-GB"/>
        </w:rPr>
      </w:pPr>
      <w:r>
        <w:rPr>
          <w:rFonts w:ascii="Cambria" w:hAnsi="Cambria" w:cs="Cambria"/>
          <w:color w:val="0E101A"/>
          <w:u w:color="0000FF"/>
          <w:lang w:val="en-GB"/>
        </w:rPr>
        <w:t xml:space="preserve">Ms. Leonor is the President of BUB </w:t>
      </w:r>
      <w:proofErr w:type="spellStart"/>
      <w:r>
        <w:rPr>
          <w:rFonts w:ascii="Cambria" w:hAnsi="Cambria" w:cs="Cambria"/>
          <w:color w:val="0E101A"/>
          <w:u w:color="0000FF"/>
          <w:lang w:val="en-GB"/>
        </w:rPr>
        <w:t>Agila</w:t>
      </w:r>
      <w:proofErr w:type="spellEnd"/>
      <w:r>
        <w:rPr>
          <w:rFonts w:ascii="Cambria" w:hAnsi="Cambria" w:cs="Cambria"/>
          <w:color w:val="0E101A"/>
          <w:u w:color="0000FF"/>
          <w:lang w:val="en-GB"/>
        </w:rPr>
        <w:t xml:space="preserve"> Association, </w:t>
      </w:r>
      <w:proofErr w:type="spellStart"/>
      <w:r>
        <w:rPr>
          <w:rFonts w:ascii="Cambria" w:hAnsi="Cambria" w:cs="Cambria"/>
          <w:color w:val="0E101A"/>
          <w:u w:color="0000FF"/>
          <w:lang w:val="en-GB"/>
        </w:rPr>
        <w:t>Roxas</w:t>
      </w:r>
      <w:proofErr w:type="spellEnd"/>
      <w:r>
        <w:rPr>
          <w:rFonts w:ascii="Cambria" w:hAnsi="Cambria" w:cs="Cambria"/>
          <w:color w:val="0E101A"/>
          <w:u w:color="0000FF"/>
          <w:lang w:val="en-GB"/>
        </w:rPr>
        <w:t xml:space="preserve"> City, in the Philippines. She has been a Provincial Focal Person </w:t>
      </w:r>
      <w:proofErr w:type="spellStart"/>
      <w:r>
        <w:rPr>
          <w:rFonts w:ascii="Cambria" w:hAnsi="Cambria" w:cs="Cambria"/>
          <w:color w:val="0E101A"/>
          <w:u w:color="0000FF"/>
          <w:lang w:val="en-GB"/>
        </w:rPr>
        <w:t>Capiz</w:t>
      </w:r>
      <w:proofErr w:type="spellEnd"/>
      <w:r>
        <w:rPr>
          <w:rFonts w:ascii="Cambria" w:hAnsi="Cambria" w:cs="Cambria"/>
          <w:color w:val="0E101A"/>
          <w:u w:color="0000FF"/>
          <w:lang w:val="en-GB"/>
        </w:rPr>
        <w:t xml:space="preserve"> for The National Anti-Poverty Commission 2O14-2O16, the Open government steering committee Member 2O16-2O18, and an English online teacher of 51 Talk in China. She has been involved as a researcher for the baseline study project on SDGs-CRPD Implementation in ASEAN Countries with ASEAN Disability Forum in 2019. Also, she has been a Programme Associate Institute on Disability and Public Policy Master Degree graduate of International Affairs, at American University, USA.</w:t>
      </w:r>
    </w:p>
    <w:p w14:paraId="441BB0E8" w14:textId="77777777" w:rsidR="00622BC0" w:rsidRDefault="00622BC0">
      <w:pPr>
        <w:widowControl w:val="0"/>
        <w:autoSpaceDE w:val="0"/>
        <w:autoSpaceDN w:val="0"/>
        <w:adjustRightInd w:val="0"/>
        <w:spacing w:line="276" w:lineRule="auto"/>
        <w:ind w:right="-6"/>
        <w:jc w:val="both"/>
        <w:rPr>
          <w:rFonts w:ascii="Cambria" w:hAnsi="Cambria" w:cs="Cambria"/>
          <w:b/>
          <w:bCs/>
          <w:color w:val="0E101A"/>
          <w:u w:color="0000FF"/>
          <w:lang w:val="en-GB"/>
        </w:rPr>
      </w:pPr>
    </w:p>
    <w:p w14:paraId="755E856D" w14:textId="77777777" w:rsidR="00622BC0" w:rsidRDefault="00826C5A">
      <w:pPr>
        <w:widowControl w:val="0"/>
        <w:autoSpaceDE w:val="0"/>
        <w:autoSpaceDN w:val="0"/>
        <w:adjustRightInd w:val="0"/>
        <w:spacing w:line="276" w:lineRule="auto"/>
        <w:ind w:right="-6"/>
        <w:jc w:val="both"/>
        <w:rPr>
          <w:rFonts w:ascii="Cambria" w:hAnsi="Cambria" w:cs="Cambria"/>
          <w:b/>
          <w:bCs/>
          <w:color w:val="0E101A"/>
          <w:u w:color="0000FF"/>
          <w:lang w:val="en-GB"/>
        </w:rPr>
      </w:pPr>
      <w:r>
        <w:rPr>
          <w:rFonts w:ascii="Cambria" w:hAnsi="Cambria" w:cs="Cambria"/>
          <w:b/>
          <w:bCs/>
          <w:color w:val="0E101A"/>
          <w:u w:color="0000FF"/>
          <w:lang w:val="en-GB"/>
        </w:rPr>
        <w:t xml:space="preserve">Mr. Abdullah </w:t>
      </w:r>
      <w:proofErr w:type="spellStart"/>
      <w:r>
        <w:rPr>
          <w:rFonts w:ascii="Cambria" w:hAnsi="Cambria" w:cs="Cambria"/>
          <w:b/>
          <w:bCs/>
          <w:color w:val="0E101A"/>
          <w:u w:color="0000FF"/>
          <w:lang w:val="en-GB"/>
        </w:rPr>
        <w:t>Fikri</w:t>
      </w:r>
      <w:proofErr w:type="spellEnd"/>
    </w:p>
    <w:p w14:paraId="46319BEF" w14:textId="77777777" w:rsidR="00622BC0" w:rsidRDefault="00826C5A">
      <w:pPr>
        <w:widowControl w:val="0"/>
        <w:autoSpaceDE w:val="0"/>
        <w:autoSpaceDN w:val="0"/>
        <w:adjustRightInd w:val="0"/>
        <w:spacing w:line="276" w:lineRule="auto"/>
        <w:ind w:right="-6"/>
        <w:jc w:val="both"/>
        <w:rPr>
          <w:rFonts w:ascii="Cambria" w:hAnsi="Cambria" w:cs="Cambria"/>
          <w:color w:val="0E101A"/>
          <w:u w:color="0000FF"/>
          <w:lang w:val="en-GB"/>
        </w:rPr>
      </w:pPr>
      <w:r>
        <w:rPr>
          <w:rFonts w:ascii="Cambria" w:hAnsi="Cambria" w:cs="Cambria"/>
          <w:color w:val="0E101A"/>
          <w:u w:color="0000FF"/>
          <w:lang w:val="en-GB"/>
        </w:rPr>
        <w:t xml:space="preserve">He obtained a Master of Islamic Studies and worked as Researcher Assistant of Disabilities Services Centre of UIN </w:t>
      </w:r>
      <w:proofErr w:type="spellStart"/>
      <w:r>
        <w:rPr>
          <w:rFonts w:ascii="Cambria" w:hAnsi="Cambria" w:cs="Cambria"/>
          <w:color w:val="0E101A"/>
          <w:u w:color="0000FF"/>
          <w:lang w:val="en-GB"/>
        </w:rPr>
        <w:t>Sunan</w:t>
      </w:r>
      <w:proofErr w:type="spellEnd"/>
      <w:r>
        <w:rPr>
          <w:rFonts w:ascii="Cambria" w:hAnsi="Cambria" w:cs="Cambria"/>
          <w:color w:val="0E101A"/>
          <w:u w:color="0000FF"/>
          <w:lang w:val="en-GB"/>
        </w:rPr>
        <w:t xml:space="preserve"> </w:t>
      </w:r>
      <w:proofErr w:type="spellStart"/>
      <w:r>
        <w:rPr>
          <w:rFonts w:ascii="Cambria" w:hAnsi="Cambria" w:cs="Cambria"/>
          <w:color w:val="0E101A"/>
          <w:u w:color="0000FF"/>
          <w:lang w:val="en-GB"/>
        </w:rPr>
        <w:t>Kalijaga</w:t>
      </w:r>
      <w:proofErr w:type="spellEnd"/>
      <w:r>
        <w:rPr>
          <w:rFonts w:ascii="Cambria" w:hAnsi="Cambria" w:cs="Cambria"/>
          <w:color w:val="0E101A"/>
          <w:u w:color="0000FF"/>
          <w:lang w:val="en-GB"/>
        </w:rPr>
        <w:t>, Yogyakarta (2016-2018). Coordinator of the academic development programme of students with disabilities and inclusive volunteerism at Centre of Disabilities Services. Researching on disablement-politics studies, inclusive social studies, public policies, disability-Islamic studies, and disabilities studies (Interdisciplinary Disabilities Studies). Founder-researcher of the Centre for Inclusion Studies and Advocacy (2018 until now).</w:t>
      </w:r>
    </w:p>
    <w:p w14:paraId="78380B0B" w14:textId="77777777" w:rsidR="00622BC0" w:rsidRDefault="00622BC0">
      <w:pPr>
        <w:widowControl w:val="0"/>
        <w:autoSpaceDE w:val="0"/>
        <w:autoSpaceDN w:val="0"/>
        <w:adjustRightInd w:val="0"/>
        <w:spacing w:line="276" w:lineRule="auto"/>
        <w:ind w:right="-6"/>
        <w:jc w:val="both"/>
        <w:rPr>
          <w:rFonts w:ascii="Cambria" w:hAnsi="Cambria" w:cs="Cambria"/>
          <w:color w:val="0E101A"/>
          <w:u w:color="0000FF"/>
          <w:lang w:val="en-GB"/>
        </w:rPr>
      </w:pPr>
    </w:p>
    <w:p w14:paraId="190CA26E" w14:textId="77777777" w:rsidR="00622BC0" w:rsidRDefault="00826C5A">
      <w:pPr>
        <w:widowControl w:val="0"/>
        <w:autoSpaceDE w:val="0"/>
        <w:autoSpaceDN w:val="0"/>
        <w:adjustRightInd w:val="0"/>
        <w:spacing w:line="276" w:lineRule="auto"/>
        <w:ind w:right="-6"/>
        <w:jc w:val="both"/>
        <w:rPr>
          <w:rFonts w:ascii="Cambria" w:hAnsi="Cambria" w:cs="Cambria"/>
          <w:b/>
          <w:bCs/>
          <w:color w:val="0E101A"/>
          <w:u w:color="0000FF"/>
          <w:lang w:val="en-GB"/>
        </w:rPr>
      </w:pPr>
      <w:r>
        <w:rPr>
          <w:rFonts w:ascii="Cambria" w:hAnsi="Cambria" w:cs="Cambria"/>
          <w:b/>
          <w:bCs/>
          <w:color w:val="0E101A"/>
          <w:u w:color="0000FF"/>
          <w:lang w:val="en-GB"/>
        </w:rPr>
        <w:t xml:space="preserve">Mr. Vu Ngoc </w:t>
      </w:r>
      <w:proofErr w:type="spellStart"/>
      <w:r>
        <w:rPr>
          <w:rFonts w:ascii="Cambria" w:hAnsi="Cambria" w:cs="Cambria"/>
          <w:b/>
          <w:bCs/>
          <w:color w:val="0E101A"/>
          <w:u w:color="0000FF"/>
          <w:lang w:val="en-GB"/>
        </w:rPr>
        <w:t>Binh</w:t>
      </w:r>
      <w:proofErr w:type="spellEnd"/>
      <w:r>
        <w:rPr>
          <w:rFonts w:ascii="Cambria" w:hAnsi="Cambria" w:cs="Cambria"/>
          <w:b/>
          <w:bCs/>
          <w:color w:val="0E101A"/>
          <w:u w:color="0000FF"/>
          <w:lang w:val="en-GB"/>
        </w:rPr>
        <w:t xml:space="preserve"> </w:t>
      </w:r>
    </w:p>
    <w:p w14:paraId="14C00C23" w14:textId="77777777" w:rsidR="00622BC0" w:rsidRDefault="00826C5A">
      <w:pPr>
        <w:widowControl w:val="0"/>
        <w:autoSpaceDE w:val="0"/>
        <w:autoSpaceDN w:val="0"/>
        <w:adjustRightInd w:val="0"/>
        <w:spacing w:line="276" w:lineRule="auto"/>
        <w:ind w:right="-6"/>
        <w:jc w:val="both"/>
        <w:rPr>
          <w:rFonts w:ascii="Cambria" w:hAnsi="Cambria" w:cs="Cambria"/>
          <w:color w:val="0E101A"/>
          <w:u w:color="0000FF"/>
          <w:lang w:val="en-GB"/>
        </w:rPr>
      </w:pPr>
      <w:r>
        <w:rPr>
          <w:rFonts w:ascii="Cambria" w:hAnsi="Cambria" w:cs="Cambria"/>
          <w:color w:val="0E101A"/>
          <w:u w:color="0000FF"/>
          <w:lang w:val="en-GB"/>
        </w:rPr>
        <w:t>He</w:t>
      </w:r>
      <w:r>
        <w:rPr>
          <w:rFonts w:ascii="Cambria" w:hAnsi="Cambria" w:cs="Cambria"/>
          <w:b/>
          <w:bCs/>
          <w:color w:val="0E101A"/>
          <w:u w:color="0000FF"/>
          <w:lang w:val="en-GB"/>
        </w:rPr>
        <w:t xml:space="preserve"> </w:t>
      </w:r>
      <w:r>
        <w:rPr>
          <w:rFonts w:ascii="Cambria" w:hAnsi="Cambria" w:cs="Cambria"/>
          <w:color w:val="0E101A"/>
          <w:u w:color="0000FF"/>
          <w:lang w:val="en-GB"/>
        </w:rPr>
        <w:t xml:space="preserve">has been a leading researcher and expert on social issues and social development in Vietnam for several decades now. He has published and lectured extensively in his country and at international forums, focusing vulnerable and excluded groups of the population, including people with disabilities, older persons, children, women, ethnic minorities, migrant workers, and many more. Mr. Vu Ngoc </w:t>
      </w:r>
      <w:proofErr w:type="spellStart"/>
      <w:r>
        <w:rPr>
          <w:rFonts w:ascii="Cambria" w:hAnsi="Cambria" w:cs="Cambria"/>
          <w:color w:val="0E101A"/>
          <w:u w:color="0000FF"/>
          <w:lang w:val="en-GB"/>
        </w:rPr>
        <w:t>Binh</w:t>
      </w:r>
      <w:proofErr w:type="spellEnd"/>
      <w:r>
        <w:rPr>
          <w:rFonts w:ascii="Cambria" w:hAnsi="Cambria" w:cs="Cambria"/>
          <w:color w:val="0E101A"/>
          <w:u w:color="0000FF"/>
          <w:lang w:val="en-GB"/>
        </w:rPr>
        <w:t xml:space="preserve"> has worked for various government institutions, United Nations agencies and international NGOs as a programme manager and advisor on laws, policies and practices. </w:t>
      </w:r>
    </w:p>
    <w:p w14:paraId="240A89E1" w14:textId="77777777" w:rsidR="00622BC0" w:rsidRDefault="00622BC0">
      <w:pPr>
        <w:widowControl w:val="0"/>
        <w:autoSpaceDE w:val="0"/>
        <w:autoSpaceDN w:val="0"/>
        <w:adjustRightInd w:val="0"/>
        <w:spacing w:line="276" w:lineRule="auto"/>
        <w:ind w:right="-6"/>
        <w:jc w:val="both"/>
        <w:rPr>
          <w:rFonts w:ascii="Cambria" w:hAnsi="Cambria" w:cs="Cambria"/>
          <w:b/>
          <w:bCs/>
          <w:color w:val="0E101A"/>
          <w:u w:color="0000FF"/>
          <w:lang w:val="en-GB"/>
        </w:rPr>
      </w:pPr>
    </w:p>
    <w:p w14:paraId="43583216" w14:textId="77777777" w:rsidR="00622BC0" w:rsidRDefault="00826C5A">
      <w:pPr>
        <w:widowControl w:val="0"/>
        <w:autoSpaceDE w:val="0"/>
        <w:autoSpaceDN w:val="0"/>
        <w:adjustRightInd w:val="0"/>
        <w:spacing w:line="276" w:lineRule="auto"/>
        <w:ind w:right="-6"/>
        <w:jc w:val="both"/>
        <w:rPr>
          <w:rFonts w:ascii="Cambria" w:hAnsi="Cambria" w:cs="Cambria"/>
          <w:b/>
          <w:bCs/>
          <w:color w:val="0E101A"/>
          <w:u w:color="0000FF"/>
          <w:lang w:val="en-GB"/>
        </w:rPr>
      </w:pPr>
      <w:r>
        <w:rPr>
          <w:rFonts w:ascii="Cambria" w:hAnsi="Cambria" w:cs="Cambria"/>
          <w:b/>
          <w:bCs/>
          <w:color w:val="0E101A"/>
          <w:u w:color="0000FF"/>
          <w:lang w:val="en-GB"/>
        </w:rPr>
        <w:t xml:space="preserve">Ms. Wike Devi </w:t>
      </w:r>
      <w:proofErr w:type="spellStart"/>
      <w:r>
        <w:rPr>
          <w:rFonts w:ascii="Cambria" w:hAnsi="Cambria" w:cs="Cambria"/>
          <w:b/>
          <w:bCs/>
          <w:color w:val="0E101A"/>
          <w:u w:color="0000FF"/>
          <w:lang w:val="en-GB"/>
        </w:rPr>
        <w:t>Erianti</w:t>
      </w:r>
      <w:proofErr w:type="spellEnd"/>
    </w:p>
    <w:p w14:paraId="29865C6C" w14:textId="77777777" w:rsidR="00622BC0" w:rsidRDefault="00826C5A">
      <w:pPr>
        <w:widowControl w:val="0"/>
        <w:autoSpaceDE w:val="0"/>
        <w:autoSpaceDN w:val="0"/>
        <w:adjustRightInd w:val="0"/>
        <w:spacing w:line="276" w:lineRule="auto"/>
        <w:ind w:right="-6"/>
        <w:jc w:val="both"/>
        <w:rPr>
          <w:rFonts w:ascii="Cambria" w:hAnsi="Cambria" w:cs="Cambria"/>
          <w:b/>
          <w:bCs/>
          <w:color w:val="0E101A"/>
          <w:u w:color="0000FF"/>
          <w:lang w:val="en-GB"/>
        </w:rPr>
      </w:pPr>
      <w:r>
        <w:rPr>
          <w:rFonts w:ascii="Cambria" w:hAnsi="Cambria" w:cs="Cambria"/>
          <w:color w:val="0E101A"/>
          <w:u w:color="0000FF"/>
          <w:lang w:val="en-GB"/>
        </w:rPr>
        <w:t>She works in the ASEAN Disability Forum (ADF) Secretariat as a programme manager to assist the implementation of policy advocacy programmes and campaigns. She obtained a political science bachelor degree from the University of Indonesia in 2013. She has interests in disability, social-political, labour migration, and gender issues with hobbies to read books, watch series on Netflix, and solo-travelling.</w:t>
      </w:r>
      <w:r>
        <w:rPr>
          <w:rFonts w:ascii="Cambria" w:hAnsi="Cambria" w:cs="Cambria"/>
          <w:b/>
          <w:bCs/>
          <w:color w:val="0E101A"/>
          <w:u w:color="0000FF"/>
          <w:lang w:val="en-GB"/>
        </w:rPr>
        <w:t xml:space="preserve"> </w:t>
      </w:r>
    </w:p>
    <w:p w14:paraId="22945A53" w14:textId="77777777" w:rsidR="00622BC0" w:rsidRDefault="00622BC0">
      <w:pPr>
        <w:widowControl w:val="0"/>
        <w:autoSpaceDE w:val="0"/>
        <w:autoSpaceDN w:val="0"/>
        <w:adjustRightInd w:val="0"/>
        <w:spacing w:line="276" w:lineRule="auto"/>
        <w:ind w:right="-6"/>
        <w:jc w:val="both"/>
        <w:rPr>
          <w:rFonts w:ascii="Cambria" w:hAnsi="Cambria" w:cs="Cambria"/>
          <w:b/>
          <w:bCs/>
          <w:color w:val="0E101A"/>
          <w:u w:color="0000FF"/>
          <w:lang w:val="en-GB"/>
        </w:rPr>
      </w:pPr>
    </w:p>
    <w:p w14:paraId="3059F9BF" w14:textId="77777777" w:rsidR="00622BC0" w:rsidRDefault="00622BC0">
      <w:pPr>
        <w:widowControl w:val="0"/>
        <w:autoSpaceDE w:val="0"/>
        <w:autoSpaceDN w:val="0"/>
        <w:adjustRightInd w:val="0"/>
        <w:spacing w:line="276" w:lineRule="auto"/>
        <w:ind w:right="-6"/>
        <w:jc w:val="both"/>
        <w:rPr>
          <w:rFonts w:ascii="Cambria" w:hAnsi="Cambria" w:cs="Cambria"/>
          <w:b/>
          <w:bCs/>
          <w:color w:val="0E101A"/>
          <w:u w:color="0000FF"/>
          <w:lang w:val="en-GB"/>
        </w:rPr>
      </w:pPr>
    </w:p>
    <w:p w14:paraId="06CED4D4" w14:textId="77777777" w:rsidR="00622BC0" w:rsidRDefault="00622BC0">
      <w:pPr>
        <w:widowControl w:val="0"/>
        <w:autoSpaceDE w:val="0"/>
        <w:autoSpaceDN w:val="0"/>
        <w:adjustRightInd w:val="0"/>
        <w:spacing w:line="276" w:lineRule="auto"/>
        <w:ind w:right="-6"/>
        <w:jc w:val="both"/>
        <w:rPr>
          <w:rFonts w:ascii="Cambria" w:hAnsi="Cambria" w:cs="Cambria"/>
          <w:b/>
          <w:bCs/>
          <w:color w:val="0E101A"/>
          <w:u w:color="0000FF"/>
          <w:lang w:val="en-GB"/>
        </w:rPr>
      </w:pPr>
    </w:p>
    <w:p w14:paraId="47C78495" w14:textId="77777777" w:rsidR="00622BC0" w:rsidRDefault="00622BC0">
      <w:pPr>
        <w:widowControl w:val="0"/>
        <w:autoSpaceDE w:val="0"/>
        <w:autoSpaceDN w:val="0"/>
        <w:adjustRightInd w:val="0"/>
        <w:spacing w:line="276" w:lineRule="auto"/>
        <w:ind w:right="-6"/>
        <w:jc w:val="center"/>
        <w:rPr>
          <w:rFonts w:ascii="Cambria" w:hAnsi="Cambria" w:cs="Cambria"/>
          <w:b/>
          <w:bCs/>
          <w:color w:val="0E101A"/>
          <w:u w:color="0000FF"/>
          <w:lang w:val="en-GB"/>
        </w:rPr>
      </w:pPr>
    </w:p>
    <w:p w14:paraId="4C36317A" w14:textId="77777777" w:rsidR="00622BC0" w:rsidRDefault="00622BC0">
      <w:pPr>
        <w:widowControl w:val="0"/>
        <w:autoSpaceDE w:val="0"/>
        <w:autoSpaceDN w:val="0"/>
        <w:adjustRightInd w:val="0"/>
        <w:spacing w:line="276" w:lineRule="auto"/>
        <w:ind w:right="-6"/>
        <w:jc w:val="center"/>
        <w:rPr>
          <w:rFonts w:ascii="Cambria" w:hAnsi="Cambria" w:cs="Cambria"/>
          <w:b/>
          <w:bCs/>
          <w:color w:val="0E101A"/>
          <w:u w:color="0000FF"/>
          <w:lang w:val="en-GB"/>
        </w:rPr>
      </w:pPr>
    </w:p>
    <w:p w14:paraId="5614FDFE" w14:textId="77777777" w:rsidR="00622BC0" w:rsidRDefault="00622BC0">
      <w:pPr>
        <w:widowControl w:val="0"/>
        <w:autoSpaceDE w:val="0"/>
        <w:autoSpaceDN w:val="0"/>
        <w:adjustRightInd w:val="0"/>
        <w:spacing w:line="276" w:lineRule="auto"/>
        <w:ind w:right="-6"/>
        <w:jc w:val="center"/>
        <w:rPr>
          <w:rFonts w:ascii="Cambria" w:hAnsi="Cambria" w:cs="Cambria"/>
          <w:b/>
          <w:bCs/>
          <w:color w:val="0E101A"/>
          <w:u w:color="0000FF"/>
          <w:lang w:val="en-GB"/>
        </w:rPr>
      </w:pPr>
    </w:p>
    <w:p w14:paraId="7E60EFF5" w14:textId="77777777" w:rsidR="00622BC0" w:rsidRDefault="00622BC0">
      <w:pPr>
        <w:widowControl w:val="0"/>
        <w:autoSpaceDE w:val="0"/>
        <w:autoSpaceDN w:val="0"/>
        <w:adjustRightInd w:val="0"/>
        <w:spacing w:line="276" w:lineRule="auto"/>
        <w:ind w:right="-6"/>
        <w:jc w:val="center"/>
        <w:rPr>
          <w:rFonts w:ascii="Cambria" w:hAnsi="Cambria" w:cs="Cambria"/>
          <w:b/>
          <w:bCs/>
          <w:color w:val="0E101A"/>
          <w:u w:color="0000FF"/>
          <w:lang w:val="en-GB"/>
        </w:rPr>
      </w:pPr>
    </w:p>
    <w:p w14:paraId="67E27F6A" w14:textId="77777777" w:rsidR="00622BC0" w:rsidRDefault="00622BC0">
      <w:pPr>
        <w:widowControl w:val="0"/>
        <w:autoSpaceDE w:val="0"/>
        <w:autoSpaceDN w:val="0"/>
        <w:adjustRightInd w:val="0"/>
        <w:spacing w:line="276" w:lineRule="auto"/>
        <w:ind w:right="-6"/>
        <w:jc w:val="center"/>
        <w:rPr>
          <w:rFonts w:ascii="Cambria" w:hAnsi="Cambria" w:cs="Cambria"/>
          <w:b/>
          <w:bCs/>
          <w:color w:val="0E101A"/>
          <w:u w:color="0000FF"/>
          <w:lang w:val="en-GB"/>
        </w:rPr>
      </w:pPr>
    </w:p>
    <w:p w14:paraId="773EF79F" w14:textId="77777777" w:rsidR="00622BC0" w:rsidRDefault="00622BC0">
      <w:pPr>
        <w:widowControl w:val="0"/>
        <w:autoSpaceDE w:val="0"/>
        <w:autoSpaceDN w:val="0"/>
        <w:adjustRightInd w:val="0"/>
        <w:spacing w:line="276" w:lineRule="auto"/>
        <w:ind w:right="-6"/>
        <w:jc w:val="center"/>
        <w:rPr>
          <w:rFonts w:ascii="Cambria" w:hAnsi="Cambria" w:cs="Cambria"/>
          <w:b/>
          <w:bCs/>
          <w:color w:val="0E101A"/>
          <w:u w:color="0000FF"/>
          <w:lang w:val="en-GB"/>
        </w:rPr>
      </w:pPr>
    </w:p>
    <w:p w14:paraId="45AE811A" w14:textId="77777777" w:rsidR="00622BC0" w:rsidRDefault="00622BC0">
      <w:pPr>
        <w:widowControl w:val="0"/>
        <w:autoSpaceDE w:val="0"/>
        <w:autoSpaceDN w:val="0"/>
        <w:adjustRightInd w:val="0"/>
        <w:spacing w:line="276" w:lineRule="auto"/>
        <w:ind w:right="-6"/>
        <w:jc w:val="center"/>
        <w:rPr>
          <w:rFonts w:ascii="Cambria" w:hAnsi="Cambria" w:cs="Cambria"/>
          <w:b/>
          <w:bCs/>
          <w:color w:val="0E101A"/>
          <w:u w:color="0000FF"/>
          <w:lang w:val="en-GB"/>
        </w:rPr>
      </w:pPr>
    </w:p>
    <w:p w14:paraId="529BA37A" w14:textId="77777777" w:rsidR="00622BC0" w:rsidRDefault="00622BC0">
      <w:pPr>
        <w:widowControl w:val="0"/>
        <w:autoSpaceDE w:val="0"/>
        <w:autoSpaceDN w:val="0"/>
        <w:adjustRightInd w:val="0"/>
        <w:spacing w:line="276" w:lineRule="auto"/>
        <w:ind w:right="-6"/>
        <w:jc w:val="center"/>
        <w:rPr>
          <w:rFonts w:ascii="Cambria" w:hAnsi="Cambria" w:cs="Cambria"/>
          <w:b/>
          <w:bCs/>
          <w:color w:val="0E101A"/>
          <w:u w:color="0000FF"/>
          <w:lang w:val="en-GB"/>
        </w:rPr>
      </w:pPr>
    </w:p>
    <w:p w14:paraId="37DB61C7" w14:textId="77777777" w:rsidR="00622BC0" w:rsidRDefault="00622BC0">
      <w:pPr>
        <w:widowControl w:val="0"/>
        <w:autoSpaceDE w:val="0"/>
        <w:autoSpaceDN w:val="0"/>
        <w:adjustRightInd w:val="0"/>
        <w:spacing w:line="276" w:lineRule="auto"/>
        <w:ind w:right="-6"/>
        <w:jc w:val="center"/>
        <w:rPr>
          <w:rFonts w:ascii="Cambria" w:hAnsi="Cambria" w:cs="Cambria"/>
          <w:b/>
          <w:bCs/>
          <w:color w:val="0E101A"/>
          <w:u w:color="0000FF"/>
          <w:lang w:val="en-GB"/>
        </w:rPr>
      </w:pPr>
    </w:p>
    <w:p w14:paraId="7642DCB1" w14:textId="77777777" w:rsidR="00622BC0" w:rsidRDefault="00622BC0">
      <w:pPr>
        <w:widowControl w:val="0"/>
        <w:autoSpaceDE w:val="0"/>
        <w:autoSpaceDN w:val="0"/>
        <w:adjustRightInd w:val="0"/>
        <w:spacing w:line="276" w:lineRule="auto"/>
        <w:ind w:right="-6"/>
        <w:jc w:val="center"/>
        <w:rPr>
          <w:rFonts w:ascii="Cambria" w:hAnsi="Cambria" w:cs="Cambria"/>
          <w:b/>
          <w:bCs/>
          <w:color w:val="0E101A"/>
          <w:u w:color="0000FF"/>
          <w:lang w:val="en-GB"/>
        </w:rPr>
      </w:pPr>
    </w:p>
    <w:p w14:paraId="7E19647D" w14:textId="77777777" w:rsidR="00622BC0" w:rsidRDefault="00622BC0">
      <w:pPr>
        <w:widowControl w:val="0"/>
        <w:autoSpaceDE w:val="0"/>
        <w:autoSpaceDN w:val="0"/>
        <w:adjustRightInd w:val="0"/>
        <w:spacing w:line="276" w:lineRule="auto"/>
        <w:ind w:right="-6"/>
        <w:jc w:val="center"/>
        <w:rPr>
          <w:rFonts w:ascii="Cambria" w:hAnsi="Cambria" w:cs="Cambria"/>
          <w:b/>
          <w:bCs/>
          <w:color w:val="0E101A"/>
          <w:u w:color="0000FF"/>
          <w:lang w:val="en-GB"/>
        </w:rPr>
      </w:pPr>
    </w:p>
    <w:p w14:paraId="2F3108B8" w14:textId="77777777" w:rsidR="00622BC0" w:rsidRDefault="00622BC0">
      <w:pPr>
        <w:widowControl w:val="0"/>
        <w:autoSpaceDE w:val="0"/>
        <w:autoSpaceDN w:val="0"/>
        <w:adjustRightInd w:val="0"/>
        <w:spacing w:line="276" w:lineRule="auto"/>
        <w:ind w:right="-6"/>
        <w:jc w:val="center"/>
        <w:rPr>
          <w:rFonts w:ascii="Cambria" w:hAnsi="Cambria" w:cs="Cambria"/>
          <w:b/>
          <w:bCs/>
          <w:color w:val="0E101A"/>
          <w:u w:color="0000FF"/>
          <w:lang w:val="en-GB"/>
        </w:rPr>
      </w:pPr>
    </w:p>
    <w:p w14:paraId="072857AF" w14:textId="77777777" w:rsidR="00622BC0" w:rsidRDefault="00622BC0">
      <w:pPr>
        <w:widowControl w:val="0"/>
        <w:autoSpaceDE w:val="0"/>
        <w:autoSpaceDN w:val="0"/>
        <w:adjustRightInd w:val="0"/>
        <w:spacing w:line="276" w:lineRule="auto"/>
        <w:ind w:right="-6"/>
        <w:jc w:val="center"/>
        <w:rPr>
          <w:rFonts w:ascii="Cambria" w:hAnsi="Cambria" w:cs="Cambria"/>
          <w:b/>
          <w:bCs/>
          <w:color w:val="0E101A"/>
          <w:u w:color="0000FF"/>
          <w:lang w:val="en-GB"/>
        </w:rPr>
      </w:pPr>
    </w:p>
    <w:p w14:paraId="31B88A13" w14:textId="77777777" w:rsidR="00622BC0" w:rsidRDefault="00622BC0">
      <w:pPr>
        <w:widowControl w:val="0"/>
        <w:autoSpaceDE w:val="0"/>
        <w:autoSpaceDN w:val="0"/>
        <w:adjustRightInd w:val="0"/>
        <w:spacing w:line="276" w:lineRule="auto"/>
        <w:ind w:right="-6"/>
        <w:jc w:val="center"/>
        <w:rPr>
          <w:rFonts w:ascii="Cambria" w:hAnsi="Cambria" w:cs="Cambria"/>
          <w:b/>
          <w:bCs/>
          <w:color w:val="0E101A"/>
          <w:u w:color="0000FF"/>
          <w:lang w:val="en-GB"/>
        </w:rPr>
      </w:pPr>
    </w:p>
    <w:p w14:paraId="0F95C8E8" w14:textId="77777777" w:rsidR="00622BC0" w:rsidRDefault="00622BC0">
      <w:pPr>
        <w:widowControl w:val="0"/>
        <w:autoSpaceDE w:val="0"/>
        <w:autoSpaceDN w:val="0"/>
        <w:adjustRightInd w:val="0"/>
        <w:spacing w:line="276" w:lineRule="auto"/>
        <w:ind w:right="-6"/>
        <w:jc w:val="center"/>
        <w:rPr>
          <w:rFonts w:ascii="Cambria" w:hAnsi="Cambria" w:cs="Cambria"/>
          <w:b/>
          <w:bCs/>
          <w:color w:val="0E101A"/>
          <w:u w:color="0000FF"/>
          <w:lang w:val="en-GB"/>
        </w:rPr>
      </w:pPr>
    </w:p>
    <w:p w14:paraId="00492322" w14:textId="77777777" w:rsidR="00622BC0" w:rsidRDefault="00622BC0">
      <w:pPr>
        <w:widowControl w:val="0"/>
        <w:autoSpaceDE w:val="0"/>
        <w:autoSpaceDN w:val="0"/>
        <w:adjustRightInd w:val="0"/>
        <w:spacing w:line="276" w:lineRule="auto"/>
        <w:ind w:right="-6"/>
        <w:jc w:val="center"/>
        <w:rPr>
          <w:rFonts w:ascii="Cambria" w:hAnsi="Cambria" w:cs="Cambria"/>
          <w:b/>
          <w:bCs/>
          <w:color w:val="0E101A"/>
          <w:u w:color="0000FF"/>
          <w:lang w:val="en-GB"/>
        </w:rPr>
      </w:pPr>
    </w:p>
    <w:p w14:paraId="10D58155" w14:textId="77777777" w:rsidR="00622BC0" w:rsidRDefault="00622BC0">
      <w:pPr>
        <w:widowControl w:val="0"/>
        <w:autoSpaceDE w:val="0"/>
        <w:autoSpaceDN w:val="0"/>
        <w:adjustRightInd w:val="0"/>
        <w:spacing w:line="276" w:lineRule="auto"/>
        <w:ind w:right="-6"/>
        <w:jc w:val="center"/>
        <w:rPr>
          <w:rFonts w:ascii="Cambria" w:hAnsi="Cambria" w:cs="Cambria"/>
          <w:b/>
          <w:bCs/>
          <w:color w:val="0E101A"/>
          <w:u w:color="0000FF"/>
          <w:lang w:val="en-GB"/>
        </w:rPr>
      </w:pPr>
    </w:p>
    <w:p w14:paraId="69CF5346" w14:textId="77777777" w:rsidR="00622BC0" w:rsidRDefault="00622BC0">
      <w:pPr>
        <w:widowControl w:val="0"/>
        <w:autoSpaceDE w:val="0"/>
        <w:autoSpaceDN w:val="0"/>
        <w:adjustRightInd w:val="0"/>
        <w:spacing w:line="276" w:lineRule="auto"/>
        <w:ind w:right="-6"/>
        <w:jc w:val="center"/>
        <w:rPr>
          <w:rFonts w:ascii="Cambria" w:hAnsi="Cambria" w:cs="Cambria"/>
          <w:b/>
          <w:bCs/>
          <w:color w:val="0E101A"/>
          <w:u w:color="0000FF"/>
          <w:lang w:val="en-GB"/>
        </w:rPr>
      </w:pPr>
    </w:p>
    <w:p w14:paraId="51BA91E1" w14:textId="77777777" w:rsidR="00622BC0" w:rsidRDefault="00622BC0">
      <w:pPr>
        <w:widowControl w:val="0"/>
        <w:autoSpaceDE w:val="0"/>
        <w:autoSpaceDN w:val="0"/>
        <w:adjustRightInd w:val="0"/>
        <w:spacing w:line="276" w:lineRule="auto"/>
        <w:ind w:right="-6"/>
        <w:jc w:val="center"/>
        <w:rPr>
          <w:rFonts w:ascii="Cambria" w:hAnsi="Cambria" w:cs="Cambria"/>
          <w:b/>
          <w:bCs/>
          <w:color w:val="0E101A"/>
          <w:u w:color="0000FF"/>
          <w:lang w:val="en-GB"/>
        </w:rPr>
      </w:pPr>
    </w:p>
    <w:p w14:paraId="7D7B54E7" w14:textId="1D0B06E2" w:rsidR="00826C5A" w:rsidRDefault="00826C5A">
      <w:pPr>
        <w:rPr>
          <w:rFonts w:ascii="Cambria" w:hAnsi="Cambria" w:cs="Cambria"/>
          <w:b/>
          <w:bCs/>
          <w:color w:val="0E101A"/>
          <w:u w:color="0000FF"/>
          <w:lang w:val="en-GB"/>
        </w:rPr>
      </w:pPr>
      <w:r>
        <w:rPr>
          <w:rFonts w:ascii="Cambria" w:hAnsi="Cambria" w:cs="Cambria"/>
          <w:b/>
          <w:bCs/>
          <w:color w:val="0E101A"/>
          <w:u w:color="0000FF"/>
          <w:lang w:val="en-GB"/>
        </w:rPr>
        <w:br w:type="page"/>
      </w:r>
    </w:p>
    <w:p w14:paraId="4B13BD7B" w14:textId="77777777" w:rsidR="00622BC0" w:rsidRDefault="00622BC0">
      <w:pPr>
        <w:widowControl w:val="0"/>
        <w:autoSpaceDE w:val="0"/>
        <w:autoSpaceDN w:val="0"/>
        <w:adjustRightInd w:val="0"/>
        <w:spacing w:line="276" w:lineRule="auto"/>
        <w:ind w:right="-6"/>
        <w:jc w:val="center"/>
        <w:rPr>
          <w:rFonts w:ascii="Cambria" w:hAnsi="Cambria" w:cs="Cambria"/>
          <w:b/>
          <w:bCs/>
          <w:color w:val="0E101A"/>
          <w:u w:color="0000FF"/>
          <w:lang w:val="en-GB"/>
        </w:rPr>
      </w:pPr>
    </w:p>
    <w:p w14:paraId="7F751EE5" w14:textId="77777777" w:rsidR="00622BC0" w:rsidRDefault="00826C5A">
      <w:pPr>
        <w:widowControl w:val="0"/>
        <w:autoSpaceDE w:val="0"/>
        <w:autoSpaceDN w:val="0"/>
        <w:adjustRightInd w:val="0"/>
        <w:spacing w:line="276" w:lineRule="auto"/>
        <w:ind w:right="-6"/>
        <w:jc w:val="center"/>
        <w:rPr>
          <w:rFonts w:ascii="Cambria" w:hAnsi="Cambria" w:cs="Cambria"/>
          <w:b/>
          <w:bCs/>
          <w:color w:val="0E101A"/>
          <w:u w:color="0000FF"/>
          <w:lang w:val="en-GB"/>
        </w:rPr>
      </w:pPr>
      <w:r>
        <w:rPr>
          <w:rFonts w:ascii="Cambria" w:hAnsi="Cambria" w:cs="Cambria"/>
          <w:b/>
          <w:bCs/>
          <w:color w:val="0E101A"/>
          <w:u w:color="0000FF"/>
          <w:lang w:val="en-GB"/>
        </w:rPr>
        <w:t>ADF Profile</w:t>
      </w:r>
    </w:p>
    <w:p w14:paraId="4B2F367F" w14:textId="77777777" w:rsidR="00622BC0" w:rsidRDefault="00622BC0">
      <w:pPr>
        <w:widowControl w:val="0"/>
        <w:autoSpaceDE w:val="0"/>
        <w:autoSpaceDN w:val="0"/>
        <w:adjustRightInd w:val="0"/>
        <w:spacing w:line="276" w:lineRule="auto"/>
        <w:ind w:right="-6"/>
        <w:jc w:val="both"/>
        <w:rPr>
          <w:rFonts w:ascii="Cambria" w:hAnsi="Cambria" w:cs="Cambria"/>
          <w:b/>
          <w:bCs/>
          <w:color w:val="0E101A"/>
          <w:u w:color="0000FF"/>
          <w:lang w:val="en-GB"/>
        </w:rPr>
      </w:pPr>
    </w:p>
    <w:p w14:paraId="6D4A70FD" w14:textId="74D2E06B" w:rsidR="00622BC0" w:rsidRDefault="00826C5A">
      <w:pPr>
        <w:widowControl w:val="0"/>
        <w:autoSpaceDE w:val="0"/>
        <w:autoSpaceDN w:val="0"/>
        <w:adjustRightInd w:val="0"/>
        <w:spacing w:line="276" w:lineRule="auto"/>
        <w:ind w:right="-6"/>
        <w:jc w:val="both"/>
        <w:rPr>
          <w:rFonts w:ascii="Cambria" w:hAnsi="Cambria" w:cs="Cambria"/>
          <w:color w:val="0E101A"/>
          <w:u w:color="0000FF"/>
          <w:lang w:val="en-GB"/>
        </w:rPr>
      </w:pPr>
      <w:r>
        <w:rPr>
          <w:rFonts w:ascii="Cambria" w:hAnsi="Cambria" w:cs="Cambria"/>
          <w:color w:val="0E101A"/>
          <w:u w:color="0000FF"/>
          <w:lang w:val="en-GB"/>
        </w:rPr>
        <w:t>The ASEAN Disability Forum (ADF) is a network composed of the Organisation of Persons with Disabilities (OPD) of the ASEAN region. It is a platform where OPD</w:t>
      </w:r>
      <w:r w:rsidR="0067025E">
        <w:rPr>
          <w:rFonts w:ascii="Cambria" w:hAnsi="Cambria" w:cs="Cambria"/>
          <w:color w:val="0E101A"/>
          <w:u w:color="0000FF"/>
          <w:lang w:val="en-GB"/>
        </w:rPr>
        <w:t>s</w:t>
      </w:r>
      <w:r>
        <w:rPr>
          <w:rFonts w:ascii="Cambria" w:hAnsi="Cambria" w:cs="Cambria"/>
          <w:color w:val="0E101A"/>
          <w:u w:color="0000FF"/>
          <w:lang w:val="en-GB"/>
        </w:rPr>
        <w:t xml:space="preserve"> coordinate actions to advocate for disability-inclusive policy formulation and implementation. ADF works in all areas, aiming to the mainstream and the needs of people with Disabilities to enter their perspectives in the policy framework of ASEAN.</w:t>
      </w:r>
    </w:p>
    <w:p w14:paraId="5BDD855B" w14:textId="58F850A5" w:rsidR="00622BC0" w:rsidRDefault="00826C5A">
      <w:pPr>
        <w:widowControl w:val="0"/>
        <w:autoSpaceDE w:val="0"/>
        <w:autoSpaceDN w:val="0"/>
        <w:adjustRightInd w:val="0"/>
        <w:spacing w:line="276" w:lineRule="auto"/>
        <w:ind w:right="-6"/>
        <w:jc w:val="both"/>
        <w:rPr>
          <w:rFonts w:ascii="Cambria" w:hAnsi="Cambria" w:cs="Cambria"/>
          <w:color w:val="0E101A"/>
          <w:u w:color="0000FF"/>
          <w:lang w:val="en-GB"/>
        </w:rPr>
      </w:pPr>
      <w:r>
        <w:rPr>
          <w:rFonts w:ascii="Cambria" w:hAnsi="Cambria" w:cs="Cambria"/>
          <w:color w:val="0E101A"/>
          <w:u w:color="0000FF"/>
          <w:lang w:val="en-GB"/>
        </w:rPr>
        <w:t>The main goal is to represent the disability movement from the ASEAN region, providing opportunities for the Organisation of Persons with Disabilities to build their advocacy and organisational capacity, to facilitate the sharing of mutual support and information. ADF is a platform of action to bring the voice of OPD</w:t>
      </w:r>
      <w:r w:rsidR="0067025E">
        <w:rPr>
          <w:rFonts w:ascii="Cambria" w:hAnsi="Cambria" w:cs="Cambria"/>
          <w:color w:val="0E101A"/>
          <w:u w:color="0000FF"/>
          <w:lang w:val="en-GB"/>
        </w:rPr>
        <w:t>s</w:t>
      </w:r>
      <w:r>
        <w:rPr>
          <w:rFonts w:ascii="Cambria" w:hAnsi="Cambria" w:cs="Cambria"/>
          <w:color w:val="0E101A"/>
          <w:u w:color="0000FF"/>
          <w:lang w:val="en-GB"/>
        </w:rPr>
        <w:t xml:space="preserve"> at the grassroots level to policymakers and to connect people to the politicians who live in its member countries.</w:t>
      </w:r>
    </w:p>
    <w:p w14:paraId="5C51E02E" w14:textId="4BA88464" w:rsidR="00622BC0" w:rsidRDefault="00826C5A">
      <w:pPr>
        <w:widowControl w:val="0"/>
        <w:autoSpaceDE w:val="0"/>
        <w:autoSpaceDN w:val="0"/>
        <w:adjustRightInd w:val="0"/>
        <w:spacing w:line="276" w:lineRule="auto"/>
        <w:ind w:right="-6"/>
        <w:jc w:val="both"/>
        <w:rPr>
          <w:rFonts w:ascii="Cambria" w:hAnsi="Cambria" w:cs="Cambria"/>
          <w:color w:val="0E101A"/>
          <w:u w:color="0000FF"/>
          <w:lang w:val="en-GB"/>
        </w:rPr>
      </w:pPr>
      <w:r>
        <w:rPr>
          <w:rFonts w:ascii="Cambria" w:hAnsi="Cambria" w:cs="Cambria"/>
          <w:color w:val="0E101A"/>
          <w:u w:color="0000FF"/>
          <w:lang w:val="en-GB"/>
        </w:rPr>
        <w:t>ADF was started in the 2009 ASEAN People's Forum (APF) with the necessity to raise awareness about the rights of persons with disabilities and promote inclusive disability policies in the ASEAN countries. OPD</w:t>
      </w:r>
      <w:r w:rsidR="0067025E">
        <w:rPr>
          <w:rFonts w:ascii="Cambria" w:hAnsi="Cambria" w:cs="Cambria"/>
          <w:color w:val="0E101A"/>
          <w:u w:color="0000FF"/>
          <w:lang w:val="en-GB"/>
        </w:rPr>
        <w:t>s</w:t>
      </w:r>
      <w:r>
        <w:rPr>
          <w:rFonts w:ascii="Cambria" w:hAnsi="Cambria" w:cs="Cambria"/>
          <w:color w:val="0E101A"/>
          <w:u w:color="0000FF"/>
          <w:lang w:val="en-GB"/>
        </w:rPr>
        <w:t xml:space="preserve"> are needed to organise and build capacity for advocacy that affects the structure of ASEAN. To start OPD</w:t>
      </w:r>
      <w:r w:rsidR="0067025E">
        <w:rPr>
          <w:rFonts w:ascii="Cambria" w:hAnsi="Cambria" w:cs="Cambria"/>
          <w:color w:val="0E101A"/>
          <w:u w:color="0000FF"/>
          <w:lang w:val="en-GB"/>
        </w:rPr>
        <w:t>s</w:t>
      </w:r>
      <w:r>
        <w:rPr>
          <w:rFonts w:ascii="Cambria" w:hAnsi="Cambria" w:cs="Cambria"/>
          <w:color w:val="0E101A"/>
          <w:u w:color="0000FF"/>
          <w:lang w:val="en-GB"/>
        </w:rPr>
        <w:t xml:space="preserve"> become a member of the National Committee of the APF, is closely involved with other ASEAN Civil Society Organisations; This allows them to introduce permanent session on the rights of persons with disabilities in the APF were included in the final statement of the Forum which is then submitted to the ASEAN Summit.</w:t>
      </w:r>
    </w:p>
    <w:p w14:paraId="4C1222AC" w14:textId="77777777" w:rsidR="00622BC0" w:rsidRDefault="00826C5A">
      <w:pPr>
        <w:widowControl w:val="0"/>
        <w:autoSpaceDE w:val="0"/>
        <w:autoSpaceDN w:val="0"/>
        <w:adjustRightInd w:val="0"/>
        <w:spacing w:line="276" w:lineRule="auto"/>
        <w:ind w:right="-6"/>
        <w:jc w:val="both"/>
        <w:rPr>
          <w:rFonts w:ascii="Cambria" w:hAnsi="Cambria" w:cs="Cambria"/>
          <w:color w:val="0E101A"/>
          <w:u w:color="0000FF"/>
          <w:lang w:val="en-GB"/>
        </w:rPr>
      </w:pPr>
      <w:r>
        <w:rPr>
          <w:rFonts w:ascii="Cambria" w:hAnsi="Cambria" w:cs="Cambria"/>
          <w:color w:val="0E101A"/>
          <w:u w:color="0000FF"/>
          <w:lang w:val="en-GB"/>
        </w:rPr>
        <w:t>ADF advocacy first activity was in Jakarta in 2010, and it produced fantastic results document submitted to the ASEAN secretariat. Later, it became a document of principles for the "Bali Declaration on Enhancing the Role and Participation of Persons with Disabilities in the ASEAN Community" adopted at the 19th ASEAN Summit in Bali in the first 2011. The document stated significantly supports the ASEAN initiative to establish an ASEAN Disability Forum as a multi-stakeholder effort, including the Member States of ASEAN, the ASEAN Secretariat, the media, the business sector, academic groups, organisations with Disabilities, disability-related organisations and parent organisations / their families.</w:t>
      </w:r>
    </w:p>
    <w:p w14:paraId="6EC8F1C7" w14:textId="77777777" w:rsidR="00622BC0" w:rsidRDefault="00826C5A">
      <w:pPr>
        <w:widowControl w:val="0"/>
        <w:autoSpaceDE w:val="0"/>
        <w:autoSpaceDN w:val="0"/>
        <w:adjustRightInd w:val="0"/>
        <w:spacing w:line="276" w:lineRule="auto"/>
        <w:ind w:right="-6"/>
        <w:jc w:val="both"/>
        <w:rPr>
          <w:rFonts w:ascii="Cambria" w:hAnsi="Cambria" w:cs="Cambria"/>
          <w:color w:val="0E101A"/>
          <w:u w:color="0000FF"/>
          <w:lang w:val="en-GB"/>
        </w:rPr>
      </w:pPr>
      <w:r>
        <w:rPr>
          <w:rFonts w:ascii="Cambria" w:hAnsi="Cambria" w:cs="Cambria"/>
          <w:color w:val="0E101A"/>
          <w:u w:color="0000FF"/>
          <w:lang w:val="en-GB"/>
        </w:rPr>
        <w:t>The inauguration of the ASEAN Disability Forum conducted on 18 to 19 September 2011 in Bangkok, Thailand. On that occasion, the ADF adopted the Bangkok Declaration, which provides input to promote inclusive Disability policies, the Strategic Framework of Social Welfare and Development 2011 -.2015 (as part of the 2011-2020 ASEAN decade of Persons with Disabilities). </w:t>
      </w:r>
    </w:p>
    <w:p w14:paraId="2DF06292" w14:textId="77777777" w:rsidR="00622BC0" w:rsidRDefault="00622BC0">
      <w:pPr>
        <w:widowControl w:val="0"/>
        <w:autoSpaceDE w:val="0"/>
        <w:autoSpaceDN w:val="0"/>
        <w:adjustRightInd w:val="0"/>
        <w:spacing w:line="276" w:lineRule="auto"/>
        <w:ind w:right="-6"/>
        <w:jc w:val="both"/>
        <w:rPr>
          <w:rFonts w:ascii="Cambria" w:hAnsi="Cambria" w:cs="Cambria"/>
          <w:color w:val="0E101A"/>
          <w:u w:color="0000FF"/>
          <w:lang w:val="en-GB"/>
        </w:rPr>
      </w:pPr>
    </w:p>
    <w:p w14:paraId="7A023781" w14:textId="77777777" w:rsidR="00622BC0" w:rsidRDefault="00826C5A">
      <w:pPr>
        <w:widowControl w:val="0"/>
        <w:autoSpaceDE w:val="0"/>
        <w:autoSpaceDN w:val="0"/>
        <w:adjustRightInd w:val="0"/>
        <w:spacing w:line="276" w:lineRule="auto"/>
        <w:ind w:right="-6"/>
        <w:jc w:val="both"/>
        <w:rPr>
          <w:rFonts w:ascii="Cambria" w:hAnsi="Cambria" w:cs="Cambria"/>
          <w:color w:val="0E101A"/>
          <w:u w:color="0000FF"/>
          <w:lang w:val="en-GB"/>
        </w:rPr>
      </w:pPr>
      <w:r>
        <w:rPr>
          <w:rFonts w:ascii="Cambria" w:hAnsi="Cambria" w:cs="Cambria"/>
          <w:color w:val="0E101A"/>
          <w:u w:color="0000FF"/>
          <w:lang w:val="en-GB"/>
        </w:rPr>
        <w:t>ADF Objectives are as follows:</w:t>
      </w:r>
    </w:p>
    <w:p w14:paraId="4218401B" w14:textId="77777777" w:rsidR="00622BC0" w:rsidRDefault="00826C5A">
      <w:pPr>
        <w:widowControl w:val="0"/>
        <w:autoSpaceDE w:val="0"/>
        <w:autoSpaceDN w:val="0"/>
        <w:adjustRightInd w:val="0"/>
        <w:spacing w:line="276" w:lineRule="auto"/>
        <w:ind w:left="398" w:right="-6" w:hanging="398"/>
        <w:jc w:val="both"/>
        <w:rPr>
          <w:rFonts w:ascii="Cambria" w:hAnsi="Cambria" w:cs="Cambria"/>
          <w:color w:val="0E101A"/>
          <w:u w:color="0000FF"/>
          <w:lang w:val="en-GB"/>
        </w:rPr>
      </w:pPr>
      <w:r>
        <w:rPr>
          <w:rFonts w:ascii="Cambria" w:hAnsi="Cambria" w:cs="Cambria"/>
          <w:color w:val="0E101A"/>
          <w:u w:color="0000FF"/>
          <w:lang w:val="en-GB"/>
        </w:rPr>
        <w:t xml:space="preserve">1. </w:t>
      </w:r>
      <w:r>
        <w:rPr>
          <w:rFonts w:ascii="Cambria" w:hAnsi="Cambria" w:cs="Cambria"/>
          <w:color w:val="0E101A"/>
          <w:u w:color="0000FF"/>
        </w:rPr>
        <w:tab/>
      </w:r>
      <w:r>
        <w:rPr>
          <w:rFonts w:ascii="Cambria" w:hAnsi="Cambria" w:cs="Cambria"/>
          <w:color w:val="0E101A"/>
          <w:u w:color="0000FF"/>
          <w:lang w:val="en-GB"/>
        </w:rPr>
        <w:t>To mainstream disability issues in all ASEAN community by creating the ASEAN community, friendly for diverse people with disability;</w:t>
      </w:r>
    </w:p>
    <w:p w14:paraId="3760298B" w14:textId="77777777" w:rsidR="00622BC0" w:rsidRDefault="00826C5A">
      <w:pPr>
        <w:widowControl w:val="0"/>
        <w:autoSpaceDE w:val="0"/>
        <w:autoSpaceDN w:val="0"/>
        <w:adjustRightInd w:val="0"/>
        <w:spacing w:line="276" w:lineRule="auto"/>
        <w:ind w:left="398" w:right="-6" w:hanging="398"/>
        <w:jc w:val="both"/>
        <w:rPr>
          <w:rFonts w:ascii="Cambria" w:hAnsi="Cambria" w:cs="Cambria"/>
          <w:color w:val="0E101A"/>
          <w:u w:color="0000FF"/>
          <w:lang w:val="en-GB"/>
        </w:rPr>
      </w:pPr>
      <w:r>
        <w:rPr>
          <w:rFonts w:ascii="Cambria" w:hAnsi="Cambria" w:cs="Cambria"/>
          <w:color w:val="0E101A"/>
          <w:u w:color="0000FF"/>
          <w:lang w:val="en-GB"/>
        </w:rPr>
        <w:t xml:space="preserve">2. </w:t>
      </w:r>
      <w:r>
        <w:rPr>
          <w:rFonts w:ascii="Cambria" w:hAnsi="Cambria" w:cs="Cambria"/>
          <w:color w:val="0E101A"/>
          <w:u w:color="0000FF"/>
        </w:rPr>
        <w:tab/>
      </w:r>
      <w:r>
        <w:rPr>
          <w:rFonts w:ascii="Cambria" w:hAnsi="Cambria" w:cs="Cambria"/>
          <w:color w:val="0E101A"/>
          <w:u w:color="0000FF"/>
          <w:lang w:val="en-GB"/>
        </w:rPr>
        <w:t>To promote awareness and monitor the implementation of ASEAN Decades of Person with Disability in line with UNCRPD, Bali Declaration, and other relevant international instruments for serving the rights of diverse disability;</w:t>
      </w:r>
    </w:p>
    <w:p w14:paraId="7F269C40" w14:textId="1AEBC393" w:rsidR="00622BC0" w:rsidRDefault="00826C5A">
      <w:pPr>
        <w:widowControl w:val="0"/>
        <w:autoSpaceDE w:val="0"/>
        <w:autoSpaceDN w:val="0"/>
        <w:adjustRightInd w:val="0"/>
        <w:spacing w:line="276" w:lineRule="auto"/>
        <w:ind w:left="398" w:right="-6" w:hanging="398"/>
        <w:jc w:val="both"/>
        <w:rPr>
          <w:rFonts w:ascii="Cambria" w:hAnsi="Cambria" w:cs="Cambria"/>
          <w:color w:val="0E101A"/>
          <w:u w:color="0000FF"/>
          <w:lang w:val="en-GB"/>
        </w:rPr>
      </w:pPr>
      <w:r>
        <w:rPr>
          <w:rFonts w:ascii="Cambria" w:hAnsi="Cambria" w:cs="Cambria"/>
          <w:color w:val="0E101A"/>
          <w:u w:color="0000FF"/>
          <w:lang w:val="en-GB"/>
        </w:rPr>
        <w:t xml:space="preserve">3. </w:t>
      </w:r>
      <w:r>
        <w:rPr>
          <w:rFonts w:ascii="Cambria" w:hAnsi="Cambria" w:cs="Cambria"/>
          <w:color w:val="0E101A"/>
          <w:u w:color="0000FF"/>
        </w:rPr>
        <w:tab/>
      </w:r>
      <w:r>
        <w:rPr>
          <w:rFonts w:ascii="Cambria" w:hAnsi="Cambria" w:cs="Cambria"/>
          <w:color w:val="0E101A"/>
          <w:u w:color="0000FF"/>
          <w:lang w:val="en-GB"/>
        </w:rPr>
        <w:t>To provide capacity building to OPD</w:t>
      </w:r>
      <w:r w:rsidR="0067025E">
        <w:rPr>
          <w:rFonts w:ascii="Cambria" w:hAnsi="Cambria" w:cs="Cambria"/>
          <w:color w:val="0E101A"/>
          <w:u w:color="0000FF"/>
          <w:lang w:val="en-GB"/>
        </w:rPr>
        <w:t>s</w:t>
      </w:r>
      <w:r>
        <w:rPr>
          <w:rFonts w:ascii="Cambria" w:hAnsi="Cambria" w:cs="Cambria"/>
          <w:color w:val="0E101A"/>
          <w:u w:color="0000FF"/>
          <w:lang w:val="en-GB"/>
        </w:rPr>
        <w:t xml:space="preserve"> network and stakeholders to raise one voice.</w:t>
      </w:r>
    </w:p>
    <w:p w14:paraId="07452C87" w14:textId="77777777" w:rsidR="00622BC0" w:rsidRDefault="00622BC0">
      <w:pPr>
        <w:widowControl w:val="0"/>
        <w:autoSpaceDE w:val="0"/>
        <w:autoSpaceDN w:val="0"/>
        <w:adjustRightInd w:val="0"/>
        <w:spacing w:line="276" w:lineRule="auto"/>
        <w:ind w:right="-6"/>
        <w:jc w:val="both"/>
        <w:rPr>
          <w:rFonts w:ascii="Cambria" w:hAnsi="Cambria" w:cs="Cambria"/>
          <w:color w:val="0E101A"/>
          <w:u w:color="0000FF"/>
          <w:lang w:val="en-GB"/>
        </w:rPr>
      </w:pPr>
    </w:p>
    <w:p w14:paraId="03C9F277" w14:textId="77777777" w:rsidR="00622BC0" w:rsidRDefault="00826C5A">
      <w:pPr>
        <w:widowControl w:val="0"/>
        <w:autoSpaceDE w:val="0"/>
        <w:autoSpaceDN w:val="0"/>
        <w:adjustRightInd w:val="0"/>
        <w:spacing w:line="276" w:lineRule="auto"/>
        <w:ind w:right="-6"/>
        <w:jc w:val="both"/>
        <w:rPr>
          <w:rFonts w:ascii="Cambria" w:hAnsi="Cambria" w:cs="Cambria"/>
          <w:b/>
          <w:bCs/>
          <w:color w:val="0E101A"/>
          <w:u w:color="0000FF"/>
          <w:lang w:val="en-GB"/>
        </w:rPr>
      </w:pPr>
      <w:r>
        <w:rPr>
          <w:rFonts w:ascii="Cambria" w:hAnsi="Cambria" w:cs="Cambria"/>
          <w:b/>
          <w:bCs/>
          <w:color w:val="0E101A"/>
          <w:u w:color="0000FF"/>
          <w:lang w:val="en-GB"/>
        </w:rPr>
        <w:t>ASEAN Disability Forum</w:t>
      </w:r>
    </w:p>
    <w:p w14:paraId="75677447" w14:textId="77777777" w:rsidR="00622BC0" w:rsidRDefault="00826C5A">
      <w:pPr>
        <w:widowControl w:val="0"/>
        <w:autoSpaceDE w:val="0"/>
        <w:autoSpaceDN w:val="0"/>
        <w:adjustRightInd w:val="0"/>
        <w:spacing w:line="276" w:lineRule="auto"/>
        <w:ind w:right="-6"/>
        <w:jc w:val="both"/>
        <w:rPr>
          <w:rFonts w:ascii="Cambria" w:hAnsi="Cambria" w:cs="Cambria"/>
          <w:color w:val="0E101A"/>
          <w:u w:color="0000FF"/>
          <w:lang w:val="en-GB"/>
        </w:rPr>
      </w:pPr>
      <w:proofErr w:type="spellStart"/>
      <w:r>
        <w:rPr>
          <w:rFonts w:ascii="Cambria" w:hAnsi="Cambria" w:cs="Cambria"/>
          <w:color w:val="0E101A"/>
          <w:u w:color="0000FF"/>
          <w:lang w:val="en-GB"/>
        </w:rPr>
        <w:t>Menteng</w:t>
      </w:r>
      <w:proofErr w:type="spellEnd"/>
      <w:r>
        <w:rPr>
          <w:rFonts w:ascii="Cambria" w:hAnsi="Cambria" w:cs="Cambria"/>
          <w:color w:val="0E101A"/>
          <w:u w:color="0000FF"/>
          <w:lang w:val="en-GB"/>
        </w:rPr>
        <w:t xml:space="preserve"> Square Office &amp; Apartment Tower A Lt. 2 Unit AR-01,</w:t>
      </w:r>
    </w:p>
    <w:p w14:paraId="1CE4B8B6" w14:textId="77777777" w:rsidR="00622BC0" w:rsidRDefault="00826C5A">
      <w:pPr>
        <w:widowControl w:val="0"/>
        <w:autoSpaceDE w:val="0"/>
        <w:autoSpaceDN w:val="0"/>
        <w:adjustRightInd w:val="0"/>
        <w:spacing w:line="276" w:lineRule="auto"/>
        <w:ind w:right="-6"/>
        <w:jc w:val="both"/>
        <w:rPr>
          <w:rFonts w:ascii="Cambria" w:hAnsi="Cambria" w:cs="Cambria"/>
          <w:color w:val="0E101A"/>
          <w:u w:color="0000FF"/>
          <w:lang w:val="en-GB"/>
        </w:rPr>
      </w:pPr>
      <w:r>
        <w:rPr>
          <w:rFonts w:ascii="Cambria" w:hAnsi="Cambria" w:cs="Cambria"/>
          <w:color w:val="0E101A"/>
          <w:u w:color="0000FF"/>
          <w:lang w:val="en-GB"/>
        </w:rPr>
        <w:t xml:space="preserve"> Jl. </w:t>
      </w:r>
      <w:proofErr w:type="spellStart"/>
      <w:r>
        <w:rPr>
          <w:rFonts w:ascii="Cambria" w:hAnsi="Cambria" w:cs="Cambria"/>
          <w:color w:val="0E101A"/>
          <w:u w:color="0000FF"/>
          <w:lang w:val="en-GB"/>
        </w:rPr>
        <w:t>Matraman</w:t>
      </w:r>
      <w:proofErr w:type="spellEnd"/>
      <w:r>
        <w:rPr>
          <w:rFonts w:ascii="Cambria" w:hAnsi="Cambria" w:cs="Cambria"/>
          <w:color w:val="0E101A"/>
          <w:u w:color="0000FF"/>
          <w:lang w:val="en-GB"/>
        </w:rPr>
        <w:t xml:space="preserve"> Raya No. 30E </w:t>
      </w:r>
      <w:proofErr w:type="spellStart"/>
      <w:r>
        <w:rPr>
          <w:rFonts w:ascii="Cambria" w:hAnsi="Cambria" w:cs="Cambria"/>
          <w:color w:val="0E101A"/>
          <w:u w:color="0000FF"/>
          <w:lang w:val="en-GB"/>
        </w:rPr>
        <w:t>Menteng</w:t>
      </w:r>
      <w:proofErr w:type="spellEnd"/>
      <w:r>
        <w:rPr>
          <w:rFonts w:ascii="Cambria" w:hAnsi="Cambria" w:cs="Cambria"/>
          <w:color w:val="0E101A"/>
          <w:u w:color="0000FF"/>
          <w:lang w:val="en-GB"/>
        </w:rPr>
        <w:t>, Jakarta Pusat - Indonesia </w:t>
      </w:r>
    </w:p>
    <w:p w14:paraId="0D8EEDC5" w14:textId="77777777" w:rsidR="00622BC0" w:rsidRDefault="00826C5A">
      <w:pPr>
        <w:widowControl w:val="0"/>
        <w:autoSpaceDE w:val="0"/>
        <w:autoSpaceDN w:val="0"/>
        <w:adjustRightInd w:val="0"/>
        <w:spacing w:line="276" w:lineRule="auto"/>
        <w:ind w:right="-6"/>
        <w:jc w:val="both"/>
        <w:rPr>
          <w:rFonts w:ascii="Cambria" w:hAnsi="Cambria" w:cs="Cambria"/>
          <w:color w:val="0E101A"/>
          <w:u w:color="0000FF"/>
          <w:lang w:val="en-GB"/>
        </w:rPr>
      </w:pPr>
      <w:r>
        <w:rPr>
          <w:rFonts w:ascii="Cambria" w:hAnsi="Cambria" w:cs="Cambria"/>
          <w:color w:val="0E101A"/>
          <w:u w:color="0000FF"/>
          <w:lang w:val="en-GB"/>
        </w:rPr>
        <w:t>Telp. +62 21 - 4904 1858, +62 21 - 2961 4294, Fax. +62 21 - 2961 4294</w:t>
      </w:r>
    </w:p>
    <w:p w14:paraId="3F445544" w14:textId="77777777" w:rsidR="00622BC0" w:rsidRDefault="00826C5A">
      <w:pPr>
        <w:widowControl w:val="0"/>
        <w:autoSpaceDE w:val="0"/>
        <w:autoSpaceDN w:val="0"/>
        <w:adjustRightInd w:val="0"/>
        <w:spacing w:line="276" w:lineRule="auto"/>
        <w:ind w:right="-6"/>
        <w:jc w:val="both"/>
        <w:rPr>
          <w:rFonts w:ascii="Cambria" w:hAnsi="Cambria" w:cs="Cambria"/>
          <w:color w:val="0E101A"/>
          <w:u w:color="0000FF"/>
          <w:lang w:val="en-GB"/>
        </w:rPr>
      </w:pPr>
      <w:r>
        <w:rPr>
          <w:rFonts w:ascii="Cambria" w:hAnsi="Cambria" w:cs="Cambria"/>
          <w:color w:val="0E101A"/>
          <w:u w:color="0000FF"/>
          <w:lang w:val="en-GB"/>
        </w:rPr>
        <w:t>Email: </w:t>
      </w:r>
      <w:hyperlink r:id="rId102" w:history="1">
        <w:r>
          <w:rPr>
            <w:rFonts w:ascii="Cambria" w:hAnsi="Cambria" w:cs="Cambria"/>
            <w:color w:val="0E101A"/>
            <w:u w:val="single" w:color="0000FF"/>
            <w:lang w:val="en-GB"/>
          </w:rPr>
          <w:t>secretariat@aseandisabilityforum.org</w:t>
        </w:r>
      </w:hyperlink>
      <w:r>
        <w:rPr>
          <w:rFonts w:ascii="Cambria" w:hAnsi="Cambria" w:cs="Cambria"/>
          <w:color w:val="0E101A"/>
          <w:u w:color="0000FF"/>
          <w:lang w:val="en-GB"/>
        </w:rPr>
        <w:t>, </w:t>
      </w:r>
      <w:hyperlink r:id="rId103" w:history="1">
        <w:r>
          <w:rPr>
            <w:rFonts w:ascii="Cambria" w:hAnsi="Cambria" w:cs="Cambria"/>
            <w:color w:val="0E101A"/>
            <w:u w:val="single" w:color="0000FF"/>
            <w:lang w:val="en-GB"/>
          </w:rPr>
          <w:t>adfsecretariat9@gmail.com</w:t>
        </w:r>
      </w:hyperlink>
      <w:r>
        <w:rPr>
          <w:rFonts w:ascii="Cambria" w:hAnsi="Cambria" w:cs="Cambria"/>
          <w:color w:val="0E101A"/>
          <w:u w:color="0000FF"/>
          <w:lang w:val="en-GB"/>
        </w:rPr>
        <w:t> </w:t>
      </w:r>
    </w:p>
    <w:p w14:paraId="3B87DC1C" w14:textId="77777777" w:rsidR="00622BC0" w:rsidRDefault="00826C5A">
      <w:pPr>
        <w:widowControl w:val="0"/>
        <w:autoSpaceDE w:val="0"/>
        <w:autoSpaceDN w:val="0"/>
        <w:adjustRightInd w:val="0"/>
        <w:spacing w:line="276" w:lineRule="auto"/>
        <w:ind w:right="-6"/>
        <w:jc w:val="both"/>
        <w:rPr>
          <w:rFonts w:ascii="Calibri" w:hAnsi="Calibri" w:cs="Calibri"/>
          <w:color w:val="0E101A"/>
          <w:u w:color="0000FF"/>
          <w:lang w:val="en-GB"/>
        </w:rPr>
      </w:pPr>
      <w:r>
        <w:rPr>
          <w:rFonts w:ascii="Cambria" w:hAnsi="Cambria" w:cs="Cambria"/>
          <w:color w:val="0E101A"/>
          <w:u w:color="0000FF"/>
          <w:lang w:val="en-GB"/>
        </w:rPr>
        <w:t>Website: </w:t>
      </w:r>
      <w:hyperlink r:id="rId104" w:history="1">
        <w:r>
          <w:rPr>
            <w:rFonts w:ascii="Cambria" w:hAnsi="Cambria" w:cs="Cambria"/>
            <w:color w:val="0E101A"/>
            <w:u w:val="single" w:color="0000FF"/>
            <w:lang w:val="en-GB"/>
          </w:rPr>
          <w:t>www.aseandisabilityforum.com</w:t>
        </w:r>
      </w:hyperlink>
      <w:r>
        <w:rPr>
          <w:rFonts w:ascii="Cambria" w:hAnsi="Cambria" w:cs="Cambria"/>
          <w:color w:val="0E101A"/>
          <w:u w:color="0000FF"/>
          <w:lang w:val="en-GB"/>
        </w:rPr>
        <w:t>, </w:t>
      </w:r>
      <w:hyperlink r:id="rId105" w:history="1">
        <w:r>
          <w:rPr>
            <w:rFonts w:ascii="Cambria" w:hAnsi="Cambria" w:cs="Cambria"/>
            <w:color w:val="0E101A"/>
            <w:u w:val="single" w:color="0000FF"/>
            <w:lang w:val="en-GB"/>
          </w:rPr>
          <w:t>www.aseandisabilityforum.org</w:t>
        </w:r>
      </w:hyperlink>
      <w:r>
        <w:rPr>
          <w:rFonts w:ascii="Calibri" w:hAnsi="Calibri" w:cs="Calibri"/>
          <w:color w:val="0E101A"/>
          <w:u w:color="0000FF"/>
          <w:lang w:val="en-GB"/>
        </w:rPr>
        <w:t> </w:t>
      </w:r>
    </w:p>
    <w:p w14:paraId="6613DFCF" w14:textId="77777777" w:rsidR="00622BC0" w:rsidRDefault="00622BC0">
      <w:pPr>
        <w:widowControl w:val="0"/>
        <w:autoSpaceDE w:val="0"/>
        <w:autoSpaceDN w:val="0"/>
        <w:adjustRightInd w:val="0"/>
        <w:spacing w:after="200" w:line="276" w:lineRule="auto"/>
        <w:ind w:right="-6"/>
        <w:rPr>
          <w:rFonts w:ascii="Cambria" w:hAnsi="Cambria" w:cs="Cambria"/>
          <w:b/>
          <w:bCs/>
          <w:u w:color="0000FF"/>
          <w:lang w:val="en-GB"/>
        </w:rPr>
      </w:pPr>
    </w:p>
    <w:sectPr w:rsidR="00622BC0">
      <w:pgSz w:w="11900" w:h="16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E69ADC" w14:textId="77777777" w:rsidR="0061782C" w:rsidRDefault="0061782C">
      <w:pPr>
        <w:spacing w:after="0" w:line="240" w:lineRule="auto"/>
      </w:pPr>
      <w:r>
        <w:separator/>
      </w:r>
    </w:p>
  </w:endnote>
  <w:endnote w:type="continuationSeparator" w:id="0">
    <w:p w14:paraId="1B8756A7" w14:textId="77777777" w:rsidR="0061782C" w:rsidRDefault="006178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imes Roman">
    <w:altName w:val="Times New Roman"/>
    <w:charset w:val="00"/>
    <w:family w:val="auto"/>
    <w:pitch w:val="default"/>
    <w:sig w:usb0="00000000"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99409901"/>
    </w:sdtPr>
    <w:sdtEndPr>
      <w:rPr>
        <w:rStyle w:val="PageNumber"/>
      </w:rPr>
    </w:sdtEndPr>
    <w:sdtContent>
      <w:p w14:paraId="4A6C0CD9" w14:textId="77777777" w:rsidR="00826C5A" w:rsidRDefault="00826C5A">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35B62D" w14:textId="77777777" w:rsidR="00826C5A" w:rsidRDefault="00826C5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12502138"/>
    </w:sdtPr>
    <w:sdtEndPr>
      <w:rPr>
        <w:rStyle w:val="PageNumber"/>
      </w:rPr>
    </w:sdtEndPr>
    <w:sdtContent>
      <w:p w14:paraId="6EB4FAE1" w14:textId="77777777" w:rsidR="00826C5A" w:rsidRDefault="00826C5A">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30096CA5" w14:textId="77777777" w:rsidR="00826C5A" w:rsidRDefault="00826C5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9CCB02" w14:textId="77777777" w:rsidR="0061782C" w:rsidRDefault="0061782C">
      <w:pPr>
        <w:spacing w:after="0" w:line="240" w:lineRule="auto"/>
      </w:pPr>
      <w:r>
        <w:separator/>
      </w:r>
    </w:p>
  </w:footnote>
  <w:footnote w:type="continuationSeparator" w:id="0">
    <w:p w14:paraId="0CF5FD7F" w14:textId="77777777" w:rsidR="0061782C" w:rsidRDefault="006178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6E0D23B"/>
    <w:multiLevelType w:val="singleLevel"/>
    <w:tmpl w:val="96E0D23B"/>
    <w:lvl w:ilvl="0">
      <w:start w:val="2"/>
      <w:numFmt w:val="decimal"/>
      <w:lvlText w:val="%1)"/>
      <w:lvlJc w:val="left"/>
    </w:lvl>
  </w:abstractNum>
  <w:abstractNum w:abstractNumId="1" w15:restartNumberingAfterBreak="0">
    <w:nsid w:val="00000001"/>
    <w:multiLevelType w:val="multilevel"/>
    <w:tmpl w:val="00000001"/>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003"/>
    <w:multiLevelType w:val="multilevel"/>
    <w:tmpl w:val="00000003"/>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07"/>
    <w:multiLevelType w:val="multilevel"/>
    <w:tmpl w:val="00000007"/>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000008"/>
    <w:multiLevelType w:val="multilevel"/>
    <w:tmpl w:val="00000008"/>
    <w:lvl w:ilvl="0">
      <w:start w:val="2"/>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000009"/>
    <w:multiLevelType w:val="multilevel"/>
    <w:tmpl w:val="00000009"/>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00000A"/>
    <w:multiLevelType w:val="multilevel"/>
    <w:tmpl w:val="0000000A"/>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000000C"/>
    <w:multiLevelType w:val="multilevel"/>
    <w:tmpl w:val="0000000C"/>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0000012"/>
    <w:multiLevelType w:val="multilevel"/>
    <w:tmpl w:val="00000012"/>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0000015"/>
    <w:multiLevelType w:val="multilevel"/>
    <w:tmpl w:val="00000015"/>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0000016"/>
    <w:multiLevelType w:val="multilevel"/>
    <w:tmpl w:val="00000016"/>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000001E"/>
    <w:multiLevelType w:val="multilevel"/>
    <w:tmpl w:val="0000001E"/>
    <w:lvl w:ilvl="0">
      <w:start w:val="8"/>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0000028"/>
    <w:multiLevelType w:val="multilevel"/>
    <w:tmpl w:val="00000028"/>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0000035"/>
    <w:multiLevelType w:val="multilevel"/>
    <w:tmpl w:val="00000035"/>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0000037"/>
    <w:multiLevelType w:val="multilevel"/>
    <w:tmpl w:val="00000037"/>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0000038"/>
    <w:multiLevelType w:val="multilevel"/>
    <w:tmpl w:val="00000038"/>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000003A"/>
    <w:multiLevelType w:val="multilevel"/>
    <w:tmpl w:val="0000003A"/>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000003B"/>
    <w:multiLevelType w:val="multilevel"/>
    <w:tmpl w:val="0000003B"/>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000003C"/>
    <w:multiLevelType w:val="multilevel"/>
    <w:tmpl w:val="0000003C"/>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000003D"/>
    <w:multiLevelType w:val="multilevel"/>
    <w:tmpl w:val="0000003D"/>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000003E"/>
    <w:multiLevelType w:val="multilevel"/>
    <w:tmpl w:val="0000003E"/>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0000041"/>
    <w:multiLevelType w:val="multilevel"/>
    <w:tmpl w:val="00000041"/>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7393AD2"/>
    <w:multiLevelType w:val="multilevel"/>
    <w:tmpl w:val="07393A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398487"/>
    <w:multiLevelType w:val="singleLevel"/>
    <w:tmpl w:val="28398487"/>
    <w:lvl w:ilvl="0">
      <w:start w:val="1"/>
      <w:numFmt w:val="lowerLetter"/>
      <w:lvlText w:val="%1)"/>
      <w:lvlJc w:val="left"/>
      <w:pPr>
        <w:tabs>
          <w:tab w:val="left" w:pos="425"/>
        </w:tabs>
        <w:ind w:left="425" w:hanging="425"/>
      </w:pPr>
      <w:rPr>
        <w:rFonts w:hint="default"/>
      </w:rPr>
    </w:lvl>
  </w:abstractNum>
  <w:abstractNum w:abstractNumId="24" w15:restartNumberingAfterBreak="0">
    <w:nsid w:val="46A43CEE"/>
    <w:multiLevelType w:val="multilevel"/>
    <w:tmpl w:val="46A43C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4"/>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22"/>
  </w:num>
  <w:num w:numId="10">
    <w:abstractNumId w:val="0"/>
  </w:num>
  <w:num w:numId="11">
    <w:abstractNumId w:val="8"/>
  </w:num>
  <w:num w:numId="12">
    <w:abstractNumId w:val="9"/>
  </w:num>
  <w:num w:numId="13">
    <w:abstractNumId w:val="10"/>
  </w:num>
  <w:num w:numId="14">
    <w:abstractNumId w:val="11"/>
  </w:num>
  <w:num w:numId="15">
    <w:abstractNumId w:val="12"/>
  </w:num>
  <w:num w:numId="16">
    <w:abstractNumId w:val="13"/>
  </w:num>
  <w:num w:numId="17">
    <w:abstractNumId w:val="14"/>
  </w:num>
  <w:num w:numId="18">
    <w:abstractNumId w:val="15"/>
  </w:num>
  <w:num w:numId="19">
    <w:abstractNumId w:val="16"/>
  </w:num>
  <w:num w:numId="20">
    <w:abstractNumId w:val="17"/>
  </w:num>
  <w:num w:numId="21">
    <w:abstractNumId w:val="18"/>
  </w:num>
  <w:num w:numId="22">
    <w:abstractNumId w:val="19"/>
  </w:num>
  <w:num w:numId="23">
    <w:abstractNumId w:val="20"/>
  </w:num>
  <w:num w:numId="24">
    <w:abstractNumId w:val="21"/>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D37"/>
    <w:rsid w:val="00005DE7"/>
    <w:rsid w:val="00007794"/>
    <w:rsid w:val="00014965"/>
    <w:rsid w:val="0001540C"/>
    <w:rsid w:val="000209FA"/>
    <w:rsid w:val="00021979"/>
    <w:rsid w:val="000223B1"/>
    <w:rsid w:val="00030C61"/>
    <w:rsid w:val="0003618D"/>
    <w:rsid w:val="00037751"/>
    <w:rsid w:val="000475E4"/>
    <w:rsid w:val="00055F7E"/>
    <w:rsid w:val="00062C0B"/>
    <w:rsid w:val="00065F18"/>
    <w:rsid w:val="000709B7"/>
    <w:rsid w:val="00075899"/>
    <w:rsid w:val="00075E70"/>
    <w:rsid w:val="00081112"/>
    <w:rsid w:val="00082767"/>
    <w:rsid w:val="00083A1A"/>
    <w:rsid w:val="00092A28"/>
    <w:rsid w:val="00094856"/>
    <w:rsid w:val="000A3D0B"/>
    <w:rsid w:val="000A6C8D"/>
    <w:rsid w:val="000B1147"/>
    <w:rsid w:val="000B62E5"/>
    <w:rsid w:val="000C0221"/>
    <w:rsid w:val="000C1F54"/>
    <w:rsid w:val="000C22E2"/>
    <w:rsid w:val="000D1063"/>
    <w:rsid w:val="000D26EC"/>
    <w:rsid w:val="000D7F1D"/>
    <w:rsid w:val="000E223C"/>
    <w:rsid w:val="000E36F6"/>
    <w:rsid w:val="000F2698"/>
    <w:rsid w:val="000F3C3A"/>
    <w:rsid w:val="000F5F48"/>
    <w:rsid w:val="00100FBF"/>
    <w:rsid w:val="001058CF"/>
    <w:rsid w:val="001070E8"/>
    <w:rsid w:val="00107971"/>
    <w:rsid w:val="00112F32"/>
    <w:rsid w:val="0011446D"/>
    <w:rsid w:val="001266CB"/>
    <w:rsid w:val="00126C49"/>
    <w:rsid w:val="00127EF1"/>
    <w:rsid w:val="001305FE"/>
    <w:rsid w:val="00140635"/>
    <w:rsid w:val="001443D9"/>
    <w:rsid w:val="001446D1"/>
    <w:rsid w:val="00145395"/>
    <w:rsid w:val="00146B9D"/>
    <w:rsid w:val="001528B3"/>
    <w:rsid w:val="0015404D"/>
    <w:rsid w:val="00154416"/>
    <w:rsid w:val="00154E31"/>
    <w:rsid w:val="0016311F"/>
    <w:rsid w:val="00164304"/>
    <w:rsid w:val="0016443B"/>
    <w:rsid w:val="00172756"/>
    <w:rsid w:val="00180FD0"/>
    <w:rsid w:val="00181EA4"/>
    <w:rsid w:val="001826EF"/>
    <w:rsid w:val="00183647"/>
    <w:rsid w:val="0018435F"/>
    <w:rsid w:val="001846D4"/>
    <w:rsid w:val="00184F37"/>
    <w:rsid w:val="001860F6"/>
    <w:rsid w:val="001905AF"/>
    <w:rsid w:val="0019415C"/>
    <w:rsid w:val="00194CA8"/>
    <w:rsid w:val="001A0568"/>
    <w:rsid w:val="001A12DC"/>
    <w:rsid w:val="001A3050"/>
    <w:rsid w:val="001B2ACA"/>
    <w:rsid w:val="001B437E"/>
    <w:rsid w:val="001B454E"/>
    <w:rsid w:val="001B5CF4"/>
    <w:rsid w:val="001D0B5C"/>
    <w:rsid w:val="001D6D98"/>
    <w:rsid w:val="001D7E83"/>
    <w:rsid w:val="001E2FC7"/>
    <w:rsid w:val="001E31ED"/>
    <w:rsid w:val="001E33B0"/>
    <w:rsid w:val="001E33EC"/>
    <w:rsid w:val="001E6515"/>
    <w:rsid w:val="001E6A84"/>
    <w:rsid w:val="001E6F3D"/>
    <w:rsid w:val="001E6FCF"/>
    <w:rsid w:val="001E713C"/>
    <w:rsid w:val="001F0138"/>
    <w:rsid w:val="001F0CB4"/>
    <w:rsid w:val="001F1348"/>
    <w:rsid w:val="001F2D67"/>
    <w:rsid w:val="001F34C4"/>
    <w:rsid w:val="0020198B"/>
    <w:rsid w:val="00203EC4"/>
    <w:rsid w:val="00204315"/>
    <w:rsid w:val="00215155"/>
    <w:rsid w:val="00215B64"/>
    <w:rsid w:val="002163D6"/>
    <w:rsid w:val="002167D8"/>
    <w:rsid w:val="00217210"/>
    <w:rsid w:val="00217620"/>
    <w:rsid w:val="00223C97"/>
    <w:rsid w:val="002243F1"/>
    <w:rsid w:val="00226BC0"/>
    <w:rsid w:val="00232008"/>
    <w:rsid w:val="00232B01"/>
    <w:rsid w:val="00233895"/>
    <w:rsid w:val="0023783F"/>
    <w:rsid w:val="00237BF1"/>
    <w:rsid w:val="00241808"/>
    <w:rsid w:val="002465B4"/>
    <w:rsid w:val="0024717F"/>
    <w:rsid w:val="002476EB"/>
    <w:rsid w:val="00254C73"/>
    <w:rsid w:val="00260DE5"/>
    <w:rsid w:val="002623DA"/>
    <w:rsid w:val="00264E51"/>
    <w:rsid w:val="00266307"/>
    <w:rsid w:val="0027025E"/>
    <w:rsid w:val="00272EEE"/>
    <w:rsid w:val="00273961"/>
    <w:rsid w:val="00275F81"/>
    <w:rsid w:val="00276473"/>
    <w:rsid w:val="00281B54"/>
    <w:rsid w:val="0028260A"/>
    <w:rsid w:val="002832D5"/>
    <w:rsid w:val="00285A6F"/>
    <w:rsid w:val="00285B14"/>
    <w:rsid w:val="0028660D"/>
    <w:rsid w:val="00287B47"/>
    <w:rsid w:val="00290BE1"/>
    <w:rsid w:val="00291B41"/>
    <w:rsid w:val="002923F0"/>
    <w:rsid w:val="00293608"/>
    <w:rsid w:val="002936AC"/>
    <w:rsid w:val="00293A6F"/>
    <w:rsid w:val="00295403"/>
    <w:rsid w:val="00296BB6"/>
    <w:rsid w:val="00297BA2"/>
    <w:rsid w:val="002A01EB"/>
    <w:rsid w:val="002A3C49"/>
    <w:rsid w:val="002A4150"/>
    <w:rsid w:val="002A4F3C"/>
    <w:rsid w:val="002A7008"/>
    <w:rsid w:val="002B1503"/>
    <w:rsid w:val="002B23B8"/>
    <w:rsid w:val="002B44D6"/>
    <w:rsid w:val="002C04BD"/>
    <w:rsid w:val="002C1B1B"/>
    <w:rsid w:val="002C4418"/>
    <w:rsid w:val="002C5568"/>
    <w:rsid w:val="002C6685"/>
    <w:rsid w:val="002D0932"/>
    <w:rsid w:val="002D0E57"/>
    <w:rsid w:val="002D494C"/>
    <w:rsid w:val="002D68FC"/>
    <w:rsid w:val="002D778C"/>
    <w:rsid w:val="002E0087"/>
    <w:rsid w:val="002E0AF4"/>
    <w:rsid w:val="002E16D8"/>
    <w:rsid w:val="002E175E"/>
    <w:rsid w:val="002E5522"/>
    <w:rsid w:val="002E7AF3"/>
    <w:rsid w:val="002F408F"/>
    <w:rsid w:val="00300CF0"/>
    <w:rsid w:val="00312FF0"/>
    <w:rsid w:val="00313666"/>
    <w:rsid w:val="00314B9F"/>
    <w:rsid w:val="00317206"/>
    <w:rsid w:val="00317A63"/>
    <w:rsid w:val="00322270"/>
    <w:rsid w:val="003277BC"/>
    <w:rsid w:val="00330147"/>
    <w:rsid w:val="00331076"/>
    <w:rsid w:val="00332210"/>
    <w:rsid w:val="00332E8D"/>
    <w:rsid w:val="00337EF4"/>
    <w:rsid w:val="00343150"/>
    <w:rsid w:val="003515CE"/>
    <w:rsid w:val="0035260B"/>
    <w:rsid w:val="003629C8"/>
    <w:rsid w:val="00363758"/>
    <w:rsid w:val="0036699F"/>
    <w:rsid w:val="0036769C"/>
    <w:rsid w:val="003720DF"/>
    <w:rsid w:val="00372C7E"/>
    <w:rsid w:val="00374237"/>
    <w:rsid w:val="00375AD8"/>
    <w:rsid w:val="0037790C"/>
    <w:rsid w:val="00377B4A"/>
    <w:rsid w:val="00381C56"/>
    <w:rsid w:val="003834DE"/>
    <w:rsid w:val="003877F2"/>
    <w:rsid w:val="00390D65"/>
    <w:rsid w:val="003910E5"/>
    <w:rsid w:val="00392330"/>
    <w:rsid w:val="00392FC8"/>
    <w:rsid w:val="00393410"/>
    <w:rsid w:val="00393AF4"/>
    <w:rsid w:val="00395E85"/>
    <w:rsid w:val="003962F4"/>
    <w:rsid w:val="00396427"/>
    <w:rsid w:val="003A1C9C"/>
    <w:rsid w:val="003A1D99"/>
    <w:rsid w:val="003A2780"/>
    <w:rsid w:val="003A40AC"/>
    <w:rsid w:val="003B1B13"/>
    <w:rsid w:val="003B2D0D"/>
    <w:rsid w:val="003B2E8B"/>
    <w:rsid w:val="003B539C"/>
    <w:rsid w:val="003B53DC"/>
    <w:rsid w:val="003C097C"/>
    <w:rsid w:val="003C1A08"/>
    <w:rsid w:val="003C48A1"/>
    <w:rsid w:val="003C5FEE"/>
    <w:rsid w:val="003D13CB"/>
    <w:rsid w:val="003D1A6F"/>
    <w:rsid w:val="003E1BFE"/>
    <w:rsid w:val="003E22A6"/>
    <w:rsid w:val="003E2CD9"/>
    <w:rsid w:val="003E3BD4"/>
    <w:rsid w:val="003E73C3"/>
    <w:rsid w:val="003E7D80"/>
    <w:rsid w:val="003F014A"/>
    <w:rsid w:val="003F2BD6"/>
    <w:rsid w:val="003F3D15"/>
    <w:rsid w:val="003F447A"/>
    <w:rsid w:val="003F52C5"/>
    <w:rsid w:val="003F5D30"/>
    <w:rsid w:val="003F68C4"/>
    <w:rsid w:val="003F6C13"/>
    <w:rsid w:val="00400C16"/>
    <w:rsid w:val="004015F3"/>
    <w:rsid w:val="00406DB5"/>
    <w:rsid w:val="004120D0"/>
    <w:rsid w:val="004127F1"/>
    <w:rsid w:val="0041367C"/>
    <w:rsid w:val="004147EA"/>
    <w:rsid w:val="0041642A"/>
    <w:rsid w:val="00422E5F"/>
    <w:rsid w:val="004231DC"/>
    <w:rsid w:val="00424BEC"/>
    <w:rsid w:val="00432851"/>
    <w:rsid w:val="00432B98"/>
    <w:rsid w:val="00432C44"/>
    <w:rsid w:val="00432E1C"/>
    <w:rsid w:val="00434FDF"/>
    <w:rsid w:val="004414AE"/>
    <w:rsid w:val="004458DB"/>
    <w:rsid w:val="00452A22"/>
    <w:rsid w:val="00461745"/>
    <w:rsid w:val="0046413A"/>
    <w:rsid w:val="00464633"/>
    <w:rsid w:val="004665E0"/>
    <w:rsid w:val="004717E2"/>
    <w:rsid w:val="00471BFF"/>
    <w:rsid w:val="004724D3"/>
    <w:rsid w:val="00474E01"/>
    <w:rsid w:val="004758CB"/>
    <w:rsid w:val="00475B43"/>
    <w:rsid w:val="00475D10"/>
    <w:rsid w:val="00485DBB"/>
    <w:rsid w:val="00494F48"/>
    <w:rsid w:val="004A2330"/>
    <w:rsid w:val="004A35F2"/>
    <w:rsid w:val="004A3E19"/>
    <w:rsid w:val="004A40F2"/>
    <w:rsid w:val="004A5E50"/>
    <w:rsid w:val="004B1B1F"/>
    <w:rsid w:val="004B2F59"/>
    <w:rsid w:val="004B3CD7"/>
    <w:rsid w:val="004C206F"/>
    <w:rsid w:val="004C5020"/>
    <w:rsid w:val="004C78F7"/>
    <w:rsid w:val="004D1B42"/>
    <w:rsid w:val="004D1B7B"/>
    <w:rsid w:val="004D32D9"/>
    <w:rsid w:val="004D71E6"/>
    <w:rsid w:val="004E38D4"/>
    <w:rsid w:val="004E5ADB"/>
    <w:rsid w:val="004E7A98"/>
    <w:rsid w:val="004F5EDA"/>
    <w:rsid w:val="0050177E"/>
    <w:rsid w:val="00503CA0"/>
    <w:rsid w:val="00505FD7"/>
    <w:rsid w:val="00510896"/>
    <w:rsid w:val="005177A9"/>
    <w:rsid w:val="00520FC4"/>
    <w:rsid w:val="00523392"/>
    <w:rsid w:val="00523991"/>
    <w:rsid w:val="00527ADB"/>
    <w:rsid w:val="00527E70"/>
    <w:rsid w:val="0053562C"/>
    <w:rsid w:val="0053627A"/>
    <w:rsid w:val="00540D05"/>
    <w:rsid w:val="00540D38"/>
    <w:rsid w:val="00543FCA"/>
    <w:rsid w:val="00552DE7"/>
    <w:rsid w:val="00556028"/>
    <w:rsid w:val="00556EA6"/>
    <w:rsid w:val="005570CF"/>
    <w:rsid w:val="00557EEC"/>
    <w:rsid w:val="00562087"/>
    <w:rsid w:val="00565AA8"/>
    <w:rsid w:val="005671DA"/>
    <w:rsid w:val="00571DE2"/>
    <w:rsid w:val="00575D17"/>
    <w:rsid w:val="005833A0"/>
    <w:rsid w:val="00591337"/>
    <w:rsid w:val="00591EFE"/>
    <w:rsid w:val="005A0FE5"/>
    <w:rsid w:val="005A12AC"/>
    <w:rsid w:val="005A60ED"/>
    <w:rsid w:val="005A792D"/>
    <w:rsid w:val="005B0A10"/>
    <w:rsid w:val="005B72DC"/>
    <w:rsid w:val="005C1484"/>
    <w:rsid w:val="005C24A7"/>
    <w:rsid w:val="005C3D5B"/>
    <w:rsid w:val="005C42F4"/>
    <w:rsid w:val="005C53CA"/>
    <w:rsid w:val="005C5689"/>
    <w:rsid w:val="005C69D6"/>
    <w:rsid w:val="005C7A5D"/>
    <w:rsid w:val="005E2237"/>
    <w:rsid w:val="005E6377"/>
    <w:rsid w:val="005F064F"/>
    <w:rsid w:val="005F6072"/>
    <w:rsid w:val="006013A4"/>
    <w:rsid w:val="00601FC0"/>
    <w:rsid w:val="00603B17"/>
    <w:rsid w:val="006059B2"/>
    <w:rsid w:val="00606460"/>
    <w:rsid w:val="006064E6"/>
    <w:rsid w:val="00607F7C"/>
    <w:rsid w:val="00610B91"/>
    <w:rsid w:val="006128AC"/>
    <w:rsid w:val="006130F3"/>
    <w:rsid w:val="00613FE1"/>
    <w:rsid w:val="0061782C"/>
    <w:rsid w:val="00620539"/>
    <w:rsid w:val="006215C3"/>
    <w:rsid w:val="00622BC0"/>
    <w:rsid w:val="00622CA9"/>
    <w:rsid w:val="00623CFC"/>
    <w:rsid w:val="00626F30"/>
    <w:rsid w:val="00627F19"/>
    <w:rsid w:val="00630709"/>
    <w:rsid w:val="00643D72"/>
    <w:rsid w:val="00644A83"/>
    <w:rsid w:val="00645760"/>
    <w:rsid w:val="00645DB1"/>
    <w:rsid w:val="0065060B"/>
    <w:rsid w:val="00652843"/>
    <w:rsid w:val="00655A5F"/>
    <w:rsid w:val="00660A2A"/>
    <w:rsid w:val="00660AF8"/>
    <w:rsid w:val="0066183C"/>
    <w:rsid w:val="00663F77"/>
    <w:rsid w:val="00665354"/>
    <w:rsid w:val="006666FC"/>
    <w:rsid w:val="0067025E"/>
    <w:rsid w:val="00672B14"/>
    <w:rsid w:val="0067377B"/>
    <w:rsid w:val="0067470E"/>
    <w:rsid w:val="00684376"/>
    <w:rsid w:val="006847EF"/>
    <w:rsid w:val="006929ED"/>
    <w:rsid w:val="006A0757"/>
    <w:rsid w:val="006A42A4"/>
    <w:rsid w:val="006A7FA2"/>
    <w:rsid w:val="006B139C"/>
    <w:rsid w:val="006B5565"/>
    <w:rsid w:val="006B6D82"/>
    <w:rsid w:val="006B73A3"/>
    <w:rsid w:val="006B742E"/>
    <w:rsid w:val="006B79BA"/>
    <w:rsid w:val="006C19AC"/>
    <w:rsid w:val="006C3927"/>
    <w:rsid w:val="006C5BFC"/>
    <w:rsid w:val="006D1103"/>
    <w:rsid w:val="006D2A3E"/>
    <w:rsid w:val="006D38F6"/>
    <w:rsid w:val="006D4546"/>
    <w:rsid w:val="006E0E06"/>
    <w:rsid w:val="006E3984"/>
    <w:rsid w:val="006E3BC7"/>
    <w:rsid w:val="006E4BBB"/>
    <w:rsid w:val="006E5E56"/>
    <w:rsid w:val="006E648D"/>
    <w:rsid w:val="006F159C"/>
    <w:rsid w:val="007007A7"/>
    <w:rsid w:val="00703BCB"/>
    <w:rsid w:val="00711CED"/>
    <w:rsid w:val="0071395B"/>
    <w:rsid w:val="00714C25"/>
    <w:rsid w:val="00724D42"/>
    <w:rsid w:val="00725A17"/>
    <w:rsid w:val="00735A17"/>
    <w:rsid w:val="00737693"/>
    <w:rsid w:val="007423AF"/>
    <w:rsid w:val="00744495"/>
    <w:rsid w:val="007535DD"/>
    <w:rsid w:val="00756E28"/>
    <w:rsid w:val="00760A73"/>
    <w:rsid w:val="0076218E"/>
    <w:rsid w:val="007641A9"/>
    <w:rsid w:val="00767058"/>
    <w:rsid w:val="00790124"/>
    <w:rsid w:val="00796268"/>
    <w:rsid w:val="007A2102"/>
    <w:rsid w:val="007A4215"/>
    <w:rsid w:val="007B205A"/>
    <w:rsid w:val="007B4059"/>
    <w:rsid w:val="007B4642"/>
    <w:rsid w:val="007B60F5"/>
    <w:rsid w:val="007C55B9"/>
    <w:rsid w:val="007C6966"/>
    <w:rsid w:val="007D704F"/>
    <w:rsid w:val="007E0BAB"/>
    <w:rsid w:val="007E1EDC"/>
    <w:rsid w:val="007F4CE3"/>
    <w:rsid w:val="007F73C5"/>
    <w:rsid w:val="007F78C4"/>
    <w:rsid w:val="008040D5"/>
    <w:rsid w:val="00804186"/>
    <w:rsid w:val="00807161"/>
    <w:rsid w:val="00812716"/>
    <w:rsid w:val="00813367"/>
    <w:rsid w:val="00813553"/>
    <w:rsid w:val="008173DB"/>
    <w:rsid w:val="0081793E"/>
    <w:rsid w:val="008212BF"/>
    <w:rsid w:val="00821B38"/>
    <w:rsid w:val="00821EB1"/>
    <w:rsid w:val="00822F8D"/>
    <w:rsid w:val="00826953"/>
    <w:rsid w:val="00826C5A"/>
    <w:rsid w:val="00827148"/>
    <w:rsid w:val="00827A05"/>
    <w:rsid w:val="008304F7"/>
    <w:rsid w:val="00830FDE"/>
    <w:rsid w:val="00832551"/>
    <w:rsid w:val="008326B6"/>
    <w:rsid w:val="00832BBC"/>
    <w:rsid w:val="00835CEB"/>
    <w:rsid w:val="00836392"/>
    <w:rsid w:val="00844CC3"/>
    <w:rsid w:val="00845AD6"/>
    <w:rsid w:val="00846EC5"/>
    <w:rsid w:val="00846EFE"/>
    <w:rsid w:val="0084734F"/>
    <w:rsid w:val="008510DF"/>
    <w:rsid w:val="00880F1B"/>
    <w:rsid w:val="0088137F"/>
    <w:rsid w:val="0088190B"/>
    <w:rsid w:val="00885635"/>
    <w:rsid w:val="00885BDF"/>
    <w:rsid w:val="00885E24"/>
    <w:rsid w:val="0089082A"/>
    <w:rsid w:val="00891071"/>
    <w:rsid w:val="008A0566"/>
    <w:rsid w:val="008A1426"/>
    <w:rsid w:val="008A22F7"/>
    <w:rsid w:val="008A488F"/>
    <w:rsid w:val="008B51DC"/>
    <w:rsid w:val="008B62F8"/>
    <w:rsid w:val="008C1CB6"/>
    <w:rsid w:val="008C3469"/>
    <w:rsid w:val="008C6545"/>
    <w:rsid w:val="008D098C"/>
    <w:rsid w:val="008D0C78"/>
    <w:rsid w:val="008D32E6"/>
    <w:rsid w:val="008D7392"/>
    <w:rsid w:val="008E0046"/>
    <w:rsid w:val="008E3227"/>
    <w:rsid w:val="008E3D37"/>
    <w:rsid w:val="008E4E39"/>
    <w:rsid w:val="008F18A1"/>
    <w:rsid w:val="008F71D8"/>
    <w:rsid w:val="00900187"/>
    <w:rsid w:val="00901A4A"/>
    <w:rsid w:val="00901B73"/>
    <w:rsid w:val="00901C90"/>
    <w:rsid w:val="0090233E"/>
    <w:rsid w:val="00902C30"/>
    <w:rsid w:val="0090363F"/>
    <w:rsid w:val="00903C23"/>
    <w:rsid w:val="0090540E"/>
    <w:rsid w:val="009071F3"/>
    <w:rsid w:val="009207B4"/>
    <w:rsid w:val="00920EA7"/>
    <w:rsid w:val="009247BE"/>
    <w:rsid w:val="0092491D"/>
    <w:rsid w:val="00925024"/>
    <w:rsid w:val="0092698B"/>
    <w:rsid w:val="00926C15"/>
    <w:rsid w:val="00927D57"/>
    <w:rsid w:val="00933582"/>
    <w:rsid w:val="0093449E"/>
    <w:rsid w:val="00940AEC"/>
    <w:rsid w:val="00940DB0"/>
    <w:rsid w:val="009416C7"/>
    <w:rsid w:val="0094308A"/>
    <w:rsid w:val="00943B16"/>
    <w:rsid w:val="00943E6B"/>
    <w:rsid w:val="009462CC"/>
    <w:rsid w:val="00946A04"/>
    <w:rsid w:val="009519F7"/>
    <w:rsid w:val="00952A10"/>
    <w:rsid w:val="00953CB3"/>
    <w:rsid w:val="00974B34"/>
    <w:rsid w:val="00975355"/>
    <w:rsid w:val="00981D9B"/>
    <w:rsid w:val="00982D90"/>
    <w:rsid w:val="00983A9F"/>
    <w:rsid w:val="0098526F"/>
    <w:rsid w:val="009900A1"/>
    <w:rsid w:val="00991CF8"/>
    <w:rsid w:val="0099357D"/>
    <w:rsid w:val="00996285"/>
    <w:rsid w:val="009A1433"/>
    <w:rsid w:val="009A1FA4"/>
    <w:rsid w:val="009A7FAF"/>
    <w:rsid w:val="009B1783"/>
    <w:rsid w:val="009B3926"/>
    <w:rsid w:val="009C1680"/>
    <w:rsid w:val="009C2A2F"/>
    <w:rsid w:val="009C2DB5"/>
    <w:rsid w:val="009C43EE"/>
    <w:rsid w:val="009C7870"/>
    <w:rsid w:val="009D7CD6"/>
    <w:rsid w:val="009E1EFF"/>
    <w:rsid w:val="009E4B4E"/>
    <w:rsid w:val="009F1459"/>
    <w:rsid w:val="009F2777"/>
    <w:rsid w:val="009F33CF"/>
    <w:rsid w:val="009F5A3A"/>
    <w:rsid w:val="009F5BFC"/>
    <w:rsid w:val="009F5F3A"/>
    <w:rsid w:val="009F654C"/>
    <w:rsid w:val="009F768D"/>
    <w:rsid w:val="00A0238C"/>
    <w:rsid w:val="00A04C6E"/>
    <w:rsid w:val="00A13E75"/>
    <w:rsid w:val="00A14678"/>
    <w:rsid w:val="00A34966"/>
    <w:rsid w:val="00A35DB6"/>
    <w:rsid w:val="00A434A2"/>
    <w:rsid w:val="00A45ADE"/>
    <w:rsid w:val="00A539AF"/>
    <w:rsid w:val="00A56FCB"/>
    <w:rsid w:val="00A62AB5"/>
    <w:rsid w:val="00A67830"/>
    <w:rsid w:val="00A67D52"/>
    <w:rsid w:val="00A75980"/>
    <w:rsid w:val="00A815A1"/>
    <w:rsid w:val="00A81989"/>
    <w:rsid w:val="00A87773"/>
    <w:rsid w:val="00A90561"/>
    <w:rsid w:val="00A919A7"/>
    <w:rsid w:val="00A9531B"/>
    <w:rsid w:val="00A96372"/>
    <w:rsid w:val="00AA6F6A"/>
    <w:rsid w:val="00AA71C5"/>
    <w:rsid w:val="00AA76C0"/>
    <w:rsid w:val="00AB05DC"/>
    <w:rsid w:val="00AB443D"/>
    <w:rsid w:val="00AB718E"/>
    <w:rsid w:val="00AC1CC1"/>
    <w:rsid w:val="00AC32FC"/>
    <w:rsid w:val="00AC3EC7"/>
    <w:rsid w:val="00AC5B0F"/>
    <w:rsid w:val="00AC662D"/>
    <w:rsid w:val="00AE1977"/>
    <w:rsid w:val="00AE4058"/>
    <w:rsid w:val="00AE5F5A"/>
    <w:rsid w:val="00AF1F74"/>
    <w:rsid w:val="00AF2C1C"/>
    <w:rsid w:val="00AF35EC"/>
    <w:rsid w:val="00AF4472"/>
    <w:rsid w:val="00AF48A7"/>
    <w:rsid w:val="00AF583B"/>
    <w:rsid w:val="00AF633B"/>
    <w:rsid w:val="00B03395"/>
    <w:rsid w:val="00B054AE"/>
    <w:rsid w:val="00B17298"/>
    <w:rsid w:val="00B17E4E"/>
    <w:rsid w:val="00B2249D"/>
    <w:rsid w:val="00B2696C"/>
    <w:rsid w:val="00B269E2"/>
    <w:rsid w:val="00B26B54"/>
    <w:rsid w:val="00B30526"/>
    <w:rsid w:val="00B31121"/>
    <w:rsid w:val="00B31BA9"/>
    <w:rsid w:val="00B331E4"/>
    <w:rsid w:val="00B33955"/>
    <w:rsid w:val="00B3444F"/>
    <w:rsid w:val="00B40260"/>
    <w:rsid w:val="00B427C5"/>
    <w:rsid w:val="00B46FAC"/>
    <w:rsid w:val="00B5515E"/>
    <w:rsid w:val="00B5529B"/>
    <w:rsid w:val="00B63A12"/>
    <w:rsid w:val="00B65555"/>
    <w:rsid w:val="00B65A62"/>
    <w:rsid w:val="00B67F07"/>
    <w:rsid w:val="00B73E97"/>
    <w:rsid w:val="00B745BF"/>
    <w:rsid w:val="00B754F7"/>
    <w:rsid w:val="00B765FA"/>
    <w:rsid w:val="00B91647"/>
    <w:rsid w:val="00B92B12"/>
    <w:rsid w:val="00B974A4"/>
    <w:rsid w:val="00BA06C0"/>
    <w:rsid w:val="00BA0A03"/>
    <w:rsid w:val="00BA7884"/>
    <w:rsid w:val="00BB4239"/>
    <w:rsid w:val="00BC53FB"/>
    <w:rsid w:val="00BC5B1D"/>
    <w:rsid w:val="00BC7D26"/>
    <w:rsid w:val="00BD1FBC"/>
    <w:rsid w:val="00BD4B7C"/>
    <w:rsid w:val="00BD4F00"/>
    <w:rsid w:val="00BE2446"/>
    <w:rsid w:val="00BE30C0"/>
    <w:rsid w:val="00BE5D9A"/>
    <w:rsid w:val="00BF2453"/>
    <w:rsid w:val="00BF6C6E"/>
    <w:rsid w:val="00C00D83"/>
    <w:rsid w:val="00C04190"/>
    <w:rsid w:val="00C05B7B"/>
    <w:rsid w:val="00C1059C"/>
    <w:rsid w:val="00C12D75"/>
    <w:rsid w:val="00C229F2"/>
    <w:rsid w:val="00C23D33"/>
    <w:rsid w:val="00C30202"/>
    <w:rsid w:val="00C30217"/>
    <w:rsid w:val="00C31AA6"/>
    <w:rsid w:val="00C32D01"/>
    <w:rsid w:val="00C33600"/>
    <w:rsid w:val="00C35B2B"/>
    <w:rsid w:val="00C40C54"/>
    <w:rsid w:val="00C42502"/>
    <w:rsid w:val="00C42C12"/>
    <w:rsid w:val="00C51538"/>
    <w:rsid w:val="00C5237F"/>
    <w:rsid w:val="00C526FD"/>
    <w:rsid w:val="00C55776"/>
    <w:rsid w:val="00C60A6E"/>
    <w:rsid w:val="00C62D93"/>
    <w:rsid w:val="00C6704C"/>
    <w:rsid w:val="00C72601"/>
    <w:rsid w:val="00C72941"/>
    <w:rsid w:val="00C73041"/>
    <w:rsid w:val="00C744AD"/>
    <w:rsid w:val="00C76CF2"/>
    <w:rsid w:val="00C770E8"/>
    <w:rsid w:val="00C775AE"/>
    <w:rsid w:val="00C80320"/>
    <w:rsid w:val="00C80691"/>
    <w:rsid w:val="00C80D54"/>
    <w:rsid w:val="00C81AC3"/>
    <w:rsid w:val="00C83ED4"/>
    <w:rsid w:val="00C840B8"/>
    <w:rsid w:val="00C84226"/>
    <w:rsid w:val="00C85C67"/>
    <w:rsid w:val="00C85EDE"/>
    <w:rsid w:val="00C87063"/>
    <w:rsid w:val="00C87F85"/>
    <w:rsid w:val="00C96FCA"/>
    <w:rsid w:val="00CA2BD3"/>
    <w:rsid w:val="00CA4744"/>
    <w:rsid w:val="00CA477C"/>
    <w:rsid w:val="00CA5470"/>
    <w:rsid w:val="00CB13A8"/>
    <w:rsid w:val="00CB15F4"/>
    <w:rsid w:val="00CB39A8"/>
    <w:rsid w:val="00CB54EA"/>
    <w:rsid w:val="00CB7103"/>
    <w:rsid w:val="00CD11C5"/>
    <w:rsid w:val="00CD6A11"/>
    <w:rsid w:val="00CE3251"/>
    <w:rsid w:val="00CE370B"/>
    <w:rsid w:val="00CE4177"/>
    <w:rsid w:val="00CE64AB"/>
    <w:rsid w:val="00CE6B42"/>
    <w:rsid w:val="00CF4EFF"/>
    <w:rsid w:val="00CF6A0F"/>
    <w:rsid w:val="00D04154"/>
    <w:rsid w:val="00D06275"/>
    <w:rsid w:val="00D066B9"/>
    <w:rsid w:val="00D107A5"/>
    <w:rsid w:val="00D12D61"/>
    <w:rsid w:val="00D13084"/>
    <w:rsid w:val="00D316AC"/>
    <w:rsid w:val="00D32D05"/>
    <w:rsid w:val="00D37443"/>
    <w:rsid w:val="00D428ED"/>
    <w:rsid w:val="00D42BF6"/>
    <w:rsid w:val="00D5250E"/>
    <w:rsid w:val="00D52853"/>
    <w:rsid w:val="00D55C85"/>
    <w:rsid w:val="00D560BC"/>
    <w:rsid w:val="00D57872"/>
    <w:rsid w:val="00D65907"/>
    <w:rsid w:val="00D66CEE"/>
    <w:rsid w:val="00D706F2"/>
    <w:rsid w:val="00D71462"/>
    <w:rsid w:val="00D7399E"/>
    <w:rsid w:val="00D76127"/>
    <w:rsid w:val="00D77856"/>
    <w:rsid w:val="00D8149F"/>
    <w:rsid w:val="00D82AD5"/>
    <w:rsid w:val="00D84ABE"/>
    <w:rsid w:val="00D87A2C"/>
    <w:rsid w:val="00D90EC3"/>
    <w:rsid w:val="00D93965"/>
    <w:rsid w:val="00D94B26"/>
    <w:rsid w:val="00DA1D0A"/>
    <w:rsid w:val="00DA2C7F"/>
    <w:rsid w:val="00DA3556"/>
    <w:rsid w:val="00DB028A"/>
    <w:rsid w:val="00DB03CD"/>
    <w:rsid w:val="00DB6429"/>
    <w:rsid w:val="00DC2131"/>
    <w:rsid w:val="00DC3640"/>
    <w:rsid w:val="00DC7B38"/>
    <w:rsid w:val="00DD28C8"/>
    <w:rsid w:val="00DE2F63"/>
    <w:rsid w:val="00DE457F"/>
    <w:rsid w:val="00DE6453"/>
    <w:rsid w:val="00DE764B"/>
    <w:rsid w:val="00DF1DE3"/>
    <w:rsid w:val="00E00154"/>
    <w:rsid w:val="00E00570"/>
    <w:rsid w:val="00E005F7"/>
    <w:rsid w:val="00E01D3F"/>
    <w:rsid w:val="00E02672"/>
    <w:rsid w:val="00E039ED"/>
    <w:rsid w:val="00E05A33"/>
    <w:rsid w:val="00E11242"/>
    <w:rsid w:val="00E15E5E"/>
    <w:rsid w:val="00E16F67"/>
    <w:rsid w:val="00E206F8"/>
    <w:rsid w:val="00E22BEC"/>
    <w:rsid w:val="00E2313F"/>
    <w:rsid w:val="00E23675"/>
    <w:rsid w:val="00E237CF"/>
    <w:rsid w:val="00E23AA8"/>
    <w:rsid w:val="00E2442B"/>
    <w:rsid w:val="00E24658"/>
    <w:rsid w:val="00E24A68"/>
    <w:rsid w:val="00E35599"/>
    <w:rsid w:val="00E37867"/>
    <w:rsid w:val="00E379FA"/>
    <w:rsid w:val="00E44655"/>
    <w:rsid w:val="00E446BA"/>
    <w:rsid w:val="00E4659C"/>
    <w:rsid w:val="00E541BF"/>
    <w:rsid w:val="00E547C3"/>
    <w:rsid w:val="00E54CE0"/>
    <w:rsid w:val="00E56F57"/>
    <w:rsid w:val="00E57D75"/>
    <w:rsid w:val="00E621C3"/>
    <w:rsid w:val="00E660FC"/>
    <w:rsid w:val="00E67F25"/>
    <w:rsid w:val="00E70779"/>
    <w:rsid w:val="00E70DFA"/>
    <w:rsid w:val="00E71DA4"/>
    <w:rsid w:val="00E75EE0"/>
    <w:rsid w:val="00E765B1"/>
    <w:rsid w:val="00E80F4A"/>
    <w:rsid w:val="00E831AF"/>
    <w:rsid w:val="00E83EA4"/>
    <w:rsid w:val="00E86311"/>
    <w:rsid w:val="00E86427"/>
    <w:rsid w:val="00E87F8F"/>
    <w:rsid w:val="00E907F8"/>
    <w:rsid w:val="00E922B8"/>
    <w:rsid w:val="00E9363A"/>
    <w:rsid w:val="00E977D6"/>
    <w:rsid w:val="00E97A89"/>
    <w:rsid w:val="00EA1AED"/>
    <w:rsid w:val="00EA4607"/>
    <w:rsid w:val="00EA54B9"/>
    <w:rsid w:val="00EB16B4"/>
    <w:rsid w:val="00EB198F"/>
    <w:rsid w:val="00EB2D44"/>
    <w:rsid w:val="00EC3BF8"/>
    <w:rsid w:val="00EC4E2D"/>
    <w:rsid w:val="00ED152A"/>
    <w:rsid w:val="00ED47C9"/>
    <w:rsid w:val="00ED6135"/>
    <w:rsid w:val="00EE03D2"/>
    <w:rsid w:val="00EE57C0"/>
    <w:rsid w:val="00EE6947"/>
    <w:rsid w:val="00EF0E25"/>
    <w:rsid w:val="00EF67F1"/>
    <w:rsid w:val="00EF76D8"/>
    <w:rsid w:val="00F04E12"/>
    <w:rsid w:val="00F06B08"/>
    <w:rsid w:val="00F1237D"/>
    <w:rsid w:val="00F138CD"/>
    <w:rsid w:val="00F15D28"/>
    <w:rsid w:val="00F218E1"/>
    <w:rsid w:val="00F22A9F"/>
    <w:rsid w:val="00F22BF7"/>
    <w:rsid w:val="00F22C64"/>
    <w:rsid w:val="00F26205"/>
    <w:rsid w:val="00F27164"/>
    <w:rsid w:val="00F30883"/>
    <w:rsid w:val="00F32BFF"/>
    <w:rsid w:val="00F37520"/>
    <w:rsid w:val="00F45DC7"/>
    <w:rsid w:val="00F47B0D"/>
    <w:rsid w:val="00F5091C"/>
    <w:rsid w:val="00F52196"/>
    <w:rsid w:val="00F53C95"/>
    <w:rsid w:val="00F5440A"/>
    <w:rsid w:val="00F5550E"/>
    <w:rsid w:val="00F55F25"/>
    <w:rsid w:val="00F56E6F"/>
    <w:rsid w:val="00F6341A"/>
    <w:rsid w:val="00F65255"/>
    <w:rsid w:val="00F667BD"/>
    <w:rsid w:val="00F71F1C"/>
    <w:rsid w:val="00F72CA0"/>
    <w:rsid w:val="00F73BD8"/>
    <w:rsid w:val="00F842F5"/>
    <w:rsid w:val="00F85E8D"/>
    <w:rsid w:val="00F92181"/>
    <w:rsid w:val="00F93A97"/>
    <w:rsid w:val="00F96FE0"/>
    <w:rsid w:val="00FA10E7"/>
    <w:rsid w:val="00FA1511"/>
    <w:rsid w:val="00FA4D40"/>
    <w:rsid w:val="00FA7F51"/>
    <w:rsid w:val="00FB0124"/>
    <w:rsid w:val="00FB0676"/>
    <w:rsid w:val="00FB0A1F"/>
    <w:rsid w:val="00FC4CD7"/>
    <w:rsid w:val="00FC577E"/>
    <w:rsid w:val="00FD2376"/>
    <w:rsid w:val="00FD2CF0"/>
    <w:rsid w:val="00FD2DE0"/>
    <w:rsid w:val="00FD3E2B"/>
    <w:rsid w:val="00FD62C4"/>
    <w:rsid w:val="00FE1BDC"/>
    <w:rsid w:val="00FE3EE3"/>
    <w:rsid w:val="00FE459E"/>
    <w:rsid w:val="00FE7460"/>
    <w:rsid w:val="00FF6B42"/>
    <w:rsid w:val="00FF75A6"/>
    <w:rsid w:val="09BA30F9"/>
    <w:rsid w:val="17AD47DB"/>
    <w:rsid w:val="1C926CB7"/>
    <w:rsid w:val="30B61786"/>
    <w:rsid w:val="32ED5D8B"/>
    <w:rsid w:val="3DDF4943"/>
    <w:rsid w:val="4CD51891"/>
    <w:rsid w:val="5CF86CE9"/>
    <w:rsid w:val="5E2C6054"/>
    <w:rsid w:val="66284D71"/>
    <w:rsid w:val="67FC5EAE"/>
    <w:rsid w:val="68601457"/>
    <w:rsid w:val="75330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6ECEDA4B"/>
  <w14:defaultImageDpi w14:val="0"/>
  <w15:docId w15:val="{B41EEA87-EB5C-4B8F-BBD7-72404329C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sz w:val="18"/>
      <w:szCs w:val="18"/>
    </w:rPr>
  </w:style>
  <w:style w:type="paragraph" w:styleId="CommentText">
    <w:name w:val="annotation text"/>
    <w:basedOn w:val="Normal"/>
    <w:link w:val="CommentTextChar"/>
    <w:uiPriority w:val="99"/>
    <w:unhideWhenUsed/>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er">
    <w:name w:val="footer"/>
    <w:basedOn w:val="Normal"/>
    <w:link w:val="FooterChar"/>
    <w:uiPriority w:val="99"/>
    <w:unhideWhenUsed/>
    <w:pPr>
      <w:tabs>
        <w:tab w:val="center" w:pos="4680"/>
        <w:tab w:val="right" w:pos="9360"/>
      </w:tabs>
    </w:pPr>
    <w:rPr>
      <w:sz w:val="20"/>
      <w:szCs w:val="20"/>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CommentReference">
    <w:name w:val="annotation reference"/>
    <w:basedOn w:val="DefaultParagraphFont"/>
    <w:uiPriority w:val="99"/>
    <w:semiHidden/>
    <w:unhideWhenUsed/>
    <w:rPr>
      <w:sz w:val="16"/>
      <w:szCs w:val="16"/>
    </w:rPr>
  </w:style>
  <w:style w:type="character" w:styleId="PageNumber">
    <w:name w:val="page number"/>
    <w:basedOn w:val="DefaultParagraphFont"/>
    <w:uiPriority w:val="99"/>
    <w:semiHidden/>
    <w:unhideWhenUsed/>
  </w:style>
  <w:style w:type="character" w:customStyle="1" w:styleId="FooterChar">
    <w:name w:val="Footer Char"/>
    <w:basedOn w:val="DefaultParagraphFont"/>
    <w:link w:val="Footer"/>
    <w:uiPriority w:val="99"/>
  </w:style>
  <w:style w:type="character" w:customStyle="1" w:styleId="BalloonTextChar">
    <w:name w:val="Balloon Text Char"/>
    <w:basedOn w:val="DefaultParagraphFont"/>
    <w:link w:val="BalloonText"/>
    <w:uiPriority w:val="99"/>
    <w:semiHidden/>
    <w:rPr>
      <w:sz w:val="18"/>
      <w:szCs w:val="18"/>
    </w:rPr>
  </w:style>
  <w:style w:type="character" w:customStyle="1" w:styleId="CommentTextChar">
    <w:name w:val="Comment Text Char"/>
    <w:basedOn w:val="DefaultParagraphFont"/>
    <w:link w:val="CommentText"/>
    <w:uiPriority w:val="99"/>
  </w:style>
  <w:style w:type="character" w:customStyle="1" w:styleId="CommentSubjectChar">
    <w:name w:val="Comment Subject Char"/>
    <w:basedOn w:val="CommentTextChar"/>
    <w:link w:val="CommentSubject"/>
    <w:uiPriority w:val="99"/>
    <w:semiHidden/>
    <w:rPr>
      <w:b/>
      <w:bCs/>
    </w:rPr>
  </w:style>
  <w:style w:type="paragraph" w:customStyle="1" w:styleId="Revision1">
    <w:name w:val="Revision1"/>
    <w:hidden/>
    <w:uiPriority w:val="99"/>
    <w:semiHidden/>
    <w:rPr>
      <w:rFonts w:ascii="Times New Roman" w:eastAsia="Times New Roman" w:hAnsi="Times New Roman" w:cs="Times New Roman"/>
    </w:rPr>
  </w:style>
  <w:style w:type="paragraph" w:styleId="ListParagraph">
    <w:name w:val="List Paragraph"/>
    <w:basedOn w:val="Normal"/>
    <w:uiPriority w:val="34"/>
    <w:qFormat/>
    <w:pPr>
      <w:ind w:left="720"/>
      <w:contextualSpacing/>
    </w:pPr>
    <w:rPr>
      <w:sz w:val="20"/>
      <w:szCs w:val="20"/>
    </w:rPr>
  </w:style>
  <w:style w:type="paragraph" w:customStyle="1" w:styleId="Revision2">
    <w:name w:val="Revision2"/>
    <w:hidden/>
    <w:uiPriority w:val="99"/>
    <w:semiHidden/>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qFormat/>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file:///C:\Users\KODIBARTH\Dropbox\JOBS%20and%20GIGS\US%20Jobs\US%20Temp%20jobs\US%20JOURNALISM_TEMP\IDA%20Consultancy\202006_ASEAN\l%20_Toc5719" TargetMode="External"/><Relationship Id="rId21" Type="http://schemas.openxmlformats.org/officeDocument/2006/relationships/hyperlink" Target="file:///C:\Users\KODIBARTH\Dropbox\JOBS%20and%20GIGS\US%20Jobs\US%20Temp%20jobs\US%20JOURNALISM_TEMP\IDA%20Consultancy\202006_ASEAN\l%20_Toc4193" TargetMode="External"/><Relationship Id="rId42" Type="http://schemas.openxmlformats.org/officeDocument/2006/relationships/hyperlink" Target="file:///C:\Users\KODIBARTH\Dropbox\JOBS%20and%20GIGS\US%20Jobs\US%20Temp%20jobs\US%20JOURNALISM_TEMP\IDA%20Consultancy\202006_ASEAN\l%20_Toc14063" TargetMode="External"/><Relationship Id="rId47" Type="http://schemas.openxmlformats.org/officeDocument/2006/relationships/hyperlink" Target="file:///C:\Users\KODIBARTH\Dropbox\JOBS%20and%20GIGS\US%20Jobs\US%20Temp%20jobs\US%20JOURNALISM_TEMP\IDA%20Consultancy\202006_ASEAN\l%20_Toc12144" TargetMode="External"/><Relationship Id="rId63" Type="http://schemas.openxmlformats.org/officeDocument/2006/relationships/chart" Target="charts/chart2.xml"/><Relationship Id="rId68" Type="http://schemas.microsoft.com/office/2007/relationships/diagramDrawing" Target="diagrams/drawing1.xml"/><Relationship Id="rId84" Type="http://schemas.openxmlformats.org/officeDocument/2006/relationships/hyperlink" Target="https://www.ilo.org/dyn/natlex/docs/ELECTRONIC/94490/114946/F114201808/VNM94490" TargetMode="External"/><Relationship Id="rId89" Type="http://schemas.openxmlformats.org/officeDocument/2006/relationships/hyperlink" Target="https://suchisuccess.com/sexuality-education/" TargetMode="External"/><Relationship Id="rId16" Type="http://schemas.openxmlformats.org/officeDocument/2006/relationships/hyperlink" Target="http://www.aseandisabilityforum.org" TargetMode="External"/><Relationship Id="rId107" Type="http://schemas.openxmlformats.org/officeDocument/2006/relationships/theme" Target="theme/theme1.xml"/><Relationship Id="rId11" Type="http://schemas.openxmlformats.org/officeDocument/2006/relationships/image" Target="media/image3.jpeg"/><Relationship Id="rId32" Type="http://schemas.openxmlformats.org/officeDocument/2006/relationships/hyperlink" Target="file:///C:\Users\KODIBARTH\Dropbox\JOBS%20and%20GIGS\US%20Jobs\US%20Temp%20jobs\US%20JOURNALISM_TEMP\IDA%20Consultancy\202006_ASEAN\l%20_Toc4993" TargetMode="External"/><Relationship Id="rId37" Type="http://schemas.openxmlformats.org/officeDocument/2006/relationships/hyperlink" Target="file:///C:\Users\KODIBARTH\Dropbox\JOBS%20and%20GIGS\US%20Jobs\US%20Temp%20jobs\US%20JOURNALISM_TEMP\IDA%20Consultancy\202006_ASEAN\l%20_Toc11775" TargetMode="External"/><Relationship Id="rId53" Type="http://schemas.openxmlformats.org/officeDocument/2006/relationships/hyperlink" Target="file:///C:\Users\KODIBARTH\Dropbox\JOBS%20and%20GIGS\US%20Jobs\US%20Temp%20jobs\US%20JOURNALISM_TEMP\IDA%20Consultancy\202006_ASEAN\l%20_Toc13339" TargetMode="External"/><Relationship Id="rId58" Type="http://schemas.openxmlformats.org/officeDocument/2006/relationships/footer" Target="footer2.xml"/><Relationship Id="rId74" Type="http://schemas.microsoft.com/office/2007/relationships/diagramDrawing" Target="diagrams/drawing2.xml"/><Relationship Id="rId79" Type="http://schemas.openxmlformats.org/officeDocument/2006/relationships/image" Target="media/image9.jpeg"/><Relationship Id="rId102" Type="http://schemas.openxmlformats.org/officeDocument/2006/relationships/hyperlink" Target="mailto:secretariat@aseandisabilityforum.org" TargetMode="External"/><Relationship Id="rId5" Type="http://schemas.openxmlformats.org/officeDocument/2006/relationships/settings" Target="settings.xml"/><Relationship Id="rId90" Type="http://schemas.openxmlformats.org/officeDocument/2006/relationships/hyperlink" Target="http://203.159.157.29/set_index/index.php" TargetMode="External"/><Relationship Id="rId95" Type="http://schemas.openxmlformats.org/officeDocument/2006/relationships/hyperlink" Target="https://treaties.un.org/pages/ViewDetails.aspx?src=TREATY&amp;mtdsg_no=IV-15&amp;chapter=4" TargetMode="External"/><Relationship Id="rId22" Type="http://schemas.openxmlformats.org/officeDocument/2006/relationships/hyperlink" Target="file:///C:\Users\KODIBARTH\Dropbox\JOBS%20and%20GIGS\US%20Jobs\US%20Temp%20jobs\US%20JOURNALISM_TEMP\IDA%20Consultancy\202006_ASEAN\l%20_Toc10245" TargetMode="External"/><Relationship Id="rId27" Type="http://schemas.openxmlformats.org/officeDocument/2006/relationships/hyperlink" Target="file:///C:\Users\KODIBARTH\Dropbox\JOBS%20and%20GIGS\US%20Jobs\US%20Temp%20jobs\US%20JOURNALISM_TEMP\IDA%20Consultancy\202006_ASEAN\l%20_Toc31721" TargetMode="External"/><Relationship Id="rId43" Type="http://schemas.openxmlformats.org/officeDocument/2006/relationships/hyperlink" Target="file:///C:\Users\KODIBARTH\Dropbox\JOBS%20and%20GIGS\US%20Jobs\US%20Temp%20jobs\US%20JOURNALISM_TEMP\IDA%20Consultancy\202006_ASEAN\l%20_Toc14519" TargetMode="External"/><Relationship Id="rId48" Type="http://schemas.openxmlformats.org/officeDocument/2006/relationships/hyperlink" Target="file:///C:\Users\KODIBARTH\Dropbox\JOBS%20and%20GIGS\US%20Jobs\US%20Temp%20jobs\US%20JOURNALISM_TEMP\IDA%20Consultancy\202006_ASEAN\l%20_Toc4300" TargetMode="External"/><Relationship Id="rId64" Type="http://schemas.openxmlformats.org/officeDocument/2006/relationships/diagramData" Target="diagrams/data1.xml"/><Relationship Id="rId69" Type="http://schemas.openxmlformats.org/officeDocument/2006/relationships/chart" Target="charts/chart3.xml"/><Relationship Id="rId80" Type="http://schemas.openxmlformats.org/officeDocument/2006/relationships/image" Target="media/image10.jpeg"/><Relationship Id="rId85" Type="http://schemas.openxmlformats.org/officeDocument/2006/relationships/hyperlink" Target="https://www.ilo.org/global/topics/decent-work/lang--en/index.htm" TargetMode="External"/><Relationship Id="rId12" Type="http://schemas.openxmlformats.org/officeDocument/2006/relationships/image" Target="media/image4.jpeg"/><Relationship Id="rId17" Type="http://schemas.openxmlformats.org/officeDocument/2006/relationships/hyperlink" Target="file:///C:\Users\KODIBARTH\Dropbox\JOBS%20and%20GIGS\US%20Jobs\US%20Temp%20jobs\US%20JOURNALISM_TEMP\IDA%20Consultancy\202006_ASEAN\l%20_Toc17665" TargetMode="External"/><Relationship Id="rId33" Type="http://schemas.openxmlformats.org/officeDocument/2006/relationships/hyperlink" Target="file:///C:\Users\KODIBARTH\Dropbox\JOBS%20and%20GIGS\US%20Jobs\US%20Temp%20jobs\US%20JOURNALISM_TEMP\IDA%20Consultancy\202006_ASEAN\l%20_Toc17093" TargetMode="External"/><Relationship Id="rId38" Type="http://schemas.openxmlformats.org/officeDocument/2006/relationships/hyperlink" Target="file:///C:\Users\KODIBARTH\Dropbox\JOBS%20and%20GIGS\US%20Jobs\US%20Temp%20jobs\US%20JOURNALISM_TEMP\IDA%20Consultancy\202006_ASEAN\l%20_Toc7534" TargetMode="External"/><Relationship Id="rId59" Type="http://schemas.openxmlformats.org/officeDocument/2006/relationships/chart" Target="charts/chart1.xml"/><Relationship Id="rId103" Type="http://schemas.openxmlformats.org/officeDocument/2006/relationships/hyperlink" Target="mailto:adfsecretariat9@gmail.com" TargetMode="External"/><Relationship Id="rId20" Type="http://schemas.openxmlformats.org/officeDocument/2006/relationships/hyperlink" Target="file:///C:\Users\KODIBARTH\Dropbox\JOBS%20and%20GIGS\US%20Jobs\US%20Temp%20jobs\US%20JOURNALISM_TEMP\IDA%20Consultancy\202006_ASEAN\l%20_Toc14076" TargetMode="External"/><Relationship Id="rId41" Type="http://schemas.openxmlformats.org/officeDocument/2006/relationships/hyperlink" Target="file:///C:\Users\KODIBARTH\Dropbox\JOBS%20and%20GIGS\US%20Jobs\US%20Temp%20jobs\US%20JOURNALISM_TEMP\IDA%20Consultancy\202006_ASEAN\l%20_Toc13095" TargetMode="External"/><Relationship Id="rId54" Type="http://schemas.openxmlformats.org/officeDocument/2006/relationships/hyperlink" Target="file:///C:\Users\KODIBARTH\Dropbox\JOBS%20and%20GIGS\US%20Jobs\US%20Temp%20jobs\US%20JOURNALISM_TEMP\IDA%20Consultancy\202006_ASEAN\l%20_Toc18324" TargetMode="External"/><Relationship Id="rId62" Type="http://schemas.openxmlformats.org/officeDocument/2006/relationships/image" Target="media/image7.emf"/><Relationship Id="rId70" Type="http://schemas.openxmlformats.org/officeDocument/2006/relationships/diagramData" Target="diagrams/data2.xml"/><Relationship Id="rId75" Type="http://schemas.openxmlformats.org/officeDocument/2006/relationships/chart" Target="charts/chart4.xml"/><Relationship Id="rId83" Type="http://schemas.openxmlformats.org/officeDocument/2006/relationships/hyperlink" Target="https://www.gso.gov.vn/Default_en.aspx?tabid=491" TargetMode="External"/><Relationship Id="rId88" Type="http://schemas.openxmlformats.org/officeDocument/2006/relationships/hyperlink" Target="https://sustainabledevelopment.un.org/post2015/transformingourworld" TargetMode="External"/><Relationship Id="rId91" Type="http://schemas.openxmlformats.org/officeDocument/2006/relationships/hyperlink" Target="https://en.tempo.co/read/911823/infid-criticizes-govt-over-implementation-of-sdgs" TargetMode="External"/><Relationship Id="rId96" Type="http://schemas.openxmlformats.org/officeDocument/2006/relationships/hyperlink" Target="https://www.un.org/development/desa/disabilities/standard-rules-on-the-equalization-of-opportunities-for-persons-with-disabilities.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aseandisabilityforum.com" TargetMode="External"/><Relationship Id="rId23" Type="http://schemas.openxmlformats.org/officeDocument/2006/relationships/hyperlink" Target="file:///C:\Users\KODIBARTH\Dropbox\JOBS%20and%20GIGS\US%20Jobs\US%20Temp%20jobs\US%20JOURNALISM_TEMP\IDA%20Consultancy\202006_ASEAN\l%20_Toc464" TargetMode="External"/><Relationship Id="rId28" Type="http://schemas.openxmlformats.org/officeDocument/2006/relationships/hyperlink" Target="file:///C:\Users\KODIBARTH\Dropbox\JOBS%20and%20GIGS\US%20Jobs\US%20Temp%20jobs\US%20JOURNALISM_TEMP\IDA%20Consultancy\202006_ASEAN\l%20_Toc9748" TargetMode="External"/><Relationship Id="rId36" Type="http://schemas.openxmlformats.org/officeDocument/2006/relationships/hyperlink" Target="file:///C:\Users\KODIBARTH\Dropbox\JOBS%20and%20GIGS\US%20Jobs\US%20Temp%20jobs\US%20JOURNALISM_TEMP\IDA%20Consultancy\202006_ASEAN\l%20_Toc16248" TargetMode="External"/><Relationship Id="rId49" Type="http://schemas.openxmlformats.org/officeDocument/2006/relationships/hyperlink" Target="file:///C:\Users\KODIBARTH\Dropbox\JOBS%20and%20GIGS\US%20Jobs\US%20Temp%20jobs\US%20JOURNALISM_TEMP\IDA%20Consultancy\202006_ASEAN\l%20_Toc23808" TargetMode="External"/><Relationship Id="rId57" Type="http://schemas.openxmlformats.org/officeDocument/2006/relationships/footer" Target="footer1.xml"/><Relationship Id="rId106"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file:///C:\Users\KODIBARTH\Dropbox\JOBS%20and%20GIGS\US%20Jobs\US%20Temp%20jobs\US%20JOURNALISM_TEMP\IDA%20Consultancy\202006_ASEAN\l%20_Toc18265" TargetMode="External"/><Relationship Id="rId44" Type="http://schemas.openxmlformats.org/officeDocument/2006/relationships/hyperlink" Target="file:///C:\Users\KODIBARTH\Dropbox\JOBS%20and%20GIGS\US%20Jobs\US%20Temp%20jobs\US%20JOURNALISM_TEMP\IDA%20Consultancy\202006_ASEAN\l%20_Toc11591" TargetMode="External"/><Relationship Id="rId52" Type="http://schemas.openxmlformats.org/officeDocument/2006/relationships/hyperlink" Target="file:///C:\Users\KODIBARTH\Dropbox\JOBS%20and%20GIGS\US%20Jobs\US%20Temp%20jobs\US%20JOURNALISM_TEMP\IDA%20Consultancy\202006_ASEAN\l%20_Toc23906" TargetMode="External"/><Relationship Id="rId60" Type="http://schemas.openxmlformats.org/officeDocument/2006/relationships/image" Target="media/image5.jpeg"/><Relationship Id="rId65" Type="http://schemas.openxmlformats.org/officeDocument/2006/relationships/diagramLayout" Target="diagrams/layout1.xml"/><Relationship Id="rId73" Type="http://schemas.openxmlformats.org/officeDocument/2006/relationships/diagramColors" Target="diagrams/colors2.xml"/><Relationship Id="rId78" Type="http://schemas.openxmlformats.org/officeDocument/2006/relationships/image" Target="media/image8.jpeg"/><Relationship Id="rId81" Type="http://schemas.openxmlformats.org/officeDocument/2006/relationships/hyperlink" Target="http://www.ilo.org/wcmsp5/groups/public/@asia/@ro-bangkok/@ilo-jakarta/documents/publication/wcms_160337.pdf" TargetMode="External"/><Relationship Id="rId86" Type="http://schemas.openxmlformats.org/officeDocument/2006/relationships/hyperlink" Target="https://www.kemenpppa.go.id/index.php/page/read/29/2291/workshop-penyusunan-draft-rancangan-undang-undang-kesetaraan-gender" TargetMode="External"/><Relationship Id="rId94" Type="http://schemas.openxmlformats.org/officeDocument/2006/relationships/hyperlink" Target="https://vietnam.unfpa.org/en/publications/people-disabilities-viet-nam" TargetMode="External"/><Relationship Id="rId99" Type="http://schemas.openxmlformats.org/officeDocument/2006/relationships/hyperlink" Target="https://datacatalog.worldbank.org/dataset/vietnam-household-living-standards-survey-2006" TargetMode="External"/><Relationship Id="rId101" Type="http://schemas.openxmlformats.org/officeDocument/2006/relationships/hyperlink" Target="http://www.who.int/disabilities/world_report/2011/report.pdf"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mailto:secretariat@aseandisabilityforum.org" TargetMode="External"/><Relationship Id="rId18" Type="http://schemas.openxmlformats.org/officeDocument/2006/relationships/hyperlink" Target="file:///C:\Users\KODIBARTH\Dropbox\JOBS%20and%20GIGS\US%20Jobs\US%20Temp%20jobs\US%20JOURNALISM_TEMP\IDA%20Consultancy\202006_ASEAN\l%20_Toc31031" TargetMode="External"/><Relationship Id="rId39" Type="http://schemas.openxmlformats.org/officeDocument/2006/relationships/hyperlink" Target="file:///C:\Users\KODIBARTH\Dropbox\JOBS%20and%20GIGS\US%20Jobs\US%20Temp%20jobs\US%20JOURNALISM_TEMP\IDA%20Consultancy\202006_ASEAN\l%20_Toc32056" TargetMode="External"/><Relationship Id="rId34" Type="http://schemas.openxmlformats.org/officeDocument/2006/relationships/hyperlink" Target="file:///C:\Users\KODIBARTH\Dropbox\JOBS%20and%20GIGS\US%20Jobs\US%20Temp%20jobs\US%20JOURNALISM_TEMP\IDA%20Consultancy\202006_ASEAN\l%20_Toc14991" TargetMode="External"/><Relationship Id="rId50" Type="http://schemas.openxmlformats.org/officeDocument/2006/relationships/hyperlink" Target="file:///C:\Users\KODIBARTH\Dropbox\JOBS%20and%20GIGS\US%20Jobs\US%20Temp%20jobs\US%20JOURNALISM_TEMP\IDA%20Consultancy\202006_ASEAN\l%20_Toc16669" TargetMode="External"/><Relationship Id="rId55" Type="http://schemas.openxmlformats.org/officeDocument/2006/relationships/hyperlink" Target="file:///C:\Users\KODIBARTH\Dropbox\JOBS%20and%20GIGS\US%20Jobs\US%20Temp%20jobs\US%20JOURNALISM_TEMP\IDA%20Consultancy\202006_ASEAN\l%20_Toc11135" TargetMode="External"/><Relationship Id="rId76" Type="http://schemas.openxmlformats.org/officeDocument/2006/relationships/chart" Target="charts/chart5.xml"/><Relationship Id="rId97" Type="http://schemas.openxmlformats.org/officeDocument/2006/relationships/hyperlink" Target="https://vietnam.un.org/index.php/en/4123-national-action-plan-implementation-2030-sustainable-development-agenda" TargetMode="External"/><Relationship Id="rId104" Type="http://schemas.openxmlformats.org/officeDocument/2006/relationships/hyperlink" Target="http://www.aseandisabilityforum.com" TargetMode="External"/><Relationship Id="rId7" Type="http://schemas.openxmlformats.org/officeDocument/2006/relationships/footnotes" Target="footnotes.xml"/><Relationship Id="rId71" Type="http://schemas.openxmlformats.org/officeDocument/2006/relationships/diagramLayout" Target="diagrams/layout2.xml"/><Relationship Id="rId92" Type="http://schemas.openxmlformats.org/officeDocument/2006/relationships/hyperlink" Target="https://psa.gov.ph/content/disability-spares-no-one-new-perspective" TargetMode="External"/><Relationship Id="rId2" Type="http://schemas.openxmlformats.org/officeDocument/2006/relationships/customXml" Target="../customXml/item2.xml"/><Relationship Id="rId29" Type="http://schemas.openxmlformats.org/officeDocument/2006/relationships/hyperlink" Target="file:///C:\Users\KODIBARTH\Dropbox\JOBS%20and%20GIGS\US%20Jobs\US%20Temp%20jobs\US%20JOURNALISM_TEMP\IDA%20Consultancy\202006_ASEAN\l%20_Toc25309" TargetMode="External"/><Relationship Id="rId24" Type="http://schemas.openxmlformats.org/officeDocument/2006/relationships/hyperlink" Target="file:///C:\Users\KODIBARTH\Dropbox\JOBS%20and%20GIGS\US%20Jobs\US%20Temp%20jobs\US%20JOURNALISM_TEMP\IDA%20Consultancy\202006_ASEAN\l%20_Toc14722" TargetMode="External"/><Relationship Id="rId40" Type="http://schemas.openxmlformats.org/officeDocument/2006/relationships/hyperlink" Target="file:///C:\Users\KODIBARTH\Dropbox\JOBS%20and%20GIGS\US%20Jobs\US%20Temp%20jobs\US%20JOURNALISM_TEMP\IDA%20Consultancy\202006_ASEAN\l%20_Toc3522" TargetMode="External"/><Relationship Id="rId45" Type="http://schemas.openxmlformats.org/officeDocument/2006/relationships/hyperlink" Target="file:///C:\Users\KODIBARTH\Dropbox\JOBS%20and%20GIGS\US%20Jobs\US%20Temp%20jobs\US%20JOURNALISM_TEMP\IDA%20Consultancy\202006_ASEAN\l%20_Toc31497" TargetMode="External"/><Relationship Id="rId66" Type="http://schemas.openxmlformats.org/officeDocument/2006/relationships/diagramQuickStyle" Target="diagrams/quickStyle1.xml"/><Relationship Id="rId87" Type="http://schemas.openxmlformats.org/officeDocument/2006/relationships/hyperlink" Target="https://thailand.opendevelopmentmekong.net/th/topics/sustainable-development-goals/" TargetMode="External"/><Relationship Id="rId61" Type="http://schemas.openxmlformats.org/officeDocument/2006/relationships/image" Target="media/image6.jpeg"/><Relationship Id="rId82" Type="http://schemas.openxmlformats.org/officeDocument/2006/relationships/hyperlink" Target="https://www.dpa.org.sg/wp-content/uploads/2019/10/CRPDParallel-Report_DPA-Singapore.pdf" TargetMode="External"/><Relationship Id="rId19" Type="http://schemas.openxmlformats.org/officeDocument/2006/relationships/hyperlink" Target="file:///C:\Users\KODIBARTH\Dropbox\JOBS%20and%20GIGS\US%20Jobs\US%20Temp%20jobs\US%20JOURNALISM_TEMP\IDA%20Consultancy\202006_ASEAN\l%20_Toc13637" TargetMode="External"/><Relationship Id="rId14" Type="http://schemas.openxmlformats.org/officeDocument/2006/relationships/hyperlink" Target="mailto:adfsecretariat9@gmail.com" TargetMode="External"/><Relationship Id="rId30" Type="http://schemas.openxmlformats.org/officeDocument/2006/relationships/hyperlink" Target="file:///C:\Users\KODIBARTH\Dropbox\JOBS%20and%20GIGS\US%20Jobs\US%20Temp%20jobs\US%20JOURNALISM_TEMP\IDA%20Consultancy\202006_ASEAN\l%20_Toc22230" TargetMode="External"/><Relationship Id="rId35" Type="http://schemas.openxmlformats.org/officeDocument/2006/relationships/hyperlink" Target="file:///C:\Users\KODIBARTH\Dropbox\JOBS%20and%20GIGS\US%20Jobs\US%20Temp%20jobs\US%20JOURNALISM_TEMP\IDA%20Consultancy\202006_ASEAN\l%20_Toc9458" TargetMode="External"/><Relationship Id="rId56" Type="http://schemas.openxmlformats.org/officeDocument/2006/relationships/hyperlink" Target="file:///C:\Users\KODIBARTH\Dropbox\JOBS%20and%20GIGS\US%20Jobs\US%20Temp%20jobs\US%20JOURNALISM_TEMP\IDA%20Consultancy\202006_ASEAN\l%20_Toc22915" TargetMode="External"/><Relationship Id="rId77" Type="http://schemas.openxmlformats.org/officeDocument/2006/relationships/chart" Target="charts/chart6.xml"/><Relationship Id="rId100" Type="http://schemas.openxmlformats.org/officeDocument/2006/relationships/hyperlink" Target="http://www3.weforum.org/docs/WEF_GGGR_2018.pdf" TargetMode="External"/><Relationship Id="rId105" Type="http://schemas.openxmlformats.org/officeDocument/2006/relationships/hyperlink" Target="http://www.aseandisabilityforum.org" TargetMode="External"/><Relationship Id="rId8" Type="http://schemas.openxmlformats.org/officeDocument/2006/relationships/endnotes" Target="endnotes.xml"/><Relationship Id="rId51" Type="http://schemas.openxmlformats.org/officeDocument/2006/relationships/hyperlink" Target="file:///C:\Users\KODIBARTH\Dropbox\JOBS%20and%20GIGS\US%20Jobs\US%20Temp%20jobs\US%20JOURNALISM_TEMP\IDA%20Consultancy\202006_ASEAN\l%20_Toc14664" TargetMode="External"/><Relationship Id="rId72" Type="http://schemas.openxmlformats.org/officeDocument/2006/relationships/diagramQuickStyle" Target="diagrams/quickStyle2.xml"/><Relationship Id="rId93" Type="http://schemas.openxmlformats.org/officeDocument/2006/relationships/hyperlink" Target="https://www.ilo.org/wcmsp5/groups/public/---ed_protect/---protrav/---ilo_aids/documents/legaldocument/wcms_174606.pdf" TargetMode="External"/><Relationship Id="rId98" Type="http://schemas.openxmlformats.org/officeDocument/2006/relationships/hyperlink" Target="http://www.washingtongroup-disability.com/wp-content/uploads/2016/12/WG-Document-4-The-Washington-Group-Short-Set-on-Functioning-Question-Specifications.pdf" TargetMode="External"/><Relationship Id="rId3" Type="http://schemas.openxmlformats.org/officeDocument/2006/relationships/numbering" Target="numbering.xml"/><Relationship Id="rId25" Type="http://schemas.openxmlformats.org/officeDocument/2006/relationships/hyperlink" Target="file:///C:\Users\KODIBARTH\Dropbox\JOBS%20and%20GIGS\US%20Jobs\US%20Temp%20jobs\US%20JOURNALISM_TEMP\IDA%20Consultancy\202006_ASEAN\l%20_Toc26794" TargetMode="External"/><Relationship Id="rId46" Type="http://schemas.openxmlformats.org/officeDocument/2006/relationships/hyperlink" Target="file:///C:\Users\KODIBARTH\Dropbox\JOBS%20and%20GIGS\US%20Jobs\US%20Temp%20jobs\US%20JOURNALISM_TEMP\IDA%20Consultancy\202006_ASEAN\l%20_Toc30909" TargetMode="External"/><Relationship Id="rId67" Type="http://schemas.openxmlformats.org/officeDocument/2006/relationships/diagramColors" Target="diagrams/colors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[Book1]Sheet1!$B$3</c:f>
              <c:strCache>
                <c:ptCount val="1"/>
                <c:pt idx="0">
                  <c:v>Special Schools (SLB)</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[Book1]Sheet1!$C$2:$D$2</c:f>
              <c:numCache>
                <c:formatCode>General</c:formatCode>
                <c:ptCount val="2"/>
                <c:pt idx="0">
                  <c:v>2015</c:v>
                </c:pt>
                <c:pt idx="1">
                  <c:v>2019</c:v>
                </c:pt>
              </c:numCache>
            </c:numRef>
          </c:cat>
          <c:val>
            <c:numRef>
              <c:f>[Book1]Sheet1!$C$3:$D$3</c:f>
              <c:numCache>
                <c:formatCode>General</c:formatCode>
                <c:ptCount val="2"/>
                <c:pt idx="0">
                  <c:v>2036</c:v>
                </c:pt>
                <c:pt idx="1">
                  <c:v>2236</c:v>
                </c:pt>
              </c:numCache>
            </c:numRef>
          </c:val>
          <c:extLst>
            <c:ext xmlns:c16="http://schemas.microsoft.com/office/drawing/2014/chart" uri="{C3380CC4-5D6E-409C-BE32-E72D297353CC}">
              <c16:uniqueId val="{00000000-1BEA-46B2-BACD-2E326B0DD197}"/>
            </c:ext>
          </c:extLst>
        </c:ser>
        <c:ser>
          <c:idx val="1"/>
          <c:order val="1"/>
          <c:tx>
            <c:strRef>
              <c:f>[Book1]Sheet1!$B$4</c:f>
              <c:strCache>
                <c:ptCount val="1"/>
                <c:pt idx="0">
                  <c:v>Inclusive Schools</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[Book1]Sheet1!$C$2:$D$2</c:f>
              <c:numCache>
                <c:formatCode>General</c:formatCode>
                <c:ptCount val="2"/>
                <c:pt idx="0">
                  <c:v>2015</c:v>
                </c:pt>
                <c:pt idx="1">
                  <c:v>2019</c:v>
                </c:pt>
              </c:numCache>
            </c:numRef>
          </c:cat>
          <c:val>
            <c:numRef>
              <c:f>[Book1]Sheet1!$C$4:$D$4</c:f>
              <c:numCache>
                <c:formatCode>General</c:formatCode>
                <c:ptCount val="2"/>
                <c:pt idx="0">
                  <c:v>2610</c:v>
                </c:pt>
                <c:pt idx="1">
                  <c:v>29315</c:v>
                </c:pt>
              </c:numCache>
            </c:numRef>
          </c:val>
          <c:extLst>
            <c:ext xmlns:c16="http://schemas.microsoft.com/office/drawing/2014/chart" uri="{C3380CC4-5D6E-409C-BE32-E72D297353CC}">
              <c16:uniqueId val="{00000001-1BEA-46B2-BACD-2E326B0DD197}"/>
            </c:ext>
          </c:extLst>
        </c:ser>
        <c:dLbls>
          <c:showLegendKey val="0"/>
          <c:showVal val="1"/>
          <c:showCatName val="0"/>
          <c:showSerName val="0"/>
          <c:showPercent val="0"/>
          <c:showBubbleSize val="0"/>
        </c:dLbls>
        <c:gapWidth val="219"/>
        <c:overlap val="-27"/>
        <c:axId val="394846475"/>
        <c:axId val="245117643"/>
      </c:barChart>
      <c:catAx>
        <c:axId val="394846475"/>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45117643"/>
        <c:crosses val="autoZero"/>
        <c:auto val="1"/>
        <c:lblAlgn val="ctr"/>
        <c:lblOffset val="100"/>
        <c:noMultiLvlLbl val="0"/>
      </c:catAx>
      <c:valAx>
        <c:axId val="2451176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94846475"/>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cap="all" spc="50" baseline="0">
                <a:solidFill>
                  <a:srgbClr val="595959">
                    <a:lumMod val="65000"/>
                    <a:lumOff val="35000"/>
                  </a:srgbClr>
                </a:solidFill>
                <a:latin typeface="+mn-lt"/>
                <a:ea typeface="+mn-ea"/>
                <a:cs typeface="+mn-cs"/>
              </a:defRPr>
            </a:pPr>
            <a:r>
              <a:rPr lang="en-US" sz="1000"/>
              <a:t>In percent</a:t>
            </a:r>
          </a:p>
        </c:rich>
      </c:tx>
      <c:overlay val="0"/>
      <c:spPr>
        <a:noFill/>
        <a:ln>
          <a:noFill/>
        </a:ln>
        <a:effectLst/>
      </c:spPr>
      <c:txPr>
        <a:bodyPr rot="0" spcFirstLastPara="0" vertOverflow="ellipsis" vert="horz" wrap="square" anchor="ctr" anchorCtr="1"/>
        <a:lstStyle/>
        <a:p>
          <a:pPr>
            <a:defRPr lang="zh-CN" sz="1800" b="1" i="0" u="none" strike="noStrike" kern="1200" cap="all" spc="50" baseline="0">
              <a:solidFill>
                <a:srgbClr val="595959">
                  <a:lumMod val="65000"/>
                  <a:lumOff val="35000"/>
                </a:srgbClr>
              </a:solidFill>
              <a:latin typeface="+mn-lt"/>
              <a:ea typeface="+mn-ea"/>
              <a:cs typeface="+mn-cs"/>
            </a:defRPr>
          </a:pPr>
          <a:endParaRPr lang="en-US"/>
        </a:p>
      </c:txPr>
    </c:title>
    <c:autoTitleDeleted val="0"/>
    <c:plotArea>
      <c:layout>
        <c:manualLayout>
          <c:layoutTarget val="inner"/>
          <c:xMode val="edge"/>
          <c:yMode val="edge"/>
          <c:x val="4.9902024820378803E-2"/>
          <c:y val="0.229768467475193"/>
          <c:w val="0.90137165251469598"/>
          <c:h val="0.62743109151047405"/>
        </c:manualLayout>
      </c:layout>
      <c:barChart>
        <c:barDir val="col"/>
        <c:grouping val="clustered"/>
        <c:varyColors val="0"/>
        <c:ser>
          <c:idx val="0"/>
          <c:order val="0"/>
          <c:tx>
            <c:strRef>
              <c:f>[Book1]Sheet1!$B$4</c:f>
              <c:strCache>
                <c:ptCount val="1"/>
                <c:pt idx="0">
                  <c:v>2015</c:v>
                </c:pt>
              </c:strCache>
            </c:strRef>
          </c:tx>
          <c:spPr>
            <a:gradFill flip="none" rotWithShape="1">
              <a:gsLst>
                <a:gs pos="0">
                  <a:srgbClr val="C0504D"/>
                </a:gs>
                <a:gs pos="75000">
                  <a:srgbClr val="D99694">
                    <a:lumMod val="60000"/>
                    <a:lumOff val="40000"/>
                  </a:srgbClr>
                </a:gs>
                <a:gs pos="51000">
                  <a:srgbClr val="C0504D">
                    <a:alpha val="75000"/>
                  </a:srgbClr>
                </a:gs>
                <a:gs pos="100000">
                  <a:srgbClr val="F2DCDB">
                    <a:lumMod val="20000"/>
                    <a:lumOff val="80000"/>
                    <a:alpha val="15000"/>
                  </a:srgbClr>
                </a:gs>
              </a:gsLst>
              <a:lin ang="5400000" scaled="0"/>
            </a:gradFill>
            <a:ln>
              <a:noFill/>
            </a:ln>
            <a:effectLst/>
          </c:spPr>
          <c:invertIfNegative val="0"/>
          <c:dPt>
            <c:idx val="0"/>
            <c:invertIfNegative val="0"/>
            <c:bubble3D val="0"/>
            <c:extLst>
              <c:ext xmlns:c16="http://schemas.microsoft.com/office/drawing/2014/chart" uri="{C3380CC4-5D6E-409C-BE32-E72D297353CC}">
                <c16:uniqueId val="{00000000-0F10-43B2-8F15-8156EBB0320F}"/>
              </c:ext>
            </c:extLst>
          </c:dPt>
          <c:dPt>
            <c:idx val="1"/>
            <c:invertIfNegative val="0"/>
            <c:bubble3D val="0"/>
            <c:extLst>
              <c:ext xmlns:c16="http://schemas.microsoft.com/office/drawing/2014/chart" uri="{C3380CC4-5D6E-409C-BE32-E72D297353CC}">
                <c16:uniqueId val="{00000001-0F10-43B2-8F15-8156EBB0320F}"/>
              </c:ext>
            </c:extLst>
          </c:dPt>
          <c:dLbls>
            <c:dLbl>
              <c:idx val="0"/>
              <c:tx>
                <c:rich>
                  <a:bodyPr/>
                  <a:lstStyle/>
                  <a:p>
                    <a:r>
                      <a:rPr lang="en-US"/>
                      <a:t>18,5 %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F10-43B2-8F15-8156EBB0320F}"/>
                </c:ext>
              </c:extLst>
            </c:dLbl>
            <c:dLbl>
              <c:idx val="1"/>
              <c:tx>
                <c:rich>
                  <a:bodyPr/>
                  <a:lstStyle/>
                  <a:p>
                    <a:r>
                      <a:rPr lang="en-US"/>
                      <a:t>19,7 %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F10-43B2-8F15-8156EBB0320F}"/>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[Book1]Sheet1!$C$3:$D$3</c:f>
              <c:strCache>
                <c:ptCount val="2"/>
                <c:pt idx="0">
                  <c:v>National underemployment rate</c:v>
                </c:pt>
                <c:pt idx="1">
                  <c:v>Non-capital underemployment rate</c:v>
                </c:pt>
              </c:strCache>
            </c:strRef>
          </c:cat>
          <c:val>
            <c:numRef>
              <c:f>[Book1]Sheet1!$C$4:$D$4</c:f>
              <c:numCache>
                <c:formatCode>General</c:formatCode>
                <c:ptCount val="2"/>
                <c:pt idx="0">
                  <c:v>18.5</c:v>
                </c:pt>
                <c:pt idx="1">
                  <c:v>19.7</c:v>
                </c:pt>
              </c:numCache>
            </c:numRef>
          </c:val>
          <c:extLst>
            <c:ext xmlns:c16="http://schemas.microsoft.com/office/drawing/2014/chart" uri="{C3380CC4-5D6E-409C-BE32-E72D297353CC}">
              <c16:uniqueId val="{00000002-0F10-43B2-8F15-8156EBB0320F}"/>
            </c:ext>
          </c:extLst>
        </c:ser>
        <c:ser>
          <c:idx val="1"/>
          <c:order val="1"/>
          <c:tx>
            <c:strRef>
              <c:f>[Book1]Sheet1!$B$5</c:f>
              <c:strCache>
                <c:ptCount val="1"/>
                <c:pt idx="0">
                  <c:v>2018</c:v>
                </c:pt>
              </c:strCache>
            </c:strRef>
          </c:tx>
          <c:spPr>
            <a:gradFill flip="none" rotWithShape="1">
              <a:gsLst>
                <a:gs pos="0">
                  <a:srgbClr val="8064A2"/>
                </a:gs>
                <a:gs pos="75000">
                  <a:srgbClr val="B3A2C7">
                    <a:lumMod val="60000"/>
                    <a:lumOff val="40000"/>
                  </a:srgbClr>
                </a:gs>
                <a:gs pos="51000">
                  <a:srgbClr val="8064A2">
                    <a:alpha val="75000"/>
                  </a:srgbClr>
                </a:gs>
                <a:gs pos="100000">
                  <a:srgbClr val="E6E0EC">
                    <a:lumMod val="20000"/>
                    <a:lumOff val="80000"/>
                    <a:alpha val="15000"/>
                  </a:srgbClr>
                </a:gs>
              </a:gsLst>
              <a:lin ang="5400000" scaled="0"/>
            </a:gradFill>
            <a:ln>
              <a:noFill/>
            </a:ln>
            <a:effectLst/>
          </c:spPr>
          <c:invertIfNegative val="0"/>
          <c:dLbls>
            <c:dLbl>
              <c:idx val="0"/>
              <c:tx>
                <c:rich>
                  <a:bodyPr/>
                  <a:lstStyle/>
                  <a:p>
                    <a:r>
                      <a:rPr lang="en-US"/>
                      <a:t>16,4 %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F10-43B2-8F15-8156EBB0320F}"/>
                </c:ext>
              </c:extLst>
            </c:dLbl>
            <c:dLbl>
              <c:idx val="1"/>
              <c:tx>
                <c:rich>
                  <a:bodyPr/>
                  <a:lstStyle/>
                  <a:p>
                    <a:r>
                      <a:rPr lang="en-US"/>
                      <a:t>17,7 %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F10-43B2-8F15-8156EBB0320F}"/>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rgbClr val="A6A6A6">
                          <a:lumMod val="35000"/>
                          <a:lumOff val="65000"/>
                        </a:srgbClr>
                      </a:solidFill>
                    </a:ln>
                    <a:effectLst/>
                  </c:spPr>
                </c15:leaderLines>
              </c:ext>
            </c:extLst>
          </c:dLbls>
          <c:cat>
            <c:strRef>
              <c:f>[Book1]Sheet1!$C$3:$D$3</c:f>
              <c:strCache>
                <c:ptCount val="2"/>
                <c:pt idx="0">
                  <c:v>National underemployment rate</c:v>
                </c:pt>
                <c:pt idx="1">
                  <c:v>Non-capital underemployment rate</c:v>
                </c:pt>
              </c:strCache>
            </c:strRef>
          </c:cat>
          <c:val>
            <c:numRef>
              <c:f>[Book1]Sheet1!$C$5:$D$5</c:f>
              <c:numCache>
                <c:formatCode>General</c:formatCode>
                <c:ptCount val="2"/>
                <c:pt idx="0">
                  <c:v>16.399999999999999</c:v>
                </c:pt>
                <c:pt idx="1">
                  <c:v>17.7</c:v>
                </c:pt>
              </c:numCache>
            </c:numRef>
          </c:val>
          <c:extLst>
            <c:ext xmlns:c16="http://schemas.microsoft.com/office/drawing/2014/chart" uri="{C3380CC4-5D6E-409C-BE32-E72D297353CC}">
              <c16:uniqueId val="{00000005-0F10-43B2-8F15-8156EBB0320F}"/>
            </c:ext>
          </c:extLst>
        </c:ser>
        <c:dLbls>
          <c:showLegendKey val="0"/>
          <c:showVal val="1"/>
          <c:showCatName val="0"/>
          <c:showSerName val="0"/>
          <c:showPercent val="0"/>
          <c:showBubbleSize val="0"/>
        </c:dLbls>
        <c:gapWidth val="355"/>
        <c:overlap val="-70"/>
        <c:axId val="26518845"/>
        <c:axId val="940535403"/>
      </c:barChart>
      <c:catAx>
        <c:axId val="26518845"/>
        <c:scaling>
          <c:orientation val="minMax"/>
        </c:scaling>
        <c:delete val="0"/>
        <c:axPos val="b"/>
        <c:numFmt formatCode="General" sourceLinked="0"/>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en-US"/>
          </a:p>
        </c:txPr>
        <c:crossAx val="940535403"/>
        <c:crosses val="autoZero"/>
        <c:auto val="1"/>
        <c:lblAlgn val="ctr"/>
        <c:lblOffset val="100"/>
        <c:noMultiLvlLbl val="0"/>
      </c:catAx>
      <c:valAx>
        <c:axId val="940535403"/>
        <c:scaling>
          <c:orientation val="minMax"/>
        </c:scaling>
        <c:delete val="0"/>
        <c:axPos val="l"/>
        <c:majorGridlines>
          <c:spPr>
            <a:ln w="9525" cap="flat" cmpd="sng" algn="ctr">
              <a:gradFill>
                <a:gsLst>
                  <a:gs pos="100000">
                    <a:srgbClr val="F2F2F2">
                      <a:lumMod val="5000"/>
                      <a:lumOff val="95000"/>
                    </a:srgbClr>
                  </a:gs>
                  <a:gs pos="0">
                    <a:srgbClr val="BFBFBF">
                      <a:lumMod val="25000"/>
                      <a:lumOff val="75000"/>
                    </a:srgb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en-US"/>
          </a:p>
        </c:txPr>
        <c:crossAx val="26518845"/>
        <c:crosses val="autoZero"/>
        <c:crossBetween val="between"/>
      </c:valAx>
      <c:dTable>
        <c:showHorzBorder val="1"/>
        <c:showVertBorder val="1"/>
        <c:showOutline val="1"/>
        <c:showKeys val="1"/>
        <c:spPr>
          <a:noFill/>
          <a:ln w="9525">
            <a:solidFill>
              <a:srgbClr val="D9D9D9">
                <a:lumMod val="15000"/>
                <a:lumOff val="85000"/>
              </a:srgbClr>
            </a:solidFill>
          </a:ln>
          <a:effectLst/>
        </c:spPr>
        <c:txPr>
          <a:bodyPr rot="0" spcFirstLastPara="0" vertOverflow="ellipsis" vert="horz" wrap="square" anchor="ctr" anchorCtr="1"/>
          <a:lstStyle/>
          <a:p>
            <a:pPr rtl="0">
              <a:defRPr lang="zh-CN" sz="900" b="0" i="0" u="none" strike="noStrike" kern="1200" baseline="0">
                <a:solidFill>
                  <a:srgbClr val="595959">
                    <a:lumMod val="65000"/>
                    <a:lumOff val="35000"/>
                  </a:srgbClr>
                </a:solidFill>
                <a:latin typeface="+mn-lt"/>
                <a:ea typeface="+mn-ea"/>
                <a:cs typeface="+mn-cs"/>
              </a:defRPr>
            </a:pPr>
            <a:endParaRPr lang="en-US"/>
          </a:p>
        </c:txPr>
      </c:dTable>
      <c:spPr>
        <a:noFill/>
        <a:ln>
          <a:noFill/>
        </a:ln>
        <a:effectLst/>
      </c:spPr>
    </c:plotArea>
    <c:plotVisOnly val="1"/>
    <c:dispBlanksAs val="gap"/>
    <c:showDLblsOverMax val="0"/>
  </c:chart>
  <c:spPr>
    <a:solidFill>
      <a:srgbClr val="B9CDE5">
        <a:lumMod val="40000"/>
        <a:lumOff val="60000"/>
      </a:srgbClr>
    </a:solidFill>
    <a:ln w="9525" cap="flat" cmpd="sng" algn="ctr">
      <a:solidFill>
        <a:srgbClr val="D9D9D9">
          <a:lumMod val="15000"/>
          <a:lumOff val="85000"/>
        </a:srgbClr>
      </a:solidFill>
      <a:round/>
    </a:ln>
    <a:effectLst/>
  </c:spPr>
  <c:txPr>
    <a:bodyPr/>
    <a:lstStyle/>
    <a:p>
      <a:pPr>
        <a:defRPr lang="zh-CN"/>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spPr>
            <a:solidFill>
              <a:srgbClr val="4BACC6"/>
            </a:solidFill>
            <a:ln>
              <a:noFill/>
            </a:ln>
            <a:effectLst/>
          </c:spPr>
          <c:invertIfNegative val="0"/>
          <c:cat>
            <c:strRef>
              <c:f>[Book1]Sheet1!$D$11:$G$11</c:f>
              <c:strCache>
                <c:ptCount val="4"/>
                <c:pt idx="0">
                  <c:v>Nursery Schools</c:v>
                </c:pt>
                <c:pt idx="1">
                  <c:v>Kindergarten</c:v>
                </c:pt>
                <c:pt idx="2">
                  <c:v>Primary Schools</c:v>
                </c:pt>
                <c:pt idx="3">
                  <c:v>Lower-Secondary Schools</c:v>
                </c:pt>
              </c:strCache>
            </c:strRef>
          </c:cat>
          <c:val>
            <c:numRef>
              <c:f>[Book1]Sheet1!$D$12:$G$12</c:f>
              <c:numCache>
                <c:formatCode>General</c:formatCode>
                <c:ptCount val="4"/>
                <c:pt idx="0">
                  <c:v>1043</c:v>
                </c:pt>
                <c:pt idx="1">
                  <c:v>7333</c:v>
                </c:pt>
                <c:pt idx="2">
                  <c:v>60659</c:v>
                </c:pt>
                <c:pt idx="3">
                  <c:v>16679</c:v>
                </c:pt>
              </c:numCache>
            </c:numRef>
          </c:val>
          <c:extLst>
            <c:ext xmlns:c16="http://schemas.microsoft.com/office/drawing/2014/chart" uri="{C3380CC4-5D6E-409C-BE32-E72D297353CC}">
              <c16:uniqueId val="{00000000-6EEA-4D42-AC4A-04AB98B5F6BF}"/>
            </c:ext>
          </c:extLst>
        </c:ser>
        <c:dLbls>
          <c:showLegendKey val="0"/>
          <c:showVal val="0"/>
          <c:showCatName val="0"/>
          <c:showSerName val="0"/>
          <c:showPercent val="0"/>
          <c:showBubbleSize val="0"/>
        </c:dLbls>
        <c:gapWidth val="219"/>
        <c:overlap val="-27"/>
        <c:axId val="132632712"/>
        <c:axId val="990875734"/>
      </c:barChart>
      <c:catAx>
        <c:axId val="132632712"/>
        <c:scaling>
          <c:orientation val="minMax"/>
        </c:scaling>
        <c:delete val="0"/>
        <c:axPos val="b"/>
        <c:numFmt formatCode="General" sourceLinked="0"/>
        <c:majorTickMark val="none"/>
        <c:minorTickMark val="none"/>
        <c:tickLblPos val="nextTo"/>
        <c:spPr>
          <a:noFill/>
          <a:ln w="9525">
            <a:solidFill>
              <a:srgbClr val="D9D9D9">
                <a:lumMod val="15000"/>
                <a:lumOff val="85000"/>
              </a:srgbClr>
            </a:solidFill>
            <a:round/>
          </a:ln>
          <a:effectLst/>
        </c:spPr>
        <c:txPr>
          <a:bodyPr rot="-60000000" spcFirstLastPara="0" vertOverflow="ellipsis" vert="horz" wrap="square" anchor="ctr" anchorCtr="1"/>
          <a:lstStyle/>
          <a:p>
            <a:pPr>
              <a:defRPr lang="en-US" sz="900" b="0" i="0" u="none" strike="noStrike" kern="1200" baseline="0">
                <a:solidFill>
                  <a:srgbClr val="595959">
                    <a:lumMod val="65000"/>
                    <a:lumOff val="35000"/>
                  </a:srgbClr>
                </a:solidFill>
                <a:latin typeface="+mn-lt"/>
                <a:ea typeface="+mn-ea"/>
                <a:cs typeface="+mn-cs"/>
              </a:defRPr>
            </a:pPr>
            <a:endParaRPr lang="en-US"/>
          </a:p>
        </c:txPr>
        <c:crossAx val="990875734"/>
        <c:crosses val="autoZero"/>
        <c:auto val="1"/>
        <c:lblAlgn val="ctr"/>
        <c:lblOffset val="100"/>
        <c:noMultiLvlLbl val="0"/>
      </c:catAx>
      <c:valAx>
        <c:axId val="990875734"/>
        <c:scaling>
          <c:orientation val="minMax"/>
        </c:scaling>
        <c:delete val="0"/>
        <c:axPos val="l"/>
        <c:majorGridlines>
          <c:spPr>
            <a:ln w="9525">
              <a:solidFill>
                <a:srgbClr val="D9D9D9">
                  <a:lumMod val="15000"/>
                  <a:lumOff val="85000"/>
                </a:srgb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rgbClr val="595959">
                    <a:lumMod val="65000"/>
                    <a:lumOff val="35000"/>
                  </a:srgbClr>
                </a:solidFill>
                <a:latin typeface="+mn-lt"/>
                <a:ea typeface="+mn-ea"/>
                <a:cs typeface="+mn-cs"/>
              </a:defRPr>
            </a:pPr>
            <a:endParaRPr lang="en-US"/>
          </a:p>
        </c:txPr>
        <c:crossAx val="132632712"/>
        <c:crosses val="autoZero"/>
        <c:crossBetween val="between"/>
      </c:valAx>
      <c:dTable>
        <c:showHorzBorder val="1"/>
        <c:showVertBorder val="1"/>
        <c:showOutline val="1"/>
        <c:showKeys val="1"/>
        <c:spPr>
          <a:noFill/>
          <a:ln w="9525">
            <a:solidFill>
              <a:srgbClr val="D9D9D9">
                <a:lumMod val="15000"/>
                <a:lumOff val="85000"/>
              </a:srgbClr>
            </a:solidFill>
            <a:round/>
          </a:ln>
          <a:effectLst/>
        </c:spPr>
        <c:txPr>
          <a:bodyPr rot="0" spcFirstLastPara="0" vertOverflow="ellipsis" vert="horz" wrap="square" anchor="ctr" anchorCtr="1"/>
          <a:lstStyle/>
          <a:p>
            <a:pPr rtl="0">
              <a:defRPr lang="en-US" sz="900" b="0" i="0" u="none" strike="noStrike" kern="1200" baseline="0">
                <a:solidFill>
                  <a:srgbClr val="595959">
                    <a:lumMod val="65000"/>
                    <a:lumOff val="35000"/>
                  </a:srgbClr>
                </a:solidFill>
                <a:latin typeface="+mn-lt"/>
                <a:ea typeface="+mn-ea"/>
                <a:cs typeface="+mn-cs"/>
              </a:defRPr>
            </a:pPr>
            <a:endParaRPr lang="en-US"/>
          </a:p>
        </c:txPr>
      </c:dTable>
      <c:spPr>
        <a:noFill/>
        <a:ln>
          <a:noFill/>
        </a:ln>
        <a:effectLst/>
      </c:spPr>
    </c:plotArea>
    <c:plotVisOnly val="1"/>
    <c:dispBlanksAs val="gap"/>
    <c:showDLblsOverMax val="0"/>
  </c:chart>
  <c:spPr>
    <a:solidFill>
      <a:srgbClr val="FFFFFF"/>
    </a:solidFill>
    <a:ln w="9525">
      <a:solidFill>
        <a:srgbClr val="D9D9D9">
          <a:lumMod val="15000"/>
          <a:lumOff val="85000"/>
        </a:srgbClr>
      </a:solidFill>
      <a:round/>
    </a:ln>
    <a:effectLst/>
  </c:spPr>
  <c:txPr>
    <a:bodyPr/>
    <a:lstStyle/>
    <a:p>
      <a:pPr>
        <a:defRPr lang="en-US"/>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F7964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329-49CD-A035-672620C6EA76}"/>
              </c:ext>
            </c:extLst>
          </c:dPt>
          <c:dPt>
            <c:idx val="1"/>
            <c:bubble3D val="0"/>
            <c:spPr>
              <a:solidFill>
                <a:srgbClr val="4BACC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329-49CD-A035-672620C6EA76}"/>
              </c:ext>
            </c:extLst>
          </c:dPt>
          <c:dPt>
            <c:idx val="2"/>
            <c:bubble3D val="0"/>
            <c:spPr>
              <a:solidFill>
                <a:srgbClr val="8064A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329-49CD-A035-672620C6EA76}"/>
              </c:ext>
            </c:extLst>
          </c:dPt>
          <c:dPt>
            <c:idx val="3"/>
            <c:bubble3D val="0"/>
            <c:spPr>
              <a:solidFill>
                <a:srgbClr val="B65708">
                  <a:lumMod val="60000"/>
                </a:srgb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329-49CD-A035-672620C6EA76}"/>
              </c:ext>
            </c:extLst>
          </c:dPt>
          <c:dLbls>
            <c:dLbl>
              <c:idx val="0"/>
              <c:tx>
                <c:rich>
                  <a:bodyPr/>
                  <a:lstStyle/>
                  <a:p>
                    <a:r>
                      <a:rPr lang="en-US"/>
                      <a:t>56%</a:t>
                    </a:r>
                  </a:p>
                </c:rich>
              </c:tx>
              <c:dLblPos val="ctr"/>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A329-49CD-A035-672620C6EA76}"/>
                </c:ext>
              </c:extLst>
            </c:dLbl>
            <c:dLbl>
              <c:idx val="1"/>
              <c:tx>
                <c:rich>
                  <a:bodyPr/>
                  <a:lstStyle/>
                  <a:p>
                    <a:r>
                      <a:rPr lang="en-US"/>
                      <a:t>16,%</a:t>
                    </a:r>
                  </a:p>
                </c:rich>
              </c:tx>
              <c:dLblPos val="ctr"/>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A329-49CD-A035-672620C6EA76}"/>
                </c:ext>
              </c:extLst>
            </c:dLbl>
            <c:dLbl>
              <c:idx val="2"/>
              <c:layout>
                <c:manualLayout>
                  <c:x val="6.5071443004443494E-2"/>
                  <c:y val="0.18161858886625301"/>
                </c:manualLayout>
              </c:layout>
              <c:tx>
                <c:rich>
                  <a:bodyPr/>
                  <a:lstStyle/>
                  <a:p>
                    <a:r>
                      <a:rPr lang="en-US"/>
                      <a:t>8,82%</a:t>
                    </a:r>
                  </a:p>
                </c:rich>
              </c:tx>
              <c:dLblPos val="bestFit"/>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A329-49CD-A035-672620C6EA76}"/>
                </c:ext>
              </c:extLst>
            </c:dLbl>
            <c:dLbl>
              <c:idx val="3"/>
              <c:layout>
                <c:manualLayout>
                  <c:x val="3.2016298726402201E-2"/>
                  <c:y val="0.17819521835961899"/>
                </c:manualLayout>
              </c:layout>
              <c:tx>
                <c:rich>
                  <a:bodyPr/>
                  <a:lstStyle/>
                  <a:p>
                    <a:r>
                      <a:rPr lang="en-US"/>
                      <a:t>4,9,%</a:t>
                    </a:r>
                  </a:p>
                </c:rich>
              </c:tx>
              <c:dLblPos val="bestFit"/>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A329-49CD-A035-672620C6EA76}"/>
                </c:ext>
              </c:extLst>
            </c:dLbl>
            <c:spPr>
              <a:pattFill prst="pct75">
                <a:fgClr>
                  <a:srgbClr val="404040">
                    <a:lumMod val="75000"/>
                    <a:lumOff val="25000"/>
                  </a:srgbClr>
                </a:fgClr>
                <a:bgClr>
                  <a:srgbClr val="595959">
                    <a:lumMod val="65000"/>
                    <a:lumOff val="35000"/>
                  </a:srgb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en-US" sz="1000" b="1" i="0" u="none" strike="noStrike" kern="1200" baseline="0">
                    <a:solidFill>
                      <a:srgbClr val="FFFFFF"/>
                    </a:solidFill>
                    <a:latin typeface="+mn-lt"/>
                    <a:ea typeface="+mn-ea"/>
                    <a:cs typeface="+mn-cs"/>
                  </a:defRPr>
                </a:pPr>
                <a:endParaRPr lang="en-US"/>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[Book1]Sheet1!$D$5:$G$5</c:f>
              <c:strCache>
                <c:ptCount val="4"/>
                <c:pt idx="0">
                  <c:v>Free Trade</c:v>
                </c:pt>
                <c:pt idx="1">
                  <c:v>Services</c:v>
                </c:pt>
                <c:pt idx="2">
                  <c:v>Private Enterprises</c:v>
                </c:pt>
                <c:pt idx="3">
                  <c:v>State Own Enterprises</c:v>
                </c:pt>
              </c:strCache>
            </c:strRef>
          </c:cat>
          <c:val>
            <c:numRef>
              <c:f>[Book1]Sheet1!$D$6:$G$6</c:f>
              <c:numCache>
                <c:formatCode>General</c:formatCode>
                <c:ptCount val="4"/>
                <c:pt idx="0">
                  <c:v>56</c:v>
                </c:pt>
                <c:pt idx="1">
                  <c:v>16</c:v>
                </c:pt>
                <c:pt idx="2">
                  <c:v>8.82</c:v>
                </c:pt>
                <c:pt idx="3">
                  <c:v>4.9000000000000004</c:v>
                </c:pt>
              </c:numCache>
            </c:numRef>
          </c:val>
          <c:extLst>
            <c:ext xmlns:c16="http://schemas.microsoft.com/office/drawing/2014/chart" uri="{C3380CC4-5D6E-409C-BE32-E72D297353CC}">
              <c16:uniqueId val="{00000008-A329-49CD-A035-672620C6EA76}"/>
            </c:ext>
          </c:extLst>
        </c:ser>
        <c:dLbls>
          <c:showLegendKey val="0"/>
          <c:showVal val="0"/>
          <c:showCatName val="0"/>
          <c:showSerName val="0"/>
          <c:showPercent val="1"/>
          <c:showBubbleSize val="0"/>
          <c:showLeaderLines val="0"/>
        </c:dLbls>
        <c:firstSliceAng val="0"/>
      </c:pieChart>
      <c:spPr>
        <a:noFill/>
        <a:ln>
          <a:noFill/>
        </a:ln>
        <a:effectLst/>
      </c:spPr>
    </c:plotArea>
    <c:legend>
      <c:legendPos val="r"/>
      <c:overlay val="0"/>
      <c:spPr>
        <a:solidFill>
          <a:srgbClr val="F2F2F2">
            <a:lumMod val="95000"/>
            <a:alpha val="39000"/>
          </a:srgbClr>
        </a:solidFill>
        <a:ln>
          <a:noFill/>
        </a:ln>
        <a:effectLst/>
      </c:spPr>
      <c:txPr>
        <a:bodyPr rot="0" spcFirstLastPara="0" vertOverflow="ellipsis" vert="horz" wrap="square" anchor="ctr" anchorCtr="1"/>
        <a:lstStyle/>
        <a:p>
          <a:pPr>
            <a:defRPr lang="en-US" sz="900" b="0" i="0" u="none" strike="noStrike" kern="1200" baseline="0">
              <a:solidFill>
                <a:srgbClr val="404040">
                  <a:lumMod val="75000"/>
                  <a:lumOff val="25000"/>
                </a:srgbClr>
              </a:solidFill>
              <a:latin typeface="+mn-lt"/>
              <a:ea typeface="+mn-ea"/>
              <a:cs typeface="+mn-cs"/>
            </a:defRPr>
          </a:pPr>
          <a:endParaRPr lang="en-US"/>
        </a:p>
      </c:txPr>
    </c:legend>
    <c:plotVisOnly val="1"/>
    <c:dispBlanksAs val="gap"/>
    <c:showDLblsOverMax val="0"/>
  </c:chart>
  <c:spPr>
    <a:gradFill rotWithShape="1">
      <a:gsLst>
        <a:gs pos="0">
          <a:srgbClr val="FFFFFF"/>
        </a:gs>
        <a:gs pos="39000">
          <a:srgbClr val="FFFFFF"/>
        </a:gs>
        <a:gs pos="100000">
          <a:srgbClr val="BFBFBF">
            <a:lumMod val="75000"/>
          </a:srgbClr>
        </a:gs>
      </a:gsLst>
      <a:path path="circle">
        <a:fillToRect l="50000" t="-80000" r="50000" b="180000"/>
      </a:path>
    </a:gradFill>
    <a:ln w="9525">
      <a:solidFill>
        <a:srgbClr val="BFBFBF">
          <a:lumMod val="25000"/>
          <a:lumOff val="75000"/>
        </a:srgbClr>
      </a:solidFill>
      <a:round/>
    </a:ln>
    <a:effectLst/>
  </c:spPr>
  <c:txPr>
    <a:bodyPr/>
    <a:lstStyle/>
    <a:p>
      <a:pPr>
        <a:defRPr lang="en-US"/>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1" i="0" u="none" strike="noStrike" kern="1200" spc="0" baseline="0">
                <a:solidFill>
                  <a:srgbClr val="404040">
                    <a:lumMod val="75000"/>
                    <a:lumOff val="25000"/>
                  </a:srgbClr>
                </a:solidFill>
                <a:latin typeface="Microsoft YaHei" panose="020B0503020204020204" charset="-122"/>
                <a:ea typeface="Microsoft YaHei" panose="020B0503020204020204" charset="-122"/>
                <a:cs typeface="Microsoft YaHei" panose="020B0503020204020204" charset="-122"/>
                <a:sym typeface="Microsoft YaHei" panose="020B0503020204020204" charset="-122"/>
              </a:defRPr>
            </a:pPr>
            <a:r>
              <a:rPr lang="en-US" sz="750">
                <a:solidFill>
                  <a:sysClr val="windowText" lastClr="000000"/>
                </a:solidFill>
              </a:rPr>
              <a:t>(in percentage)</a:t>
            </a:r>
          </a:p>
        </c:rich>
      </c:tx>
      <c:layout>
        <c:manualLayout>
          <c:xMode val="edge"/>
          <c:yMode val="edge"/>
          <c:x val="0.42695342326291602"/>
          <c:y val="5.8663028649386099E-2"/>
        </c:manualLayout>
      </c:layout>
      <c:overlay val="0"/>
      <c:spPr>
        <a:noFill/>
        <a:ln>
          <a:noFill/>
        </a:ln>
        <a:effectLst/>
      </c:spPr>
      <c:txPr>
        <a:bodyPr rot="0" spcFirstLastPara="0" vertOverflow="ellipsis" vert="horz" wrap="square" anchor="ctr" anchorCtr="1" forceAA="0"/>
        <a:lstStyle/>
        <a:p>
          <a:pPr defTabSz="914400">
            <a:defRPr lang="zh-CN" sz="1400" b="1" i="0" u="none" strike="noStrike" kern="1200" spc="0" baseline="0">
              <a:solidFill>
                <a:srgbClr val="404040">
                  <a:lumMod val="75000"/>
                  <a:lumOff val="25000"/>
                </a:srgbClr>
              </a:solidFill>
              <a:latin typeface="Microsoft YaHei" panose="020B0503020204020204" charset="-122"/>
              <a:ea typeface="Microsoft YaHei" panose="020B0503020204020204" charset="-122"/>
              <a:cs typeface="Microsoft YaHei" panose="020B0503020204020204" charset="-122"/>
              <a:sym typeface="Microsoft YaHei" panose="020B0503020204020204" charset="-122"/>
            </a:defRPr>
          </a:pPr>
          <a:endParaRPr lang="en-US"/>
        </a:p>
      </c:txPr>
    </c:title>
    <c:autoTitleDeleted val="0"/>
    <c:plotArea>
      <c:layout>
        <c:manualLayout>
          <c:layoutTarget val="inner"/>
          <c:xMode val="edge"/>
          <c:yMode val="edge"/>
          <c:x val="5.0025786487880301E-2"/>
          <c:y val="0.30550329256820302"/>
          <c:w val="0.90330067044868501"/>
          <c:h val="0.54971777986829695"/>
        </c:manualLayout>
      </c:layout>
      <c:barChart>
        <c:barDir val="col"/>
        <c:grouping val="percentStacked"/>
        <c:varyColors val="0"/>
        <c:ser>
          <c:idx val="0"/>
          <c:order val="0"/>
          <c:spPr>
            <a:solidFill>
              <a:srgbClr val="9039AF"/>
            </a:solidFill>
            <a:ln>
              <a:noFill/>
            </a:ln>
            <a:effectLst/>
          </c:spPr>
          <c:invertIfNegative val="0"/>
          <c:dPt>
            <c:idx val="0"/>
            <c:invertIfNegative val="0"/>
            <c:bubble3D val="0"/>
            <c:spPr>
              <a:solidFill>
                <a:srgbClr val="9039AF"/>
              </a:solidFill>
              <a:ln>
                <a:noFill/>
              </a:ln>
              <a:effectLst/>
            </c:spPr>
            <c:extLst>
              <c:ext xmlns:c16="http://schemas.microsoft.com/office/drawing/2014/chart" uri="{C3380CC4-5D6E-409C-BE32-E72D297353CC}">
                <c16:uniqueId val="{00000001-43B2-499E-BDF9-052287F5944A}"/>
              </c:ext>
            </c:extLst>
          </c:dPt>
          <c:dPt>
            <c:idx val="1"/>
            <c:invertIfNegative val="0"/>
            <c:bubble3D val="0"/>
            <c:spPr>
              <a:solidFill>
                <a:srgbClr val="724FB2"/>
              </a:solidFill>
              <a:ln>
                <a:noFill/>
              </a:ln>
              <a:effectLst/>
            </c:spPr>
            <c:extLst>
              <c:ext xmlns:c16="http://schemas.microsoft.com/office/drawing/2014/chart" uri="{C3380CC4-5D6E-409C-BE32-E72D297353CC}">
                <c16:uniqueId val="{00000003-43B2-499E-BDF9-052287F5944A}"/>
              </c:ext>
            </c:extLst>
          </c:dPt>
          <c:dPt>
            <c:idx val="2"/>
            <c:invertIfNegative val="0"/>
            <c:bubble3D val="0"/>
            <c:spPr>
              <a:solidFill>
                <a:srgbClr val="737AC2"/>
              </a:solidFill>
              <a:ln>
                <a:noFill/>
              </a:ln>
              <a:effectLst/>
            </c:spPr>
            <c:extLst>
              <c:ext xmlns:c16="http://schemas.microsoft.com/office/drawing/2014/chart" uri="{C3380CC4-5D6E-409C-BE32-E72D297353CC}">
                <c16:uniqueId val="{00000005-43B2-499E-BDF9-052287F5944A}"/>
              </c:ext>
            </c:extLst>
          </c:dPt>
          <c:dPt>
            <c:idx val="3"/>
            <c:invertIfNegative val="0"/>
            <c:bubble3D val="0"/>
            <c:spPr>
              <a:solidFill>
                <a:srgbClr val="2798C2"/>
              </a:solidFill>
              <a:ln>
                <a:noFill/>
              </a:ln>
              <a:effectLst/>
            </c:spPr>
            <c:extLst>
              <c:ext xmlns:c16="http://schemas.microsoft.com/office/drawing/2014/chart" uri="{C3380CC4-5D6E-409C-BE32-E72D297353CC}">
                <c16:uniqueId val="{00000007-43B2-499E-BDF9-052287F5944A}"/>
              </c:ext>
            </c:extLst>
          </c:dPt>
          <c:dLbls>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rgbClr val="FFFFFF"/>
                    </a:solidFill>
                    <a:latin typeface="Impact" panose="020B0806030902050204" pitchFamily="34" charset="0"/>
                    <a:ea typeface="Impact" panose="020B0806030902050204" pitchFamily="34" charset="0"/>
                    <a:cs typeface="Impact" panose="020B0806030902050204" pitchFamily="34" charset="0"/>
                    <a:sym typeface="Impact" panose="020B080603090205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rgbClr val="A6A6A6">
                          <a:lumMod val="35000"/>
                          <a:lumOff val="65000"/>
                        </a:srgbClr>
                      </a:solidFill>
                      <a:round/>
                    </a:ln>
                    <a:effectLst/>
                  </c:spPr>
                </c15:leaderLines>
              </c:ext>
            </c:extLst>
          </c:dLbls>
          <c:cat>
            <c:strRef>
              <c:f>[Book1]Sheet1!$D$8:$G$8</c:f>
              <c:strCache>
                <c:ptCount val="4"/>
                <c:pt idx="0">
                  <c:v>1 Million/month</c:v>
                </c:pt>
                <c:pt idx="1">
                  <c:v>1-2 Million/month</c:v>
                </c:pt>
                <c:pt idx="2">
                  <c:v>2,1-3 Million/Month</c:v>
                </c:pt>
                <c:pt idx="3">
                  <c:v>&gt; 3,1 Million </c:v>
                </c:pt>
              </c:strCache>
            </c:strRef>
          </c:cat>
          <c:val>
            <c:numRef>
              <c:f>[Book1]Sheet1!$D$9:$G$9</c:f>
              <c:numCache>
                <c:formatCode>General</c:formatCode>
                <c:ptCount val="4"/>
                <c:pt idx="0">
                  <c:v>31</c:v>
                </c:pt>
                <c:pt idx="1">
                  <c:v>27</c:v>
                </c:pt>
                <c:pt idx="2">
                  <c:v>26</c:v>
                </c:pt>
                <c:pt idx="3">
                  <c:v>16</c:v>
                </c:pt>
              </c:numCache>
            </c:numRef>
          </c:val>
          <c:extLst>
            <c:ext xmlns:c16="http://schemas.microsoft.com/office/drawing/2014/chart" uri="{C3380CC4-5D6E-409C-BE32-E72D297353CC}">
              <c16:uniqueId val="{00000008-43B2-499E-BDF9-052287F5944A}"/>
            </c:ext>
          </c:extLst>
        </c:ser>
        <c:dLbls>
          <c:showLegendKey val="0"/>
          <c:showVal val="0"/>
          <c:showCatName val="0"/>
          <c:showSerName val="0"/>
          <c:showPercent val="0"/>
          <c:showBubbleSize val="0"/>
        </c:dLbls>
        <c:gapWidth val="77"/>
        <c:overlap val="100"/>
        <c:axId val="166154473"/>
        <c:axId val="879544560"/>
      </c:barChart>
      <c:catAx>
        <c:axId val="166154473"/>
        <c:scaling>
          <c:orientation val="minMax"/>
        </c:scaling>
        <c:delete val="0"/>
        <c:axPos val="b"/>
        <c:numFmt formatCode="General" sourceLinked="0"/>
        <c:majorTickMark val="out"/>
        <c:minorTickMark val="none"/>
        <c:tickLblPos val="nextTo"/>
        <c:spPr>
          <a:noFill/>
          <a:ln w="9525">
            <a:gradFill rotWithShape="1">
              <a:gsLst>
                <a:gs pos="0">
                  <a:srgbClr val="9039AF"/>
                </a:gs>
                <a:gs pos="19000">
                  <a:srgbClr val="724FB2"/>
                </a:gs>
                <a:gs pos="39000">
                  <a:srgbClr val="737AC2"/>
                </a:gs>
                <a:gs pos="57000">
                  <a:srgbClr val="2798C2"/>
                </a:gs>
                <a:gs pos="73000">
                  <a:srgbClr val="00CCC5"/>
                </a:gs>
                <a:gs pos="84000">
                  <a:srgbClr val="01B1B4"/>
                </a:gs>
                <a:gs pos="100000">
                  <a:srgbClr val="1A6B99"/>
                </a:gs>
              </a:gsLst>
              <a:lin ang="0" scaled="1"/>
            </a:gradFill>
            <a:round/>
          </a:ln>
          <a:effectLst/>
        </c:spPr>
        <c:txPr>
          <a:bodyPr rot="-60000000" spcFirstLastPara="0" vertOverflow="ellipsis" vert="horz" wrap="square" anchor="ctr" anchorCtr="1" forceAA="0"/>
          <a:lstStyle/>
          <a:p>
            <a:pPr>
              <a:defRPr lang="zh-CN" sz="900" b="0" i="0" u="none" strike="noStrike" kern="1200" baseline="0">
                <a:solidFill>
                  <a:srgbClr val="595959">
                    <a:lumMod val="65000"/>
                    <a:lumOff val="35000"/>
                  </a:srgbClr>
                </a:solidFill>
                <a:latin typeface="Microsoft YaHei" panose="020B0503020204020204" charset="-122"/>
                <a:ea typeface="Microsoft YaHei" panose="020B0503020204020204" charset="-122"/>
                <a:cs typeface="Microsoft YaHei" panose="020B0503020204020204" charset="-122"/>
                <a:sym typeface="Microsoft YaHei" panose="020B0503020204020204" charset="-122"/>
              </a:defRPr>
            </a:pPr>
            <a:endParaRPr lang="en-US"/>
          </a:p>
        </c:txPr>
        <c:crossAx val="879544560"/>
        <c:crosses val="autoZero"/>
        <c:auto val="1"/>
        <c:lblAlgn val="ctr"/>
        <c:lblOffset val="100"/>
        <c:noMultiLvlLbl val="0"/>
      </c:catAx>
      <c:valAx>
        <c:axId val="879544560"/>
        <c:scaling>
          <c:orientation val="minMax"/>
        </c:scaling>
        <c:delete val="1"/>
        <c:axPos val="l"/>
        <c:numFmt formatCode="0%" sourceLinked="1"/>
        <c:majorTickMark val="out"/>
        <c:minorTickMark val="none"/>
        <c:tickLblPos val="nextTo"/>
        <c:crossAx val="166154473"/>
        <c:crosses val="autoZero"/>
        <c:crossBetween val="between"/>
      </c:valAx>
      <c:spPr>
        <a:noFill/>
        <a:ln>
          <a:noFill/>
        </a:ln>
        <a:effectLst/>
      </c:spPr>
    </c:plotArea>
    <c:plotVisOnly val="1"/>
    <c:dispBlanksAs val="gap"/>
    <c:showDLblsOverMax val="0"/>
  </c:chart>
  <c:spPr>
    <a:solidFill>
      <a:srgbClr val="FFFFFF"/>
    </a:solidFill>
    <a:ln w="9525">
      <a:gradFill rotWithShape="1">
        <a:gsLst>
          <a:gs pos="0">
            <a:srgbClr val="9039AF"/>
          </a:gs>
          <a:gs pos="19000">
            <a:srgbClr val="724FB2"/>
          </a:gs>
          <a:gs pos="39000">
            <a:srgbClr val="737AC2"/>
          </a:gs>
          <a:gs pos="57000">
            <a:srgbClr val="2798C2"/>
          </a:gs>
          <a:gs pos="73000">
            <a:srgbClr val="00CCC5"/>
          </a:gs>
          <a:gs pos="84000">
            <a:srgbClr val="01B1B4"/>
          </a:gs>
          <a:gs pos="100000">
            <a:srgbClr val="1A6B99"/>
          </a:gs>
        </a:gsLst>
        <a:lin ang="2700000" scaled="1"/>
      </a:gradFill>
      <a:round/>
    </a:ln>
    <a:effectLst/>
  </c:spPr>
  <c:txPr>
    <a:bodyPr/>
    <a:lstStyle/>
    <a:p>
      <a:pPr>
        <a:defRPr lang="zh-CN"/>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500" b="1" i="0" u="none" strike="noStrike" kern="1200" cap="all" spc="100" normalizeH="0" baseline="0">
                <a:solidFill>
                  <a:srgbClr val="FFFFFF"/>
                </a:solidFill>
                <a:latin typeface="+mn-lt"/>
                <a:ea typeface="+mn-ea"/>
                <a:cs typeface="+mn-cs"/>
              </a:defRPr>
            </a:pPr>
            <a:r>
              <a:rPr lang="en-US" sz="1200"/>
              <a:t>(in percent)</a:t>
            </a:r>
          </a:p>
        </c:rich>
      </c:tx>
      <c:overlay val="0"/>
      <c:spPr>
        <a:noFill/>
        <a:ln>
          <a:noFill/>
        </a:ln>
        <a:effectLst/>
      </c:spPr>
      <c:txPr>
        <a:bodyPr rot="0" spcFirstLastPara="0" vertOverflow="ellipsis" vert="horz" wrap="square" anchor="ctr" anchorCtr="1"/>
        <a:lstStyle/>
        <a:p>
          <a:pPr defTabSz="914400">
            <a:defRPr lang="en-US" sz="1500" b="1" i="0" u="none" strike="noStrike" kern="1200" cap="all" spc="100" normalizeH="0" baseline="0">
              <a:solidFill>
                <a:srgbClr val="FFFFFF"/>
              </a:solidFill>
              <a:latin typeface="+mn-lt"/>
              <a:ea typeface="+mn-ea"/>
              <a:cs typeface="+mn-cs"/>
            </a:defRPr>
          </a:pPr>
          <a:endParaRPr lang="en-US"/>
        </a:p>
      </c:txPr>
    </c:title>
    <c:autoTitleDeleted val="0"/>
    <c:plotArea>
      <c:layout/>
      <c:barChart>
        <c:barDir val="col"/>
        <c:grouping val="clustered"/>
        <c:varyColors val="0"/>
        <c:ser>
          <c:idx val="0"/>
          <c:order val="0"/>
          <c:spPr>
            <a:pattFill prst="ltUpDiag">
              <a:fgClr>
                <a:srgbClr val="F79646"/>
              </a:fgClr>
              <a:bgClr>
                <a:srgbClr val="FFFFFF"/>
              </a:bgClr>
            </a:pattFill>
            <a:ln>
              <a:noFill/>
            </a:ln>
            <a:effectLst/>
          </c:spPr>
          <c:invertIfNegative val="0"/>
          <c:cat>
            <c:strRef>
              <c:f>[Book1]Sheet1!$D$5:$K$5</c:f>
              <c:strCache>
                <c:ptCount val="8"/>
                <c:pt idx="0">
                  <c:v>health care facilities</c:v>
                </c:pt>
                <c:pt idx="1">
                  <c:v>educational facilities</c:v>
                </c:pt>
                <c:pt idx="2">
                  <c:v>galleries and exhibition</c:v>
                </c:pt>
                <c:pt idx="3">
                  <c:v>convention centers and office buildings</c:v>
                </c:pt>
                <c:pt idx="4">
                  <c:v>Suppermarket</c:v>
                </c:pt>
                <c:pt idx="5">
                  <c:v>stadiums, post offices, railway stations, border gates</c:v>
                </c:pt>
                <c:pt idx="6">
                  <c:v>elders nursing homes, retirement clubs</c:v>
                </c:pt>
                <c:pt idx="7">
                  <c:v>banks</c:v>
                </c:pt>
              </c:strCache>
            </c:strRef>
          </c:cat>
          <c:val>
            <c:numRef>
              <c:f>[Book1]Sheet1!$D$6:$K$6</c:f>
              <c:numCache>
                <c:formatCode>General</c:formatCode>
                <c:ptCount val="8"/>
                <c:pt idx="0">
                  <c:v>22.6</c:v>
                </c:pt>
                <c:pt idx="1">
                  <c:v>20.8</c:v>
                </c:pt>
                <c:pt idx="2">
                  <c:v>13.2</c:v>
                </c:pt>
                <c:pt idx="3">
                  <c:v>11.3</c:v>
                </c:pt>
                <c:pt idx="4">
                  <c:v>5.7</c:v>
                </c:pt>
                <c:pt idx="5">
                  <c:v>3.8</c:v>
                </c:pt>
                <c:pt idx="6">
                  <c:v>7.5</c:v>
                </c:pt>
                <c:pt idx="7">
                  <c:v>2</c:v>
                </c:pt>
              </c:numCache>
            </c:numRef>
          </c:val>
          <c:extLst>
            <c:ext xmlns:c16="http://schemas.microsoft.com/office/drawing/2014/chart" uri="{C3380CC4-5D6E-409C-BE32-E72D297353CC}">
              <c16:uniqueId val="{00000000-C51F-48FE-AB48-6B2849ED01A3}"/>
            </c:ext>
          </c:extLst>
        </c:ser>
        <c:dLbls>
          <c:showLegendKey val="0"/>
          <c:showVal val="0"/>
          <c:showCatName val="0"/>
          <c:showSerName val="0"/>
          <c:showPercent val="0"/>
          <c:showBubbleSize val="0"/>
        </c:dLbls>
        <c:gapWidth val="269"/>
        <c:overlap val="-20"/>
        <c:axId val="651918207"/>
        <c:axId val="922998010"/>
      </c:barChart>
      <c:catAx>
        <c:axId val="651918207"/>
        <c:scaling>
          <c:orientation val="minMax"/>
        </c:scaling>
        <c:delete val="0"/>
        <c:axPos val="b"/>
        <c:majorGridlines>
          <c:spPr>
            <a:ln w="9525" cap="flat" cmpd="sng" algn="ctr">
              <a:solidFill>
                <a:srgbClr val="FFFFFF">
                  <a:alpha val="25000"/>
                </a:srgbClr>
              </a:solidFill>
              <a:round/>
            </a:ln>
            <a:effectLst/>
          </c:spPr>
        </c:majorGridlines>
        <c:numFmt formatCode="General" sourceLinked="0"/>
        <c:majorTickMark val="out"/>
        <c:minorTickMark val="none"/>
        <c:tickLblPos val="nextTo"/>
        <c:spPr>
          <a:noFill/>
          <a:ln w="3175" cap="flat" cmpd="sng" algn="ctr">
            <a:solidFill>
              <a:srgbClr val="FAC090">
                <a:lumMod val="60000"/>
                <a:lumOff val="40000"/>
              </a:srgbClr>
            </a:solidFill>
            <a:round/>
          </a:ln>
          <a:effectLst/>
        </c:spPr>
        <c:txPr>
          <a:bodyPr rot="-60000000" spcFirstLastPara="0" vertOverflow="ellipsis" vert="horz" wrap="square" anchor="ctr" anchorCtr="1"/>
          <a:lstStyle/>
          <a:p>
            <a:pPr>
              <a:defRPr lang="en-US" sz="800" b="0" i="0" u="none" strike="noStrike" kern="1200" cap="all" spc="150" normalizeH="0" baseline="0">
                <a:solidFill>
                  <a:srgbClr val="FFFFFF"/>
                </a:solidFill>
                <a:latin typeface="+mn-lt"/>
                <a:ea typeface="+mn-ea"/>
                <a:cs typeface="+mn-cs"/>
              </a:defRPr>
            </a:pPr>
            <a:endParaRPr lang="en-US"/>
          </a:p>
        </c:txPr>
        <c:crossAx val="922998010"/>
        <c:crosses val="autoZero"/>
        <c:auto val="1"/>
        <c:lblAlgn val="ctr"/>
        <c:lblOffset val="100"/>
        <c:noMultiLvlLbl val="0"/>
      </c:catAx>
      <c:valAx>
        <c:axId val="922998010"/>
        <c:scaling>
          <c:orientation val="minMax"/>
        </c:scaling>
        <c:delete val="0"/>
        <c:axPos val="l"/>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rgbClr val="FFFFFF"/>
                </a:solidFill>
                <a:latin typeface="+mn-lt"/>
                <a:ea typeface="+mn-ea"/>
                <a:cs typeface="+mn-cs"/>
              </a:defRPr>
            </a:pPr>
            <a:endParaRPr lang="en-US"/>
          </a:p>
        </c:txPr>
        <c:crossAx val="651918207"/>
        <c:crosses val="autoZero"/>
        <c:crossBetween val="between"/>
      </c:valAx>
      <c:dTable>
        <c:showHorzBorder val="1"/>
        <c:showVertBorder val="1"/>
        <c:showOutline val="1"/>
        <c:showKeys val="1"/>
        <c:spPr>
          <a:noFill/>
          <a:ln w="9525">
            <a:solidFill>
              <a:srgbClr val="FAC090">
                <a:lumMod val="60000"/>
                <a:lumOff val="40000"/>
              </a:srgbClr>
            </a:solidFill>
          </a:ln>
          <a:effectLst/>
        </c:spPr>
        <c:txPr>
          <a:bodyPr rot="0" spcFirstLastPara="0" vertOverflow="ellipsis" vert="horz" wrap="square" anchor="ctr" anchorCtr="1"/>
          <a:lstStyle/>
          <a:p>
            <a:pPr rtl="0">
              <a:defRPr lang="en-US" sz="900" b="0" i="0" u="none" strike="noStrike" kern="1200" baseline="0">
                <a:solidFill>
                  <a:srgbClr val="FFFFFF"/>
                </a:solidFill>
                <a:latin typeface="+mn-lt"/>
                <a:ea typeface="+mn-ea"/>
                <a:cs typeface="+mn-cs"/>
              </a:defRPr>
            </a:pPr>
            <a:endParaRPr lang="en-US"/>
          </a:p>
        </c:txPr>
      </c:dTable>
      <c:spPr>
        <a:noFill/>
        <a:ln>
          <a:noFill/>
        </a:ln>
        <a:effectLst/>
      </c:spPr>
    </c:plotArea>
    <c:plotVisOnly val="1"/>
    <c:dispBlanksAs val="gap"/>
    <c:showDLblsOverMax val="0"/>
  </c:chart>
  <c:spPr>
    <a:solidFill>
      <a:srgbClr val="F79646"/>
    </a:solidFill>
    <a:ln w="9525" cap="flat" cmpd="sng" algn="ctr">
      <a:solidFill>
        <a:srgbClr val="F79646"/>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rgbClr val="C0504D"/>
  <a:srgbClr val="8064A2"/>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5">
  <a:srgbClr val="4BACC6"/>
</cs:colorStyle>
</file>

<file path=word/charts/colors4.xml><?xml version="1.0" encoding="utf-8"?>
<cs:colorStyle xmlns:cs="http://schemas.microsoft.com/office/drawing/2012/chartStyle" xmlns:a="http://schemas.openxmlformats.org/drawingml/2006/main" meth="cycle" id="13">
  <a:srgbClr val="F79646"/>
  <a:srgbClr val="4BACC6"/>
  <a:srgbClr val="8064A2"/>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rgbClr val="F79646"/>
  <a:srgbClr val="4BACC6"/>
  <a:srgbClr val="8064A2"/>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0">
  <cs:axisTitle>
    <cs:lnRef idx="0"/>
    <cs:fillRef idx="0"/>
    <cs:effectRef idx="0"/>
    <cs:fontRef idx="minor">
      <a:srgbClr val="595959">
        <a:lumMod val="65000"/>
        <a:lumOff val="35000"/>
      </a:srgbClr>
    </cs:fontRef>
    <cs:defRPr sz="900" kern="1200" cap="all"/>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9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FFFFFF"/>
    </cs:fontRef>
    <cs:spPr>
      <a:solidFill>
        <a:srgbClr val="808080">
          <a:lumMod val="50000"/>
          <a:lumOff val="50000"/>
        </a:srgb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rgbClr val="000000"/>
    </cs:fontRef>
    <cs:spPr>
      <a:gradFill flip="none" rotWithShape="1">
        <a:gsLst>
          <a:gs pos="0">
            <a:srgbClr val="FFFFFF"/>
          </a:gs>
          <a:gs pos="75000">
            <a:srgbClr val="FFFFFF">
              <a:lumMod val="60000"/>
              <a:lumOff val="40000"/>
            </a:srgbClr>
          </a:gs>
          <a:gs pos="51000">
            <a:srgbClr val="FFFFFF">
              <a:alpha val="75000"/>
            </a:srgbClr>
          </a:gs>
          <a:gs pos="100000">
            <a:srgbClr val="FFFFFF">
              <a:lumMod val="20000"/>
              <a:lumOff val="80000"/>
              <a:alpha val="15000"/>
            </a:srgbClr>
          </a:gs>
        </a:gsLst>
        <a:lin ang="5400000" scaled="0"/>
      </a:gradFill>
    </cs:spPr>
  </cs:dataPoint>
  <cs:dataPoint3D>
    <cs:lnRef idx="0"/>
    <cs:fillRef idx="0">
      <cs:styleClr val="auto"/>
    </cs:fillRef>
    <cs:effectRef idx="0"/>
    <cs:fontRef idx="minor">
      <a:srgbClr val="000000"/>
    </cs:fontRef>
    <cs:spPr>
      <a:gradFill flip="none" rotWithShape="1">
        <a:gsLst>
          <a:gs pos="0">
            <a:srgbClr val="FFFFFF"/>
          </a:gs>
          <a:gs pos="75000">
            <a:srgbClr val="FFFFFF">
              <a:lumMod val="60000"/>
              <a:lumOff val="40000"/>
            </a:srgbClr>
          </a:gs>
          <a:gs pos="51000">
            <a:srgbClr val="FFFFFF">
              <a:alpha val="75000"/>
            </a:srgbClr>
          </a:gs>
          <a:gs pos="100000">
            <a:srgbClr val="FFFFFF">
              <a:lumMod val="20000"/>
              <a:lumOff val="80000"/>
              <a:alpha val="15000"/>
            </a:srgbClr>
          </a:gs>
        </a:gsLst>
        <a:lin ang="5400000" scaled="0"/>
      </a:gradFill>
    </cs:spPr>
  </cs:dataPoint3D>
  <cs:dataPointLine>
    <cs:lnRef idx="0">
      <cs:styleClr val="auto"/>
    </cs:lnRef>
    <cs:fillRef idx="0"/>
    <cs:effectRef idx="0"/>
    <cs:fontRef idx="minor">
      <a:srgbClr val="000000"/>
    </cs:fontRef>
    <cs:spPr>
      <a:ln w="28575" cap="rnd">
        <a:solidFill>
          <a:srgbClr val="FFFFFF"/>
        </a:solidFill>
        <a:round/>
      </a:ln>
    </cs:spPr>
  </cs:dataPointLine>
  <cs:dataPointMarker>
    <cs:lnRef idx="0">
      <cs:styleClr val="auto"/>
    </cs:lnRef>
    <cs:fillRef idx="0">
      <cs:styleClr val="auto"/>
    </cs:fillRef>
    <cs:effectRef idx="0"/>
    <cs:fontRef idx="minor">
      <a:srgbClr val="000000"/>
    </cs:fontRef>
    <cs:spPr>
      <a:gradFill flip="none" rotWithShape="1">
        <a:gsLst>
          <a:gs pos="0">
            <a:srgbClr val="FFFFFF"/>
          </a:gs>
          <a:gs pos="75000">
            <a:srgbClr val="FFFFFF">
              <a:lumMod val="60000"/>
              <a:lumOff val="40000"/>
            </a:srgbClr>
          </a:gs>
          <a:gs pos="51000">
            <a:srgbClr val="FFFFFF">
              <a:alpha val="75000"/>
            </a:srgbClr>
          </a:gs>
          <a:gs pos="100000">
            <a:srgbClr val="FFFFFF">
              <a:lumMod val="20000"/>
              <a:lumOff val="80000"/>
              <a:alpha val="15000"/>
            </a:srgbClr>
          </a:gs>
        </a:gsLst>
        <a:lin ang="5400000" scaled="0"/>
      </a:gradFill>
      <a:ln w="9525" cap="flat" cmpd="sng" algn="ctr">
        <a:solidFill>
          <a:srgbClr val="F9F9F9">
            <a:shade val="95000"/>
          </a:srgbClr>
        </a:solidFill>
        <a:round/>
      </a:ln>
    </cs:spPr>
  </cs:dataPointMarker>
  <cs:dataPointMarkerLayout symbol="circle" size="6"/>
  <cs:dataPointWireframe>
    <cs:lnRef idx="0">
      <cs:styleClr val="auto"/>
    </cs:lnRef>
    <cs:fillRef idx="0"/>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ln w="9525">
        <a:solidFill>
          <a:srgbClr val="D9D9D9">
            <a:lumMod val="15000"/>
            <a:lumOff val="85000"/>
          </a:srgbClr>
        </a:solidFill>
      </a:ln>
    </cs:spPr>
    <cs:defRPr sz="900" kern="1200"/>
  </cs:dataTable>
  <cs:downBar>
    <cs:lnRef idx="0"/>
    <cs:fillRef idx="0"/>
    <cs:effectRef idx="0"/>
    <cs:fontRef idx="minor">
      <a:srgbClr val="000000"/>
    </cs:fontRef>
    <cs:spPr>
      <a:solidFill>
        <a:srgbClr val="404040">
          <a:lumMod val="75000"/>
          <a:lumOff val="25000"/>
        </a:srgbClr>
      </a:solidFill>
      <a:ln w="9525">
        <a:solidFill>
          <a:srgbClr val="595959">
            <a:lumMod val="65000"/>
            <a:lumOff val="35000"/>
          </a:srgbClr>
        </a:solidFill>
      </a:ln>
    </cs:spPr>
  </cs:downBar>
  <cs:dropLine>
    <cs:lnRef idx="0"/>
    <cs:fillRef idx="0"/>
    <cs:effectRef idx="0"/>
    <cs:fontRef idx="minor">
      <a:srgbClr val="000000"/>
    </cs:fontRef>
    <cs:spPr>
      <a:ln w="9525">
        <a:solidFill>
          <a:srgbClr val="A6A6A6">
            <a:lumMod val="35000"/>
            <a:lumOff val="65000"/>
          </a:srgbClr>
        </a:solidFill>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floor>
  <cs:gridlineMajor>
    <cs:lnRef idx="0"/>
    <cs:fillRef idx="0"/>
    <cs:effectRef idx="0"/>
    <cs:fontRef idx="minor">
      <a:srgbClr val="000000"/>
    </cs:fontRef>
    <cs:spPr>
      <a:ln w="9525" cap="flat" cmpd="sng" algn="ctr">
        <a:gradFill>
          <a:gsLst>
            <a:gs pos="100000">
              <a:srgbClr val="F2F2F2">
                <a:lumMod val="5000"/>
                <a:lumOff val="95000"/>
              </a:srgbClr>
            </a:gs>
            <a:gs pos="0">
              <a:srgbClr val="BFBFBF">
                <a:lumMod val="25000"/>
                <a:lumOff val="75000"/>
              </a:srgbClr>
            </a:gs>
          </a:gsLst>
          <a:lin ang="5400000" scaled="0"/>
        </a:gradFill>
        <a:round/>
      </a:ln>
    </cs:spPr>
  </cs:gridlineMajor>
  <cs:gridlineMinor>
    <cs:lnRef idx="0"/>
    <cs:fillRef idx="0"/>
    <cs:effectRef idx="0"/>
    <cs:fontRef idx="minor">
      <a:srgbClr val="000000"/>
    </cs:fontRef>
    <cs:spPr>
      <a:ln w="9525" cap="flat" cmpd="sng" algn="ctr">
        <a:gradFill>
          <a:gsLst>
            <a:gs pos="100000">
              <a:srgbClr val="F2F2F2">
                <a:lumMod val="5000"/>
                <a:lumOff val="95000"/>
              </a:srgbClr>
            </a:gs>
            <a:gs pos="0">
              <a:srgbClr val="BFBFBF">
                <a:lumMod val="25000"/>
                <a:lumOff val="75000"/>
              </a:srgbClr>
            </a:gs>
          </a:gsLst>
          <a:lin ang="5400000" scaled="0"/>
        </a:gradFill>
        <a:round/>
      </a:ln>
    </cs:spPr>
  </cs:gridlineMinor>
  <cs:hiLoLine>
    <cs:lnRef idx="0"/>
    <cs:fillRef idx="0"/>
    <cs:effectRef idx="0"/>
    <cs:fontRef idx="minor">
      <a:srgbClr val="000000"/>
    </cs:fontRef>
    <cs:spPr>
      <a:ln w="9525">
        <a:solidFill>
          <a:srgbClr val="808080">
            <a:lumMod val="50000"/>
            <a:lumOff val="50000"/>
          </a:srgbClr>
        </a:solidFill>
      </a:ln>
    </cs:spPr>
  </cs:hiLoLine>
  <cs:leaderLine>
    <cs:lnRef idx="0"/>
    <cs:fillRef idx="0"/>
    <cs:effectRef idx="0"/>
    <cs:fontRef idx="minor">
      <a:srgbClr val="000000"/>
    </cs:fontRef>
    <cs:spPr>
      <a:ln w="9525">
        <a:solidFill>
          <a:srgbClr val="A6A6A6">
            <a:lumMod val="35000"/>
            <a:lumOff val="65000"/>
          </a:srgbClr>
        </a:solidFill>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spPr>
      <a:ln w="9525" cap="flat" cmpd="sng" algn="ctr">
        <a:solidFill>
          <a:srgbClr val="D9D9D9">
            <a:lumMod val="15000"/>
            <a:lumOff val="85000"/>
          </a:srgbClr>
        </a:solidFill>
        <a:round/>
        <a:headEnd type="none" w="sm" len="sm"/>
        <a:tailEnd type="none" w="sm" len="sm"/>
      </a:ln>
    </cs:spPr>
    <cs:defRPr sz="900" kern="1200"/>
  </cs:seriesAxis>
  <cs:seriesLine>
    <cs:lnRef idx="0"/>
    <cs:fillRef idx="0"/>
    <cs:effectRef idx="0"/>
    <cs:fontRef idx="minor">
      <a:srgbClr val="000000"/>
    </cs:fontRef>
    <cs:spPr>
      <a:ln w="9525">
        <a:solidFill>
          <a:srgbClr val="A6A6A6">
            <a:lumMod val="35000"/>
            <a:lumOff val="65000"/>
          </a:srgbClr>
        </a:solidFill>
        <a:round/>
      </a:ln>
    </cs:spPr>
  </cs:seriesLine>
  <cs:title>
    <cs:lnRef idx="0"/>
    <cs:fillRef idx="0"/>
    <cs:effectRef idx="0"/>
    <cs:fontRef idx="minor">
      <a:srgbClr val="595959">
        <a:lumMod val="65000"/>
        <a:lumOff val="35000"/>
      </a:srgbClr>
    </cs:fontRef>
    <cs:defRPr sz="1800" b="1" kern="1200" cap="all" spc="50" baseline="0"/>
  </cs:title>
  <cs:trendline>
    <cs:lnRef idx="0">
      <cs:styleClr val="auto"/>
    </cs:lnRef>
    <cs:fillRef idx="0"/>
    <cs:effectRef idx="0"/>
    <cs:fontRef idx="minor">
      <a:srgbClr val="000000"/>
    </cs:fontRef>
    <cs:spPr>
      <a:ln w="9525" cap="rnd">
        <a:solidFill>
          <a:srgbClr val="FFFFFF"/>
        </a:solidFill>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595959">
            <a:lumMod val="65000"/>
            <a:lumOff val="3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a:solidFill>
          <a:srgbClr val="A6A6A6">
            <a:lumMod val="35000"/>
            <a:lumOff val="65000"/>
          </a:srgbClr>
        </a:solidFill>
        <a:round/>
      </a:ln>
    </cs:spPr>
  </cs:dropLine>
  <cs:errorBar>
    <cs:lnRef idx="0"/>
    <cs:fillRef idx="0"/>
    <cs:effectRef idx="0"/>
    <cs:fontRef idx="minor">
      <a:srgbClr val="000000"/>
    </cs:fontRef>
    <cs:spPr>
      <a:ln w="9525">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a:solidFill>
          <a:srgbClr val="D9D9D9">
            <a:lumMod val="15000"/>
            <a:lumOff val="85000"/>
          </a:srgbClr>
        </a:solidFill>
        <a:round/>
      </a:ln>
    </cs:spPr>
  </cs:gridlineMajor>
  <cs:gridlineMinor>
    <cs:lnRef idx="0"/>
    <cs:fillRef idx="0"/>
    <cs:effectRef idx="0"/>
    <cs:fontRef idx="minor">
      <a:srgbClr val="000000"/>
    </cs:fontRef>
    <cs:spPr>
      <a:ln w="9525">
        <a:solidFill>
          <a:srgbClr val="F2F2F2">
            <a:lumMod val="5000"/>
            <a:lumOff val="95000"/>
          </a:srgbClr>
        </a:solidFill>
        <a:round/>
      </a:ln>
    </cs:spPr>
  </cs:gridlineMinor>
  <cs:hiLoLine>
    <cs:lnRef idx="0"/>
    <cs:fillRef idx="0"/>
    <cs:effectRef idx="0"/>
    <cs:fontRef idx="minor">
      <a:srgbClr val="000000"/>
    </cs:fontRef>
    <cs:spPr>
      <a:ln w="9525">
        <a:solidFill>
          <a:srgbClr val="404040">
            <a:lumMod val="75000"/>
            <a:lumOff val="25000"/>
          </a:srgbClr>
        </a:solidFill>
        <a:round/>
      </a:ln>
    </cs:spPr>
  </cs:hiLoLine>
  <cs:leaderLine>
    <cs:lnRef idx="0"/>
    <cs:fillRef idx="0"/>
    <cs:effectRef idx="0"/>
    <cs:fontRef idx="minor">
      <a:srgbClr val="000000"/>
    </cs:fontRef>
    <cs:spPr>
      <a:ln w="9525">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rgbClr val="404040">
        <a:lumMod val="75000"/>
        <a:lumOff val="25000"/>
      </a:srgbClr>
    </cs:fontRef>
    <cs:defRPr sz="900" b="1" kern="1200"/>
  </cs:axisTitle>
  <cs:categoryAxis>
    <cs:lnRef idx="0"/>
    <cs:fillRef idx="0"/>
    <cs:effectRef idx="0"/>
    <cs:fontRef idx="minor">
      <a:srgbClr val="404040">
        <a:lumMod val="75000"/>
        <a:lumOff val="25000"/>
      </a:srgbClr>
    </cs:fontRef>
    <cs:spPr>
      <a:ln w="19050">
        <a:solidFill>
          <a:srgbClr val="404040">
            <a:lumMod val="75000"/>
            <a:lumOff val="25000"/>
          </a:srgbClr>
        </a:solidFill>
        <a:round/>
      </a:ln>
    </cs:spPr>
    <cs:defRPr sz="900" kern="1200" cap="all" baseline="0"/>
  </cs:categoryAxis>
  <cs:chartArea>
    <cs:lnRef idx="0"/>
    <cs:fillRef idx="0"/>
    <cs:effectRef idx="0"/>
    <cs:fontRef idx="minor">
      <a:srgbClr val="000000"/>
    </cs:fontRef>
    <cs:spPr>
      <a:gradFill rotWithShape="1">
        <a:gsLst>
          <a:gs pos="0">
            <a:srgbClr val="FFFFFF"/>
          </a:gs>
          <a:gs pos="39000">
            <a:srgbClr val="FFFFFF"/>
          </a:gs>
          <a:gs pos="100000">
            <a:srgbClr val="BFBFBF">
              <a:lumMod val="75000"/>
            </a:srgbClr>
          </a:gs>
        </a:gsLst>
        <a:path path="circle">
          <a:fillToRect l="50000" t="-80000" r="50000" b="180000"/>
        </a:path>
      </a:gradFill>
      <a:ln w="9525">
        <a:solidFill>
          <a:srgbClr val="BFBFBF">
            <a:lumMod val="25000"/>
            <a:lumOff val="75000"/>
          </a:srgbClr>
        </a:solidFill>
        <a:round/>
      </a:ln>
    </cs:spPr>
    <cs:defRPr sz="900" kern="1200"/>
  </cs:chartArea>
  <cs:dataLabel>
    <cs:lnRef idx="0"/>
    <cs:fillRef idx="0"/>
    <cs:effectRef idx="0"/>
    <cs:fontRef idx="minor">
      <a:srgbClr val="FFFFFF"/>
    </cs:fontRef>
    <cs:spPr>
      <a:pattFill prst="pct75">
        <a:fgClr>
          <a:srgbClr val="404040">
            <a:lumMod val="75000"/>
            <a:lumOff val="25000"/>
          </a:srgbClr>
        </a:fgClr>
        <a:bgClr>
          <a:srgbClr val="595959">
            <a:lumMod val="65000"/>
            <a:lumOff val="35000"/>
          </a:srgb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rgbClr val="FFFFFF"/>
    </cs:fontRef>
    <cs:spPr>
      <a:pattFill prst="pct75">
        <a:fgClr>
          <a:srgbClr val="404040">
            <a:lumMod val="75000"/>
            <a:lumOff val="25000"/>
          </a:srgbClr>
        </a:fgClr>
        <a:bgClr>
          <a:srgbClr val="595959">
            <a:lumMod val="65000"/>
            <a:lumOff val="35000"/>
          </a:srgb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rgbClr val="000000"/>
    </cs:fontRef>
    <cs:spPr>
      <a:solidFill>
        <a:srgbClr val="FFFFFF"/>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rgbClr val="000000"/>
    </cs:fontRef>
    <cs:spPr>
      <a:solidFill>
        <a:srgbClr val="FFFFFF"/>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rgbClr val="000000"/>
    </cs:fontRef>
    <cs:spPr>
      <a:ln w="31750" cap="rnd">
        <a:solidFill>
          <a:srgbClr val="FFFFFF">
            <a:alpha val="85000"/>
          </a:srgbClr>
        </a:solidFill>
        <a:round/>
      </a:ln>
    </cs:spPr>
  </cs:dataPointLine>
  <cs:dataPointMarker>
    <cs:lnRef idx="0"/>
    <cs:fillRef idx="0">
      <cs:styleClr val="auto"/>
    </cs:fillRef>
    <cs:effectRef idx="0"/>
    <cs:fontRef idx="minor">
      <a:srgbClr val="000000"/>
    </cs:fontRef>
    <cs:spPr>
      <a:solidFill>
        <a:srgbClr val="FFFFFF">
          <a:alpha val="85000"/>
        </a:srgbClr>
      </a:solidFill>
    </cs:spPr>
  </cs:dataPointMarker>
  <cs:dataPointMarkerLayout symbol="circle" size="6"/>
  <cs:dataPointWireframe>
    <cs:lnRef idx="0">
      <cs:styleClr val="auto"/>
    </cs:lnRef>
    <cs:fillRef idx="0"/>
    <cs:effectRef idx="0"/>
    <cs:fontRef idx="minor">
      <a:srgbClr val="000000"/>
    </cs:fontRef>
    <cs:spPr>
      <a:ln w="9525" cap="rnd">
        <a:solidFill>
          <a:srgbClr val="FFFFFF"/>
        </a:solidFill>
        <a:round/>
      </a:ln>
    </cs:spPr>
  </cs:dataPointWireframe>
  <cs:dataTable>
    <cs:lnRef idx="0"/>
    <cs:fillRef idx="0"/>
    <cs:effectRef idx="0"/>
    <cs:fontRef idx="minor">
      <a:srgbClr val="404040">
        <a:lumMod val="75000"/>
        <a:lumOff val="25000"/>
      </a:srgbClr>
    </cs:fontRef>
    <cs:spPr>
      <a:ln w="9525">
        <a:solidFill>
          <a:srgbClr val="A6A6A6">
            <a:lumMod val="35000"/>
            <a:lumOff val="65000"/>
          </a:srgbClr>
        </a:solidFill>
      </a:ln>
    </cs:spPr>
    <cs:defRPr sz="900" kern="1200"/>
  </cs:dataTable>
  <cs:downBar>
    <cs:lnRef idx="0"/>
    <cs:fillRef idx="0"/>
    <cs:effectRef idx="0"/>
    <cs:fontRef idx="minor">
      <a:srgbClr val="000000"/>
    </cs:fontRef>
    <cs:spPr>
      <a:solidFill>
        <a:srgbClr val="808080">
          <a:lumMod val="50000"/>
          <a:lumOff val="50000"/>
        </a:srgbClr>
      </a:solidFill>
      <a:ln w="9525">
        <a:solidFill>
          <a:srgbClr val="595959">
            <a:lumMod val="65000"/>
            <a:lumOff val="35000"/>
          </a:srgbClr>
        </a:solidFill>
      </a:ln>
    </cs:spPr>
  </cs:downBar>
  <cs:dropLine>
    <cs:lnRef idx="0"/>
    <cs:fillRef idx="0"/>
    <cs:effectRef idx="0"/>
    <cs:fontRef idx="minor">
      <a:srgbClr val="000000"/>
    </cs:fontRef>
    <cs:spPr>
      <a:ln w="9525">
        <a:solidFill>
          <a:srgbClr val="A6A6A6">
            <a:lumMod val="35000"/>
            <a:lumOff val="65000"/>
          </a:srgbClr>
        </a:solidFill>
        <a:prstDash val="dash"/>
      </a:ln>
    </cs:spPr>
  </cs:dropLine>
  <cs:errorBar>
    <cs:lnRef idx="0"/>
    <cs:fillRef idx="0"/>
    <cs:effectRef idx="0"/>
    <cs:fontRef idx="minor">
      <a:srgbClr val="000000"/>
    </cs:fontRef>
    <cs:spPr>
      <a:ln w="9525">
        <a:solidFill>
          <a:srgbClr val="595959">
            <a:lumMod val="65000"/>
            <a:lumOff val="35000"/>
          </a:srgbClr>
        </a:solidFill>
        <a:round/>
      </a:ln>
    </cs:spPr>
  </cs:errorBar>
  <cs:floor>
    <cs:lnRef idx="0"/>
    <cs:fillRef idx="0"/>
    <cs:effectRef idx="0"/>
    <cs:fontRef idx="minor">
      <a:srgbClr val="000000"/>
    </cs:fontRef>
  </cs:floor>
  <cs:gridlineMajor>
    <cs:lnRef idx="0"/>
    <cs:fillRef idx="0"/>
    <cs:effectRef idx="0"/>
    <cs:fontRef idx="minor">
      <a:srgbClr val="000000"/>
    </cs:fontRef>
    <cs:spPr>
      <a:ln w="9525">
        <a:gradFill rotWithShape="1">
          <a:gsLst>
            <a:gs pos="0">
              <a:srgbClr val="BFBFBF">
                <a:lumMod val="75000"/>
                <a:alpha val="36000"/>
              </a:srgbClr>
            </a:gs>
            <a:gs pos="100000">
              <a:srgbClr val="0D0D0D">
                <a:lumMod val="95000"/>
                <a:lumOff val="5000"/>
                <a:alpha val="42000"/>
              </a:srgbClr>
            </a:gs>
          </a:gsLst>
          <a:lin ang="5400000" scaled="0"/>
        </a:gradFill>
        <a:round/>
      </a:ln>
    </cs:spPr>
  </cs:gridlineMajor>
  <cs:gridlineMinor>
    <cs:lnRef idx="0"/>
    <cs:fillRef idx="0"/>
    <cs:effectRef idx="0"/>
    <cs:fontRef idx="minor">
      <a:srgbClr val="000000"/>
    </cs:fontRef>
    <cs:spPr>
      <a:ln>
        <a:gradFill rotWithShape="1">
          <a:gsLst>
            <a:gs pos="0">
              <a:srgbClr val="BFBFBF">
                <a:lumMod val="75000"/>
                <a:alpha val="36000"/>
              </a:srgbClr>
            </a:gs>
            <a:gs pos="100000">
              <a:srgbClr val="0D0D0D">
                <a:lumMod val="95000"/>
                <a:lumOff val="5000"/>
                <a:alpha val="42000"/>
              </a:srgbClr>
            </a:gs>
          </a:gsLst>
          <a:lin ang="5400000" scaled="0"/>
        </a:gradFill>
      </a:ln>
    </cs:spPr>
  </cs:gridlineMinor>
  <cs:hiLoLine>
    <cs:lnRef idx="0"/>
    <cs:fillRef idx="0"/>
    <cs:effectRef idx="0"/>
    <cs:fontRef idx="minor">
      <a:srgbClr val="000000"/>
    </cs:fontRef>
    <cs:spPr>
      <a:ln w="9525">
        <a:solidFill>
          <a:srgbClr val="A6A6A6">
            <a:lumMod val="35000"/>
            <a:lumOff val="65000"/>
          </a:srgbClr>
        </a:solidFill>
        <a:prstDash val="dash"/>
      </a:ln>
    </cs:spPr>
  </cs:hiLoLine>
  <cs:leaderLine>
    <cs:lnRef idx="0"/>
    <cs:fillRef idx="0"/>
    <cs:effectRef idx="0"/>
    <cs:fontRef idx="minor">
      <a:srgbClr val="000000"/>
    </cs:fontRef>
    <cs:spPr>
      <a:ln w="9525">
        <a:solidFill>
          <a:srgbClr val="808080">
            <a:lumMod val="50000"/>
            <a:lumOff val="50000"/>
          </a:srgbClr>
        </a:solidFill>
      </a:ln>
    </cs:spPr>
  </cs:leaderLine>
  <cs:legend>
    <cs:lnRef idx="0"/>
    <cs:fillRef idx="0"/>
    <cs:effectRef idx="0"/>
    <cs:fontRef idx="minor">
      <a:srgbClr val="404040">
        <a:lumMod val="75000"/>
        <a:lumOff val="25000"/>
      </a:srgbClr>
    </cs:fontRef>
    <cs:spPr>
      <a:solidFill>
        <a:srgbClr val="F2F2F2">
          <a:lumMod val="95000"/>
          <a:alpha val="39000"/>
        </a:srgbClr>
      </a:solidFill>
    </cs:spPr>
    <cs:defRPr sz="900" kern="1200"/>
  </cs:legend>
  <cs:plotArea>
    <cs:lnRef idx="0"/>
    <cs:fillRef idx="0"/>
    <cs:effectRef idx="0"/>
    <cs:fontRef idx="minor">
      <a:srgbClr val="000000"/>
    </cs:fontRef>
  </cs:plotArea>
  <cs:plotArea3D>
    <cs:lnRef idx="0"/>
    <cs:fillRef idx="0"/>
    <cs:effectRef idx="0"/>
    <cs:fontRef idx="minor">
      <a:srgbClr val="000000"/>
    </cs:fontRef>
  </cs:plotArea3D>
  <cs:seriesAxis>
    <cs:lnRef idx="0"/>
    <cs:fillRef idx="0"/>
    <cs:effectRef idx="0"/>
    <cs:fontRef idx="minor">
      <a:srgbClr val="404040">
        <a:lumMod val="75000"/>
        <a:lumOff val="25000"/>
      </a:srgbClr>
    </cs:fontRef>
    <cs:spPr>
      <a:ln w="31750">
        <a:solidFill>
          <a:srgbClr val="404040">
            <a:lumMod val="75000"/>
            <a:lumOff val="25000"/>
          </a:srgbClr>
        </a:solidFill>
        <a:round/>
      </a:ln>
    </cs:spPr>
    <cs:defRPr sz="900" kern="1200"/>
  </cs:seriesAxis>
  <cs:seriesLine>
    <cs:lnRef idx="0"/>
    <cs:fillRef idx="0"/>
    <cs:effectRef idx="0"/>
    <cs:fontRef idx="minor">
      <a:srgbClr val="000000"/>
    </cs:fontRef>
    <cs:spPr>
      <a:ln w="9525">
        <a:solidFill>
          <a:srgbClr val="808080">
            <a:lumMod val="50000"/>
            <a:lumOff val="50000"/>
          </a:srgbClr>
        </a:solidFill>
        <a:round/>
      </a:ln>
    </cs:spPr>
  </cs:seriesLine>
  <cs:title>
    <cs:lnRef idx="0"/>
    <cs:fillRef idx="0"/>
    <cs:effectRef idx="0"/>
    <cs:fontRef idx="minor">
      <a:srgbClr val="404040">
        <a:lumMod val="75000"/>
        <a:lumOff val="25000"/>
      </a:srgbClr>
    </cs:fontRef>
    <cs:defRPr sz="1800" b="1" kern="1200" baseline="0"/>
  </cs:title>
  <cs:trendline>
    <cs:lnRef idx="0">
      <cs:styleClr val="auto"/>
    </cs:lnRef>
    <cs:fillRef idx="0"/>
    <cs:effectRef idx="0"/>
    <cs:fontRef idx="minor">
      <a:srgbClr val="000000"/>
    </cs:fontRef>
    <cs:spPr>
      <a:ln w="19050" cap="rnd">
        <a:solidFill>
          <a:srgbClr val="FFFFFF"/>
        </a:solidFill>
      </a:ln>
    </cs:spPr>
  </cs:trendline>
  <cs:trendlineLabel>
    <cs:lnRef idx="0"/>
    <cs:fillRef idx="0"/>
    <cs:effectRef idx="0"/>
    <cs:fontRef idx="minor">
      <a:srgbClr val="404040">
        <a:lumMod val="75000"/>
        <a:lumOff val="25000"/>
      </a:srgbClr>
    </cs:fontRef>
    <cs:defRPr sz="900" kern="1200"/>
  </cs:trendlineLabel>
  <cs:upBar>
    <cs:lnRef idx="0"/>
    <cs:fillRef idx="0"/>
    <cs:effectRef idx="0"/>
    <cs:fontRef idx="minor">
      <a:srgbClr val="000000"/>
    </cs:fontRef>
    <cs:spPr>
      <a:solidFill>
        <a:srgbClr val="FFFFFF"/>
      </a:solidFill>
      <a:ln w="9525">
        <a:solidFill>
          <a:srgbClr val="595959">
            <a:lumMod val="65000"/>
            <a:lumOff val="35000"/>
          </a:srgbClr>
        </a:solidFill>
      </a:ln>
    </cs:spPr>
  </cs:upBar>
  <cs:valueAxis>
    <cs:lnRef idx="0"/>
    <cs:fillRef idx="0"/>
    <cs:effectRef idx="0"/>
    <cs:fontRef idx="minor">
      <a:srgbClr val="404040">
        <a:lumMod val="75000"/>
        <a:lumOff val="25000"/>
      </a:srgbClr>
    </cs:fontRef>
    <cs:spPr>
      <a:ln>
        <a:noFill/>
      </a:ln>
    </cs:spPr>
    <cs:defRPr sz="900" kern="1200"/>
  </cs:valueAxis>
  <cs:wall>
    <cs:lnRef idx="0"/>
    <cs:fillRef idx="0"/>
    <cs:effectRef idx="0"/>
    <cs:fontRef idx="minor">
      <a:srgbClr val="000000"/>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a:solidFill>
          <a:srgbClr val="A6A6A6">
            <a:lumMod val="35000"/>
            <a:lumOff val="65000"/>
          </a:srgbClr>
        </a:solidFill>
        <a:round/>
      </a:ln>
    </cs:spPr>
  </cs:dropLine>
  <cs:errorBar>
    <cs:lnRef idx="0"/>
    <cs:fillRef idx="0"/>
    <cs:effectRef idx="0"/>
    <cs:fontRef idx="minor">
      <a:srgbClr val="000000"/>
    </cs:fontRef>
    <cs:spPr>
      <a:ln w="9525">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a:solidFill>
          <a:srgbClr val="D9D9D9">
            <a:lumMod val="15000"/>
            <a:lumOff val="85000"/>
          </a:srgbClr>
        </a:solidFill>
        <a:round/>
      </a:ln>
    </cs:spPr>
  </cs:gridlineMajor>
  <cs:gridlineMinor>
    <cs:lnRef idx="0"/>
    <cs:fillRef idx="0"/>
    <cs:effectRef idx="0"/>
    <cs:fontRef idx="minor">
      <a:srgbClr val="000000"/>
    </cs:fontRef>
    <cs:spPr>
      <a:ln w="9525">
        <a:solidFill>
          <a:srgbClr val="F2F2F2">
            <a:lumMod val="5000"/>
            <a:lumOff val="95000"/>
          </a:srgbClr>
        </a:solidFill>
        <a:round/>
      </a:ln>
    </cs:spPr>
  </cs:gridlineMinor>
  <cs:hiLoLine>
    <cs:lnRef idx="0"/>
    <cs:fillRef idx="0"/>
    <cs:effectRef idx="0"/>
    <cs:fontRef idx="minor">
      <a:srgbClr val="000000"/>
    </cs:fontRef>
    <cs:spPr>
      <a:ln w="9525">
        <a:solidFill>
          <a:srgbClr val="404040">
            <a:lumMod val="75000"/>
            <a:lumOff val="25000"/>
          </a:srgbClr>
        </a:solidFill>
        <a:round/>
      </a:ln>
    </cs:spPr>
  </cs:hiLoLine>
  <cs:leaderLine>
    <cs:lnRef idx="0"/>
    <cs:fillRef idx="0"/>
    <cs:effectRef idx="0"/>
    <cs:fontRef idx="minor">
      <a:srgbClr val="000000"/>
    </cs:fontRef>
    <cs:spPr>
      <a:ln w="9525">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6.xml><?xml version="1.0" encoding="utf-8"?>
<cs:chartStyle xmlns:cs="http://schemas.microsoft.com/office/drawing/2012/chartStyle" xmlns:a="http://schemas.openxmlformats.org/drawingml/2006/main" id="214">
  <cs:axisTitle>
    <cs:lnRef idx="0"/>
    <cs:fillRef idx="0"/>
    <cs:effectRef idx="0"/>
    <cs:fontRef idx="minor">
      <a:srgbClr val="FFFFFF"/>
    </cs:fontRef>
    <cs:defRPr sz="900" b="1" kern="1200"/>
  </cs:axisTitle>
  <cs:categoryAxis>
    <cs:lnRef idx="0">
      <cs:styleClr val="0"/>
    </cs:lnRef>
    <cs:fillRef idx="0"/>
    <cs:effectRef idx="0"/>
    <cs:fontRef idx="minor">
      <a:srgbClr val="FFFFFF"/>
    </cs:fontRef>
    <cs:spPr>
      <a:ln w="3175" cap="flat" cmpd="sng" algn="ctr">
        <a:solidFill>
          <a:srgbClr val="FFFFFF">
            <a:lumMod val="60000"/>
            <a:lumOff val="40000"/>
          </a:srgbClr>
        </a:solidFill>
        <a:round/>
      </a:ln>
    </cs:spPr>
    <cs:defRPr sz="800" kern="1200" cap="all" spc="150" normalizeH="0" baseline="0"/>
  </cs:categoryAxis>
  <cs:chartArea>
    <cs:lnRef idx="0">
      <cs:styleClr val="0"/>
    </cs:lnRef>
    <cs:fillRef idx="0">
      <cs:styleClr val="0"/>
    </cs:fillRef>
    <cs:effectRef idx="0"/>
    <cs:fontRef idx="minor">
      <a:srgbClr val="000000"/>
    </cs:fontRef>
    <cs:spPr>
      <a:solidFill>
        <a:srgbClr val="FFFFFF"/>
      </a:solidFill>
      <a:ln w="9525" cap="flat" cmpd="sng" algn="ctr">
        <a:solidFill>
          <a:srgbClr val="FFFFFF"/>
        </a:solidFill>
        <a:round/>
      </a:ln>
    </cs:spPr>
    <cs:defRPr sz="1000" kern="1200"/>
  </cs:chartArea>
  <cs:dataLabel>
    <cs:lnRef idx="0"/>
    <cs:fillRef idx="0">
      <cs:styleClr val="auto"/>
    </cs:fillRef>
    <cs:effectRef idx="0"/>
    <cs:fontRef idx="minor">
      <a:srgbClr val="FFFFFF"/>
    </cs:fontRef>
    <cs:spPr>
      <a:solidFill>
        <a:srgbClr val="FFFFFF">
          <a:alpha val="70000"/>
        </a:srgbClr>
      </a:solidFill>
    </cs:spPr>
    <cs:defRPr sz="900" kern="1200"/>
  </cs:dataLabel>
  <cs:dataLabelCallout>
    <cs:lnRef idx="0">
      <cs:styleClr val="auto"/>
    </cs:lnRef>
    <cs:fillRef idx="0"/>
    <cs:effectRef idx="0"/>
    <cs:fontRef idx="minor">
      <cs:styleClr val="auto"/>
    </cs:fontRef>
    <cs:spPr>
      <a:solidFill>
        <a:srgbClr val="FFFFFF"/>
      </a:solidFill>
      <a:ln>
        <a:solidFill>
          <a:srgbClr val="FFFFFF"/>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rgbClr val="000000"/>
    </cs:fontRef>
    <cs:spPr>
      <a:pattFill prst="ltUpDiag">
        <a:fgClr>
          <a:srgbClr val="FFFFFF"/>
        </a:fgClr>
        <a:bgClr>
          <a:srgbClr val="FFFFFF"/>
        </a:bgClr>
      </a:pattFill>
    </cs:spPr>
  </cs:dataPoint>
  <cs:dataPoint3D>
    <cs:lnRef idx="0"/>
    <cs:fillRef idx="0">
      <cs:styleClr val="auto"/>
    </cs:fillRef>
    <cs:effectRef idx="0"/>
    <cs:fontRef idx="minor">
      <a:srgbClr val="000000"/>
    </cs:fontRef>
    <cs:spPr>
      <a:pattFill prst="ltUpDiag">
        <a:fgClr>
          <a:srgbClr val="FFFFFF"/>
        </a:fgClr>
        <a:bgClr>
          <a:srgbClr val="FFFFFF"/>
        </a:bgClr>
      </a:pattFill>
    </cs:spPr>
  </cs:dataPoint3D>
  <cs:dataPointLine>
    <cs:lnRef idx="0">
      <cs:styleClr val="auto"/>
    </cs:lnRef>
    <cs:fillRef idx="0"/>
    <cs:effectRef idx="0">
      <cs:styleClr val="auto"/>
    </cs:effectRef>
    <cs:fontRef idx="minor">
      <a:srgbClr val="000000"/>
    </cs:fontRef>
    <cs:spPr>
      <a:ln w="34925" cap="rnd">
        <a:solidFill>
          <a:srgbClr val="FFFFFF"/>
        </a:solidFill>
        <a:round/>
      </a:ln>
      <a:effectLst>
        <a:outerShdw dist="25400" dir="2700000" algn="tl" rotWithShape="0">
          <a:srgbClr val="FFFFFF"/>
        </a:outerShdw>
      </a:effectLst>
    </cs:spPr>
  </cs:dataPointLine>
  <cs:dataPointMarker>
    <cs:lnRef idx="0"/>
    <cs:fillRef idx="0">
      <cs:styleClr val="auto"/>
    </cs:fillRef>
    <cs:effectRef idx="0"/>
    <cs:fontRef idx="minor">
      <a:srgbClr val="000000"/>
    </cs:fontRef>
    <cs:spPr>
      <a:solidFill>
        <a:srgbClr val="FFFFFF"/>
      </a:solidFill>
      <a:ln w="22225">
        <a:solidFill>
          <a:srgbClr val="FFFFFF"/>
        </a:solidFill>
        <a:round/>
      </a:ln>
    </cs:spPr>
  </cs:dataPointMarker>
  <cs:dataPointMarkerLayout symbol="circle" size="5"/>
  <cs:dataPointWireframe>
    <cs:lnRef idx="0">
      <cs:styleClr val="auto"/>
    </cs:lnRef>
    <cs:fillRef idx="0"/>
    <cs:effectRef idx="0"/>
    <cs:fontRef idx="minor">
      <a:srgbClr val="000000"/>
    </cs:fontRef>
    <cs:spPr>
      <a:ln w="9525" cap="rnd">
        <a:solidFill>
          <a:srgbClr val="FFFFFF"/>
        </a:solidFill>
        <a:round/>
      </a:ln>
    </cs:spPr>
  </cs:dataPointWireframe>
  <cs:dataTable>
    <cs:lnRef idx="0">
      <cs:styleClr val="0"/>
    </cs:lnRef>
    <cs:fillRef idx="0"/>
    <cs:effectRef idx="0"/>
    <cs:fontRef idx="minor">
      <a:srgbClr val="FFFFFF"/>
    </cs:fontRef>
    <cs:spPr>
      <a:ln w="9525">
        <a:solidFill>
          <a:srgbClr val="FFFFFF">
            <a:lumMod val="60000"/>
            <a:lumOff val="40000"/>
          </a:srgbClr>
        </a:solidFill>
      </a:ln>
    </cs:spPr>
    <cs:defRPr sz="900" kern="1200"/>
  </cs:dataTable>
  <cs:downBar>
    <cs:lnRef idx="0">
      <cs:styleClr val="0"/>
    </cs:lnRef>
    <cs:fillRef idx="0"/>
    <cs:effectRef idx="0"/>
    <cs:fontRef idx="minor">
      <a:srgbClr val="000000"/>
    </cs:fontRef>
    <cs:spPr>
      <a:solidFill>
        <a:srgbClr val="A6A6A6">
          <a:lumMod val="35000"/>
          <a:lumOff val="65000"/>
        </a:srgbClr>
      </a:solidFill>
      <a:ln w="9525">
        <a:solidFill>
          <a:srgbClr val="FFFFFF">
            <a:lumMod val="60000"/>
            <a:lumOff val="40000"/>
          </a:srgbClr>
        </a:solidFill>
      </a:ln>
    </cs:spPr>
  </cs:downBar>
  <cs:dropLine>
    <cs:lnRef idx="0">
      <cs:styleClr val="0"/>
    </cs:lnRef>
    <cs:fillRef idx="0"/>
    <cs:effectRef idx="0"/>
    <cs:fontRef idx="minor">
      <a:srgbClr val="000000"/>
    </cs:fontRef>
    <cs:spPr>
      <a:ln w="9525">
        <a:solidFill>
          <a:srgbClr val="FFFFFF">
            <a:lumMod val="60000"/>
            <a:lumOff val="40000"/>
          </a:srgbClr>
        </a:solidFill>
        <a:prstDash val="dash"/>
      </a:ln>
    </cs:spPr>
  </cs:dropLine>
  <cs:errorBar>
    <cs:lnRef idx="0">
      <cs:styleClr val="0"/>
    </cs:lnRef>
    <cs:fillRef idx="0"/>
    <cs:effectRef idx="0"/>
    <cs:fontRef idx="minor">
      <a:srgbClr val="000000"/>
    </cs:fontRef>
    <cs:spPr>
      <a:ln w="9525">
        <a:solidFill>
          <a:srgbClr val="FFFFFF">
            <a:lumMod val="60000"/>
            <a:lumOff val="40000"/>
          </a:srgbClr>
        </a:solidFill>
        <a:round/>
      </a:ln>
      <a:effectLst>
        <a:glow rad="25400">
          <a:srgbClr val="FFFFFF"/>
        </a:glow>
      </a:effectLst>
    </cs:spPr>
  </cs:errorBar>
  <cs:floor>
    <cs:lnRef idx="0"/>
    <cs:fillRef idx="0"/>
    <cs:effectRef idx="0"/>
    <cs:fontRef idx="minor">
      <a:srgbClr val="000000"/>
    </cs:fontRef>
  </cs:floor>
  <cs:gridlineMajor>
    <cs:lnRef idx="0">
      <cs:styleClr val="0"/>
    </cs:lnRef>
    <cs:fillRef idx="0"/>
    <cs:effectRef idx="0"/>
    <cs:fontRef idx="minor">
      <a:srgbClr val="000000"/>
    </cs:fontRef>
    <cs:spPr>
      <a:ln w="9525" cap="flat" cmpd="sng" algn="ctr">
        <a:solidFill>
          <a:srgbClr val="FFFFFF">
            <a:alpha val="25000"/>
          </a:srgbClr>
        </a:solidFill>
        <a:round/>
      </a:ln>
    </cs:spPr>
  </cs:gridlineMajor>
  <cs:gridlineMinor>
    <cs:lnRef idx="0">
      <cs:styleClr val="0"/>
    </cs:lnRef>
    <cs:fillRef idx="0"/>
    <cs:effectRef idx="0"/>
    <cs:fontRef idx="minor">
      <a:srgbClr val="000000"/>
    </cs:fontRef>
    <cs:spPr>
      <a:ln>
        <a:solidFill>
          <a:srgbClr val="FFFFFF">
            <a:alpha val="10000"/>
          </a:srgbClr>
        </a:solidFill>
      </a:ln>
    </cs:spPr>
  </cs:gridlineMinor>
  <cs:hiLoLine>
    <cs:lnRef idx="0">
      <cs:styleClr val="0"/>
    </cs:lnRef>
    <cs:fillRef idx="0"/>
    <cs:effectRef idx="0"/>
    <cs:fontRef idx="minor">
      <a:srgbClr val="000000"/>
    </cs:fontRef>
    <cs:spPr>
      <a:ln w="9525">
        <a:solidFill>
          <a:srgbClr val="FFFFFF">
            <a:lumMod val="60000"/>
            <a:lumOff val="40000"/>
          </a:srgbClr>
        </a:solidFill>
        <a:prstDash val="dash"/>
      </a:ln>
    </cs:spPr>
  </cs:hiLoLine>
  <cs:leaderLine>
    <cs:lnRef idx="0">
      <cs:styleClr val="0"/>
    </cs:lnRef>
    <cs:fillRef idx="0"/>
    <cs:effectRef idx="0"/>
    <cs:fontRef idx="minor">
      <a:srgbClr val="000000"/>
    </cs:fontRef>
    <cs:spPr>
      <a:ln w="9525">
        <a:solidFill>
          <a:srgbClr val="FFFFFF">
            <a:lumMod val="60000"/>
            <a:lumOff val="40000"/>
          </a:srgbClr>
        </a:solidFill>
      </a:ln>
    </cs:spPr>
  </cs:leaderLine>
  <cs:legend>
    <cs:lnRef idx="0"/>
    <cs:fillRef idx="0"/>
    <cs:effectRef idx="0"/>
    <cs:fontRef idx="minor">
      <a:srgbClr val="FFFFFF"/>
    </cs:fontRef>
    <cs:defRPr sz="900" kern="1200"/>
  </cs:legend>
  <cs:plotArea>
    <cs:lnRef idx="0"/>
    <cs:fillRef idx="0"/>
    <cs:effectRef idx="0"/>
    <cs:fontRef idx="minor">
      <a:srgbClr val="000000"/>
    </cs:fontRef>
  </cs:plotArea>
  <cs:plotArea3D>
    <cs:lnRef idx="0"/>
    <cs:fillRef idx="0"/>
    <cs:effectRef idx="0"/>
    <cs:fontRef idx="minor">
      <a:srgbClr val="000000"/>
    </cs:fontRef>
  </cs:plotArea3D>
  <cs:seriesAxis>
    <cs:lnRef idx="0">
      <cs:styleClr val="0"/>
    </cs:lnRef>
    <cs:fillRef idx="0"/>
    <cs:effectRef idx="0"/>
    <cs:fontRef idx="minor">
      <a:srgbClr val="FFFFFF"/>
    </cs:fontRef>
    <cs:spPr>
      <a:ln w="3175" cap="flat" cmpd="sng" algn="ctr">
        <a:solidFill>
          <a:srgbClr val="FFFFFF">
            <a:lumMod val="60000"/>
            <a:lumOff val="40000"/>
          </a:srgbClr>
        </a:solidFill>
        <a:round/>
      </a:ln>
    </cs:spPr>
    <cs:defRPr sz="900" kern="1200"/>
  </cs:seriesAxis>
  <cs:seriesLine>
    <cs:lnRef idx="0">
      <cs:styleClr val="0"/>
    </cs:lnRef>
    <cs:fillRef idx="0"/>
    <cs:effectRef idx="0"/>
    <cs:fontRef idx="minor">
      <a:srgbClr val="000000"/>
    </cs:fontRef>
    <cs:spPr>
      <a:ln w="9525">
        <a:solidFill>
          <a:srgbClr val="FFFFFF">
            <a:lumMod val="60000"/>
            <a:lumOff val="40000"/>
            <a:tint val="50000"/>
          </a:srgbClr>
        </a:solidFill>
        <a:prstDash val="dash"/>
      </a:ln>
    </cs:spPr>
  </cs:seriesLine>
  <cs:title>
    <cs:lnRef idx="0"/>
    <cs:fillRef idx="0"/>
    <cs:effectRef idx="0"/>
    <cs:fontRef idx="minor">
      <a:srgbClr val="FFFFFF"/>
    </cs:fontRef>
    <cs:defRPr sz="1500" b="1" kern="1200" cap="all" spc="100" normalizeH="0" baseline="0"/>
  </cs:title>
  <cs:trendline>
    <cs:lnRef idx="0"/>
    <cs:fillRef idx="0"/>
    <cs:effectRef idx="0"/>
    <cs:fontRef idx="minor">
      <a:srgbClr val="000000"/>
    </cs:fontRef>
    <cs:spPr>
      <a:ln w="28575" cap="rnd">
        <a:solidFill>
          <a:srgbClr val="FFFFFF">
            <a:alpha val="50000"/>
          </a:srgbClr>
        </a:solidFill>
        <a:round/>
      </a:ln>
    </cs:spPr>
  </cs:trendline>
  <cs:trendlineLabel>
    <cs:lnRef idx="0"/>
    <cs:fillRef idx="0"/>
    <cs:effectRef idx="0"/>
    <cs:fontRef idx="minor">
      <a:srgbClr val="FFFFFF"/>
    </cs:fontRef>
    <cs:defRPr sz="900" kern="1200"/>
  </cs:trendlineLabel>
  <cs:upBar>
    <cs:lnRef idx="0">
      <cs:styleClr val="0"/>
    </cs:lnRef>
    <cs:fillRef idx="0"/>
    <cs:effectRef idx="0"/>
    <cs:fontRef idx="minor">
      <a:srgbClr val="000000"/>
    </cs:fontRef>
    <cs:spPr>
      <a:solidFill>
        <a:srgbClr val="F2F2F2">
          <a:lumMod val="95000"/>
        </a:srgbClr>
      </a:solidFill>
      <a:ln w="9525">
        <a:solidFill>
          <a:srgbClr val="FFFFFF">
            <a:lumMod val="60000"/>
            <a:lumOff val="40000"/>
          </a:srgbClr>
        </a:solidFill>
      </a:ln>
    </cs:spPr>
  </cs:upBar>
  <cs:valueAxis>
    <cs:lnRef idx="0"/>
    <cs:fillRef idx="0"/>
    <cs:effectRef idx="0"/>
    <cs:fontRef idx="minor">
      <a:srgbClr val="FFFFFF"/>
    </cs:fontRef>
    <cs:defRPr sz="900" kern="1200"/>
  </cs:valueAxis>
  <cs:wall>
    <cs:lnRef idx="0"/>
    <cs:fillRef idx="0"/>
    <cs:effectRef idx="0"/>
    <cs:fontRef idx="minor">
      <a:srgbClr val="000000"/>
    </cs:fontRef>
  </cs:wall>
</cs:chartStyl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alignAcc1">
    <dgm:fillClrLst meth="repeat">
      <a:srgbClr val="FFFFFF">
        <a:alpha val="90000"/>
      </a:srgbClr>
    </dgm:fillClrLst>
    <dgm:linClrLst meth="repeat">
      <a:srgbClr val="C0504D"/>
      <a:srgbClr val="9BBB59"/>
      <a:srgbClr val="8064A2"/>
      <a:srgbClr val="4BACC6"/>
      <a:srgbClr val="F79646"/>
    </dgm:linClrLst>
    <dgm:effectClrLst/>
    <dgm:txLinClrLst/>
    <dgm:txFillClrLst meth="repeat">
      <a:srgbClr val="000000"/>
    </dgm:txFillClrLst>
    <dgm:txEffectClrLst/>
  </dgm:styleLbl>
  <dgm:styleLbl name="alignAccFollowNode1">
    <dgm:fillClrLst meth="repeat">
      <a:srgbClr val="E8D0D0">
        <a:tint val="40000"/>
        <a:alpha val="90000"/>
      </a:srgbClr>
      <a:srgbClr val="DEE7D1">
        <a:tint val="40000"/>
        <a:alpha val="90000"/>
      </a:srgbClr>
      <a:srgbClr val="D8D3E0">
        <a:tint val="40000"/>
        <a:alpha val="90000"/>
      </a:srgbClr>
      <a:srgbClr val="D0E3EA">
        <a:tint val="40000"/>
        <a:alpha val="90000"/>
      </a:srgbClr>
      <a:srgbClr val="FCDDCF">
        <a:tint val="40000"/>
        <a:alpha val="90000"/>
      </a:srgbClr>
    </dgm:fillClrLst>
    <dgm:linClrLst meth="repeat">
      <a:srgbClr val="E8D0D0">
        <a:tint val="40000"/>
        <a:alpha val="90000"/>
      </a:srgbClr>
      <a:srgbClr val="DEE7D1">
        <a:tint val="40000"/>
        <a:alpha val="90000"/>
      </a:srgbClr>
      <a:srgbClr val="D8D3E0">
        <a:tint val="40000"/>
        <a:alpha val="90000"/>
      </a:srgbClr>
      <a:srgbClr val="D0E3EA">
        <a:tint val="40000"/>
        <a:alpha val="90000"/>
      </a:srgbClr>
      <a:srgbClr val="FCDDCF">
        <a:tint val="40000"/>
        <a:alpha val="90000"/>
      </a:srgbClr>
    </dgm:linClrLst>
    <dgm:effectClrLst/>
    <dgm:txLinClrLst/>
    <dgm:txFillClrLst meth="repeat">
      <a:srgbClr val="000000"/>
    </dgm:txFillClrLst>
    <dgm:txEffectClrLst/>
  </dgm:styleLbl>
  <dgm:styleLbl name="alignImgPlace1">
    <dgm:fillClrLst>
      <a:srgbClr val="C2CDE1">
        <a:tint val="50000"/>
      </a:srgbClr>
      <a:srgbClr val="F4E9E9">
        <a:tint val="20000"/>
      </a:srgbClr>
    </dgm:fillClrLst>
    <dgm:linClrLst meth="repeat">
      <a:srgbClr val="FFFFFF"/>
    </dgm:linClrLst>
    <dgm:effectClrLst/>
    <dgm:txLinClrLst/>
    <dgm:txFillClrLst meth="repeat">
      <a:srgbClr val="FFFFFF"/>
    </dgm:txFillClrLst>
    <dgm:txEffectClrLst/>
  </dgm:styleLbl>
  <dgm:styleLbl name="alignNode1">
    <dgm:fillClrLst meth="repeat">
      <a:srgbClr val="C0504D"/>
      <a:srgbClr val="9BBB59"/>
      <a:srgbClr val="8064A2"/>
      <a:srgbClr val="4BACC6"/>
      <a:srgbClr val="F79646"/>
    </dgm:fillClrLst>
    <dgm:linClrLst meth="repeat">
      <a:srgbClr val="C0504D"/>
      <a:srgbClr val="9BBB59"/>
      <a:srgbClr val="8064A2"/>
      <a:srgbClr val="4BACC6"/>
      <a:srgbClr val="F79646"/>
    </dgm:linClrLst>
    <dgm:effectClrLst/>
    <dgm:txLinClrLst/>
    <dgm:txFillClrLst/>
    <dgm:txEffectClrLst/>
  </dgm:styleLbl>
  <dgm:styleLbl name="asst0">
    <dgm:fillClrLst meth="repeat">
      <a:srgbClr val="4F81BD"/>
    </dgm:fillClrLst>
    <dgm:linClrLst meth="repeat">
      <a:srgbClr val="FFFFFF"/>
    </dgm:linClrLst>
    <dgm:effectClrLst/>
    <dgm:txLinClrLst/>
    <dgm:txFillClrLst/>
    <dgm:txEffectClrLst/>
  </dgm:styleLbl>
  <dgm:styleLbl name="asst1">
    <dgm:fillClrLst meth="repeat">
      <a:srgbClr val="C0504D"/>
    </dgm:fillClrLst>
    <dgm:linClrLst meth="repeat">
      <a:srgbClr val="FFFFFF"/>
    </dgm:linClrLst>
    <dgm:effectClrLst/>
    <dgm:txLinClrLst/>
    <dgm:txFillClrLst/>
    <dgm:txEffectClrLst/>
  </dgm:styleLbl>
  <dgm:styleLbl name="asst2">
    <dgm:fillClrLst>
      <a:srgbClr val="9BBB59"/>
    </dgm:fillClrLst>
    <dgm:linClrLst meth="repeat">
      <a:srgbClr val="FFFFFF"/>
    </dgm:linClrLst>
    <dgm:effectClrLst/>
    <dgm:txLinClrLst/>
    <dgm:txFillClrLst/>
    <dgm:txEffectClrLst/>
  </dgm:styleLbl>
  <dgm:styleLbl name="asst3">
    <dgm:fillClrLst>
      <a:srgbClr val="8064A2"/>
    </dgm:fillClrLst>
    <dgm:linClrLst meth="repeat">
      <a:srgbClr val="FFFFFF"/>
    </dgm:linClrLst>
    <dgm:effectClrLst/>
    <dgm:txLinClrLst/>
    <dgm:txFillClrLst/>
    <dgm:txEffectClrLst/>
  </dgm:styleLbl>
  <dgm:styleLbl name="asst4">
    <dgm:fillClrLst>
      <a:srgbClr val="4BACC6"/>
    </dgm:fillClrLst>
    <dgm:linClrLst meth="repeat">
      <a:srgbClr val="FFFFFF"/>
    </dgm:linClrLst>
    <dgm:effectClrLst/>
    <dgm:txLinClrLst/>
    <dgm:txFillClrLst/>
    <dgm:txEffectClrLst/>
  </dgm:styleLbl>
  <dgm:styleLbl name="bgAcc1">
    <dgm:fillClrLst meth="repeat">
      <a:srgbClr val="FFFFFF">
        <a:alpha val="90000"/>
      </a:srgbClr>
    </dgm:fillClrLst>
    <dgm:linClrLst meth="repeat">
      <a:srgbClr val="C0504D"/>
      <a:srgbClr val="9BBB59"/>
      <a:srgbClr val="8064A2"/>
      <a:srgbClr val="4BACC6"/>
      <a:srgbClr val="F79646"/>
    </dgm:linClrLst>
    <dgm:effectClrLst/>
    <dgm:txLinClrLst/>
    <dgm:txFillClrLst meth="repeat">
      <a:srgbClr val="000000"/>
    </dgm:txFillClrLst>
    <dgm:txEffectClrLst/>
  </dgm:styleLbl>
  <dgm:styleLbl name="bgAccFollowNode1">
    <dgm:fillClrLst meth="repeat">
      <a:srgbClr val="E8D0D0">
        <a:tint val="40000"/>
        <a:alpha val="90000"/>
      </a:srgbClr>
      <a:srgbClr val="DEE7D1">
        <a:tint val="40000"/>
        <a:alpha val="90000"/>
      </a:srgbClr>
      <a:srgbClr val="D8D3E0">
        <a:tint val="40000"/>
        <a:alpha val="90000"/>
      </a:srgbClr>
      <a:srgbClr val="D0E3EA">
        <a:tint val="40000"/>
        <a:alpha val="90000"/>
      </a:srgbClr>
      <a:srgbClr val="FCDDCF">
        <a:tint val="40000"/>
        <a:alpha val="90000"/>
      </a:srgbClr>
    </dgm:fillClrLst>
    <dgm:linClrLst meth="repeat">
      <a:srgbClr val="E8D0D0">
        <a:tint val="40000"/>
        <a:alpha val="90000"/>
      </a:srgbClr>
      <a:srgbClr val="DEE7D1">
        <a:tint val="40000"/>
        <a:alpha val="90000"/>
      </a:srgbClr>
      <a:srgbClr val="D8D3E0">
        <a:tint val="40000"/>
        <a:alpha val="90000"/>
      </a:srgbClr>
      <a:srgbClr val="D0E3EA">
        <a:tint val="40000"/>
        <a:alpha val="90000"/>
      </a:srgbClr>
      <a:srgbClr val="FCDDCF">
        <a:tint val="40000"/>
        <a:alpha val="90000"/>
      </a:srgbClr>
    </dgm:linClrLst>
    <dgm:effectClrLst/>
    <dgm:txLinClrLst/>
    <dgm:txFillClrLst meth="repeat">
      <a:srgbClr val="000000"/>
    </dgm:txFillClrLst>
    <dgm:txEffectClrLst/>
  </dgm:styleLbl>
  <dgm:styleLbl name="bgImgPlace1">
    <dgm:fillClrLst>
      <a:srgbClr val="C2CDE1">
        <a:tint val="50000"/>
      </a:srgbClr>
      <a:srgbClr val="F4E9E9">
        <a:tint val="20000"/>
      </a:srgbClr>
    </dgm:fillClrLst>
    <dgm:linClrLst meth="repeat">
      <a:srgbClr val="FFFFFF"/>
    </dgm:linClrLst>
    <dgm:effectClrLst/>
    <dgm:txLinClrLst/>
    <dgm:txFillClrLst meth="repeat">
      <a:srgbClr val="FFFFFF"/>
    </dgm:txFillClrLst>
    <dgm:txEffectClrLst/>
  </dgm:styleLbl>
  <dgm:styleLbl name="bgShp">
    <dgm:fillClrLst meth="repeat">
      <a:srgbClr val="E8D0D0">
        <a:tint val="40000"/>
      </a:srgbClr>
    </dgm:fillClrLst>
    <dgm:linClrLst meth="repeat">
      <a:srgbClr val="000000"/>
    </dgm:linClrLst>
    <dgm:effectClrLst/>
    <dgm:txLinClrLst/>
    <dgm:txFillClrLst meth="repeat">
      <a:srgbClr val="000000"/>
    </dgm:txFillClrLst>
    <dgm:txEffectClrLst/>
  </dgm:styleLbl>
  <dgm:styleLbl name="bgSibTrans2D1">
    <dgm:fillClrLst meth="repeat">
      <a:srgbClr val="C0504D"/>
      <a:srgbClr val="9BBB59"/>
      <a:srgbClr val="8064A2"/>
      <a:srgbClr val="4BACC6"/>
      <a:srgbClr val="F79646"/>
    </dgm:fillClrLst>
    <dgm:linClrLst meth="cycle">
      <a:srgbClr val="FFFFFF"/>
    </dgm:linClrLst>
    <dgm:effectClrLst/>
    <dgm:txLinClrLst/>
    <dgm:txFillClrLst meth="repeat">
      <a:srgbClr val="FFFFFF"/>
    </dgm:txFillClrLst>
    <dgm:txEffectClrLst/>
  </dgm:styleLbl>
  <dgm:styleLbl name="callout">
    <dgm:fillClrLst meth="repeat">
      <a:srgbClr val="C0504D"/>
    </dgm:fillClrLst>
    <dgm:linClrLst meth="repeat">
      <a:srgbClr val="E2C2C2">
        <a:tint val="50000"/>
      </a:srgbClr>
    </dgm:linClrLst>
    <dgm:effectClrLst/>
    <dgm:txLinClrLst/>
    <dgm:txFillClrLst meth="repeat">
      <a:srgbClr val="000000"/>
    </dgm:txFillClrLst>
    <dgm:txEffectClrLst/>
  </dgm:styleLbl>
  <dgm:styleLbl name="conFgAcc1">
    <dgm:fillClrLst meth="repeat">
      <a:srgbClr val="FFFFFF">
        <a:alpha val="90000"/>
      </a:srgbClr>
    </dgm:fillClrLst>
    <dgm:linClrLst meth="repeat">
      <a:srgbClr val="C0504D"/>
      <a:srgbClr val="9BBB59"/>
      <a:srgbClr val="8064A2"/>
      <a:srgbClr val="4BACC6"/>
      <a:srgbClr val="F79646"/>
    </dgm:linClrLst>
    <dgm:effectClrLst/>
    <dgm:txLinClrLst/>
    <dgm:txFillClrLst meth="repeat">
      <a:srgbClr val="000000"/>
    </dgm:txFillClrLst>
    <dgm:txEffectClrLst/>
  </dgm:styleLbl>
  <dgm:styleLbl name="dkBgShp">
    <dgm:fillClrLst meth="repeat">
      <a:srgbClr val="B74C49">
        <a:shade val="90000"/>
      </a:srgbClr>
    </dgm:fillClrLst>
    <dgm:linClrLst meth="repeat">
      <a:srgbClr val="000000"/>
    </dgm:linClrLst>
    <dgm:effectClrLst/>
    <dgm:txLinClrLst/>
    <dgm:txFillClrLst meth="repeat">
      <a:srgbClr val="FFFFFF"/>
    </dgm:txFillClrLst>
    <dgm:txEffectClrLst/>
  </dgm:styleLbl>
  <dgm:styleLbl name="fgAcc0">
    <dgm:fillClrLst meth="repeat">
      <a:srgbClr val="FFFFFF">
        <a:alpha val="90000"/>
      </a:srgbClr>
    </dgm:fillClrLst>
    <dgm:linClrLst>
      <a:srgbClr val="4F81BD"/>
    </dgm:linClrLst>
    <dgm:effectClrLst/>
    <dgm:txLinClrLst/>
    <dgm:txFillClrLst meth="repeat">
      <a:srgbClr val="000000"/>
    </dgm:txFillClrLst>
    <dgm:txEffectClrLst/>
  </dgm:styleLbl>
  <dgm:styleLbl name="fgAcc1">
    <dgm:fillClrLst meth="repeat">
      <a:srgbClr val="FFFFFF">
        <a:alpha val="90000"/>
      </a:srgbClr>
    </dgm:fillClrLst>
    <dgm:linClrLst meth="repeat">
      <a:srgbClr val="C0504D"/>
      <a:srgbClr val="9BBB59"/>
      <a:srgbClr val="8064A2"/>
      <a:srgbClr val="4BACC6"/>
      <a:srgbClr val="F79646"/>
    </dgm:linClrLst>
    <dgm:effectClrLst/>
    <dgm:txLinClrLst/>
    <dgm:txFillClrLst meth="repeat">
      <a:srgbClr val="000000"/>
    </dgm:txFillClrLst>
    <dgm:txEffectClrLst/>
  </dgm:styleLbl>
  <dgm:styleLbl name="fgAcc2">
    <dgm:fillClrLst meth="repeat">
      <a:srgbClr val="FFFFFF">
        <a:alpha val="90000"/>
      </a:srgbClr>
    </dgm:fillClrLst>
    <dgm:linClrLst>
      <a:srgbClr val="C0504D"/>
    </dgm:linClrLst>
    <dgm:effectClrLst/>
    <dgm:txLinClrLst/>
    <dgm:txFillClrLst meth="repeat">
      <a:srgbClr val="000000"/>
    </dgm:txFillClrLst>
    <dgm:txEffectClrLst/>
  </dgm:styleLbl>
  <dgm:styleLbl name="fgAcc3">
    <dgm:fillClrLst meth="repeat">
      <a:srgbClr val="FFFFFF">
        <a:alpha val="90000"/>
      </a:srgbClr>
    </dgm:fillClrLst>
    <dgm:linClrLst>
      <a:srgbClr val="9BBB59"/>
    </dgm:linClrLst>
    <dgm:effectClrLst/>
    <dgm:txLinClrLst/>
    <dgm:txFillClrLst meth="repeat">
      <a:srgbClr val="000000"/>
    </dgm:txFillClrLst>
    <dgm:txEffectClrLst/>
  </dgm:styleLbl>
  <dgm:styleLbl name="fgAcc4">
    <dgm:fillClrLst meth="repeat">
      <a:srgbClr val="FFFFFF">
        <a:alpha val="90000"/>
      </a:srgbClr>
    </dgm:fillClrLst>
    <dgm:linClrLst>
      <a:srgbClr val="8064A2"/>
    </dgm:linClrLst>
    <dgm:effectClrLst/>
    <dgm:txLinClrLst/>
    <dgm:txFillClrLst meth="repeat">
      <a:srgbClr val="000000"/>
    </dgm:txFillClrLst>
    <dgm:txEffectClrLst/>
  </dgm:styleLbl>
  <dgm:styleLbl name="fgAccFollowNode1">
    <dgm:fillClrLst meth="repeat">
      <a:srgbClr val="E8D0D0">
        <a:tint val="40000"/>
        <a:alpha val="90000"/>
      </a:srgbClr>
      <a:srgbClr val="DEE7D1">
        <a:tint val="40000"/>
        <a:alpha val="90000"/>
      </a:srgbClr>
      <a:srgbClr val="D8D3E0">
        <a:tint val="40000"/>
        <a:alpha val="90000"/>
      </a:srgbClr>
      <a:srgbClr val="D0E3EA">
        <a:tint val="40000"/>
        <a:alpha val="90000"/>
      </a:srgbClr>
      <a:srgbClr val="FCDDCF">
        <a:tint val="40000"/>
        <a:alpha val="90000"/>
      </a:srgbClr>
    </dgm:fillClrLst>
    <dgm:linClrLst meth="repeat">
      <a:srgbClr val="E8D0D0">
        <a:tint val="40000"/>
        <a:alpha val="90000"/>
      </a:srgbClr>
      <a:srgbClr val="DEE7D1">
        <a:tint val="40000"/>
        <a:alpha val="90000"/>
      </a:srgbClr>
      <a:srgbClr val="D8D3E0">
        <a:tint val="40000"/>
        <a:alpha val="90000"/>
      </a:srgbClr>
      <a:srgbClr val="D0E3EA">
        <a:tint val="40000"/>
        <a:alpha val="90000"/>
      </a:srgbClr>
      <a:srgbClr val="FCDDCF">
        <a:tint val="40000"/>
        <a:alpha val="90000"/>
      </a:srgbClr>
    </dgm:linClrLst>
    <dgm:effectClrLst/>
    <dgm:txLinClrLst/>
    <dgm:txFillClrLst meth="repeat">
      <a:srgbClr val="000000"/>
    </dgm:txFillClrLst>
    <dgm:txEffectClrLst/>
  </dgm:styleLbl>
  <dgm:styleLbl name="fgImgPlace1">
    <dgm:fillClrLst meth="repeat">
      <a:srgbClr val="E2C2C2">
        <a:tint val="50000"/>
      </a:srgbClr>
      <a:srgbClr val="D5E0C4">
        <a:tint val="50000"/>
      </a:srgbClr>
      <a:srgbClr val="CDC6D7">
        <a:tint val="50000"/>
      </a:srgbClr>
      <a:srgbClr val="C1DBE5">
        <a:tint val="50000"/>
      </a:srgbClr>
      <a:srgbClr val="FBD3C1">
        <a:tint val="50000"/>
      </a:srgbClr>
    </dgm:fillClrLst>
    <dgm:linClrLst meth="repeat">
      <a:srgbClr val="FFFFFF"/>
    </dgm:linClrLst>
    <dgm:effectClrLst/>
    <dgm:txLinClrLst/>
    <dgm:txFillClrLst meth="repeat">
      <a:srgbClr val="FFFFFF"/>
    </dgm:txFillClrLst>
    <dgm:txEffectClrLst/>
  </dgm:styleLbl>
  <dgm:styleLbl name="fgShp">
    <dgm:fillClrLst meth="repeat">
      <a:srgbClr val="E8D0D0">
        <a:tint val="40000"/>
      </a:srgbClr>
    </dgm:fillClrLst>
    <dgm:linClrLst meth="repeat">
      <a:srgbClr val="FFFFFF"/>
    </dgm:linClrLst>
    <dgm:effectClrLst/>
    <dgm:txLinClrLst/>
    <dgm:txFillClrLst meth="repeat">
      <a:srgbClr val="000000"/>
    </dgm:txFillClrLst>
    <dgm:txEffectClrLst/>
  </dgm:styleLbl>
  <dgm:styleLbl name="fgSibTrans2D1">
    <dgm:fillClrLst meth="repeat">
      <a:srgbClr val="C0504D"/>
      <a:srgbClr val="9BBB59"/>
      <a:srgbClr val="8064A2"/>
      <a:srgbClr val="4BACC6"/>
      <a:srgbClr val="F79646"/>
    </dgm:fillClrLst>
    <dgm:linClrLst meth="cycle">
      <a:srgbClr val="FFFFFF"/>
    </dgm:linClrLst>
    <dgm:effectClrLst/>
    <dgm:txLinClrLst/>
    <dgm:txFillClrLst meth="repeat">
      <a:srgbClr val="FFFFFF"/>
    </dgm:txFillClrLst>
    <dgm:txEffectClrLst/>
  </dgm:styleLbl>
  <dgm:styleLbl name="lnNode1">
    <dgm:fillClrLst meth="repeat">
      <a:srgbClr val="C0504D"/>
      <a:srgbClr val="9BBB59"/>
      <a:srgbClr val="8064A2"/>
      <a:srgbClr val="4BACC6"/>
      <a:srgbClr val="F79646"/>
    </dgm:fillClrLst>
    <dgm:linClrLst meth="repeat">
      <a:srgbClr val="FFFFFF"/>
    </dgm:linClrLst>
    <dgm:effectClrLst/>
    <dgm:txLinClrLst/>
    <dgm:txFillClrLst/>
    <dgm:txEffectClrLst/>
  </dgm:styleLbl>
  <dgm:styleLbl name="node0">
    <dgm:fillClrLst meth="repeat">
      <a:srgbClr val="4F81BD"/>
    </dgm:fillClrLst>
    <dgm:linClrLst meth="repeat">
      <a:srgbClr val="FFFFFF"/>
    </dgm:linClrLst>
    <dgm:effectClrLst/>
    <dgm:txLinClrLst/>
    <dgm:txFillClrLst/>
    <dgm:txEffectClrLst/>
  </dgm:styleLbl>
  <dgm:styleLbl name="node1">
    <dgm:fillClrLst meth="repeat">
      <a:srgbClr val="C0504D"/>
      <a:srgbClr val="9BBB59"/>
      <a:srgbClr val="8064A2"/>
      <a:srgbClr val="4BACC6"/>
      <a:srgbClr val="F79646"/>
    </dgm:fillClrLst>
    <dgm:linClrLst meth="repeat">
      <a:srgbClr val="FFFFFF"/>
    </dgm:linClrLst>
    <dgm:effectClrLst/>
    <dgm:txLinClrLst/>
    <dgm:txFillClrLst/>
    <dgm:txEffectClrLst/>
  </dgm:styleLbl>
  <dgm:styleLbl name="node2">
    <dgm:fillClrLst>
      <a:srgbClr val="C0504D"/>
    </dgm:fillClrLst>
    <dgm:linClrLst meth="repeat">
      <a:srgbClr val="FFFFFF"/>
    </dgm:linClrLst>
    <dgm:effectClrLst/>
    <dgm:txLinClrLst/>
    <dgm:txFillClrLst/>
    <dgm:txEffectClrLst/>
  </dgm:styleLbl>
  <dgm:styleLbl name="node3">
    <dgm:fillClrLst>
      <a:srgbClr val="9BBB59"/>
    </dgm:fillClrLst>
    <dgm:linClrLst meth="repeat">
      <a:srgbClr val="FFFFFF"/>
    </dgm:linClrLst>
    <dgm:effectClrLst/>
    <dgm:txLinClrLst/>
    <dgm:txFillClrLst/>
    <dgm:txEffectClrLst/>
  </dgm:styleLbl>
  <dgm:styleLbl name="node4">
    <dgm:fillClrLst>
      <a:srgbClr val="8064A2"/>
    </dgm:fillClrLst>
    <dgm:linClrLst meth="repeat">
      <a:srgbClr val="FFFFFF"/>
    </dgm:linClrLst>
    <dgm:effectClrLst/>
    <dgm:txLinClrLst/>
    <dgm:txFillClrLst/>
    <dgm:txEffectClrLst/>
  </dgm:styleLbl>
  <dgm:styleLbl name="parChTrans1D1">
    <dgm:fillClrLst meth="repeat">
      <a:srgbClr val="C0504D"/>
    </dgm:fillClrLst>
    <dgm:linClrLst meth="repeat">
      <a:srgbClr val="4F81BD"/>
    </dgm:linClrLst>
    <dgm:effectClrLst/>
    <dgm:txLinClrLst/>
    <dgm:txFillClrLst meth="repeat">
      <a:srgbClr val="000000"/>
    </dgm:txFillClrLst>
    <dgm:txEffectClrLst/>
  </dgm:styleLbl>
  <dgm:styleLbl name="parChTrans1D2">
    <dgm:fillClrLst meth="repeat">
      <a:srgbClr val="A9C379">
        <a:tint val="90000"/>
      </a:srgbClr>
    </dgm:fillClrLst>
    <dgm:linClrLst meth="repeat">
      <a:srgbClr val="C0504D"/>
    </dgm:linClrLst>
    <dgm:effectClrLst/>
    <dgm:txLinClrLst/>
    <dgm:txFillClrLst meth="repeat">
      <a:srgbClr val="000000"/>
    </dgm:txFillClrLst>
    <dgm:txEffectClrLst/>
  </dgm:styleLbl>
  <dgm:styleLbl name="parChTrans1D3">
    <dgm:fillClrLst meth="repeat">
      <a:srgbClr val="B3A8C4">
        <a:tint val="70000"/>
      </a:srgbClr>
    </dgm:fillClrLst>
    <dgm:linClrLst meth="repeat">
      <a:srgbClr val="9BBB59"/>
    </dgm:linClrLst>
    <dgm:effectClrLst/>
    <dgm:txLinClrLst/>
    <dgm:txFillClrLst meth="repeat">
      <a:srgbClr val="000000"/>
    </dgm:txFillClrLst>
    <dgm:txEffectClrLst/>
  </dgm:styleLbl>
  <dgm:styleLbl name="parChTrans1D4">
    <dgm:fillClrLst meth="repeat">
      <a:srgbClr val="C1DBE5">
        <a:tint val="50000"/>
      </a:srgbClr>
    </dgm:fillClrLst>
    <dgm:linClrLst meth="repeat">
      <a:srgbClr val="8064A2"/>
    </dgm:linClrLst>
    <dgm:effectClrLst/>
    <dgm:txLinClrLst/>
    <dgm:txFillClrLst meth="repeat">
      <a:srgbClr val="000000"/>
    </dgm:txFillClrLst>
    <dgm:txEffectClrLst/>
  </dgm:styleLbl>
  <dgm:styleLbl name="parChTrans2D1">
    <dgm:fillClrLst meth="repeat">
      <a:srgbClr val="C0504D"/>
    </dgm:fillClrLst>
    <dgm:linClrLst meth="repeat">
      <a:srgbClr val="FFFFFF"/>
    </dgm:linClrLst>
    <dgm:effectClrLst/>
    <dgm:txLinClrLst/>
    <dgm:txFillClrLst meth="repeat">
      <a:srgbClr val="FFFFFF"/>
    </dgm:txFillClrLst>
    <dgm:txEffectClrLst/>
  </dgm:styleLbl>
  <dgm:styleLbl name="parChTrans2D2">
    <dgm:fillClrLst meth="repeat">
      <a:srgbClr val="9BBB59"/>
    </dgm:fillClrLst>
    <dgm:linClrLst meth="repeat">
      <a:srgbClr val="FFFFFF"/>
    </dgm:linClrLst>
    <dgm:effectClrLst/>
    <dgm:txLinClrLst/>
    <dgm:txFillClrLst/>
    <dgm:txEffectClrLst/>
  </dgm:styleLbl>
  <dgm:styleLbl name="parChTrans2D3">
    <dgm:fillClrLst meth="repeat">
      <a:srgbClr val="8064A2"/>
    </dgm:fillClrLst>
    <dgm:linClrLst meth="repeat">
      <a:srgbClr val="FFFFFF"/>
    </dgm:linClrLst>
    <dgm:effectClrLst/>
    <dgm:txLinClrLst/>
    <dgm:txFillClrLst/>
    <dgm:txEffectClrLst/>
  </dgm:styleLbl>
  <dgm:styleLbl name="parChTrans2D4">
    <dgm:fillClrLst meth="repeat">
      <a:srgbClr val="4BACC6"/>
    </dgm:fillClrLst>
    <dgm:linClrLst meth="repeat">
      <a:srgbClr val="FFFFFF"/>
    </dgm:linClrLst>
    <dgm:effectClrLst/>
    <dgm:txLinClrLst/>
    <dgm:txFillClrLst meth="repeat">
      <a:srgbClr val="FFFFFF"/>
    </dgm:txFillClrLst>
    <dgm:txEffectClrLst/>
  </dgm:styleLbl>
  <dgm:styleLbl name="revTx">
    <dgm:fillClrLst meth="repeat">
      <a:srgbClr val="FFFFFF">
        <a:alpha val="0"/>
      </a:srgbClr>
    </dgm:fillClrLst>
    <dgm:linClrLst meth="repeat">
      <a:srgbClr val="000000">
        <a:alpha val="0"/>
      </a:srgbClr>
    </dgm:linClrLst>
    <dgm:effectClrLst/>
    <dgm:txLinClrLst/>
    <dgm:txFillClrLst meth="repeat">
      <a:srgbClr val="000000"/>
    </dgm:txFillClrLst>
    <dgm:txEffectClrLst/>
  </dgm:styleLbl>
  <dgm:styleLbl name="sibTrans1D1">
    <dgm:fillClrLst meth="repeat">
      <a:srgbClr val="C0504D"/>
      <a:srgbClr val="9BBB59"/>
      <a:srgbClr val="8064A2"/>
      <a:srgbClr val="4BACC6"/>
      <a:srgbClr val="F79646"/>
    </dgm:fillClrLst>
    <dgm:linClrLst meth="repeat">
      <a:srgbClr val="C0504D"/>
      <a:srgbClr val="9BBB59"/>
      <a:srgbClr val="8064A2"/>
      <a:srgbClr val="4BACC6"/>
      <a:srgbClr val="F79646"/>
    </dgm:linClrLst>
    <dgm:effectClrLst/>
    <dgm:txLinClrLst/>
    <dgm:txFillClrLst meth="repeat">
      <a:srgbClr val="000000"/>
    </dgm:txFillClrLst>
    <dgm:txEffectClrLst/>
  </dgm:styleLbl>
  <dgm:styleLbl name="sibTrans2D1">
    <dgm:fillClrLst meth="repeat">
      <a:srgbClr val="C0504D"/>
      <a:srgbClr val="9BBB59"/>
      <a:srgbClr val="8064A2"/>
      <a:srgbClr val="4BACC6"/>
      <a:srgbClr val="F79646"/>
    </dgm:fillClrLst>
    <dgm:linClrLst meth="cycle">
      <a:srgbClr val="FFFFFF"/>
    </dgm:linClrLst>
    <dgm:effectClrLst/>
    <dgm:txLinClrLst/>
    <dgm:txFillClrLst/>
    <dgm:txEffectClrLst/>
  </dgm:styleLbl>
  <dgm:styleLbl name="solidAlignAcc1">
    <dgm:fillClrLst meth="repeat">
      <a:srgbClr val="FFFFFF"/>
    </dgm:fillClrLst>
    <dgm:linClrLst meth="repeat">
      <a:srgbClr val="C0504D"/>
      <a:srgbClr val="9BBB59"/>
      <a:srgbClr val="8064A2"/>
      <a:srgbClr val="4BACC6"/>
      <a:srgbClr val="F79646"/>
    </dgm:linClrLst>
    <dgm:effectClrLst/>
    <dgm:txLinClrLst/>
    <dgm:txFillClrLst meth="repeat">
      <a:srgbClr val="000000"/>
    </dgm:txFillClrLst>
    <dgm:txEffectClrLst/>
  </dgm:styleLbl>
  <dgm:styleLbl name="solidBgAcc1">
    <dgm:fillClrLst meth="repeat">
      <a:srgbClr val="FFFFFF"/>
    </dgm:fillClrLst>
    <dgm:linClrLst meth="repeat">
      <a:srgbClr val="C0504D"/>
      <a:srgbClr val="9BBB59"/>
      <a:srgbClr val="8064A2"/>
      <a:srgbClr val="4BACC6"/>
      <a:srgbClr val="F79646"/>
    </dgm:linClrLst>
    <dgm:effectClrLst/>
    <dgm:txLinClrLst/>
    <dgm:txFillClrLst meth="repeat">
      <a:srgbClr val="000000"/>
    </dgm:txFillClrLst>
    <dgm:txEffectClrLst/>
  </dgm:styleLbl>
  <dgm:styleLbl name="solidFgAcc1">
    <dgm:fillClrLst meth="repeat">
      <a:srgbClr val="FFFFFF"/>
    </dgm:fillClrLst>
    <dgm:linClrLst meth="repeat">
      <a:srgbClr val="C0504D"/>
      <a:srgbClr val="9BBB59"/>
      <a:srgbClr val="8064A2"/>
      <a:srgbClr val="4BACC6"/>
      <a:srgbClr val="F79646"/>
    </dgm:linClrLst>
    <dgm:effectClrLst/>
    <dgm:txLinClrLst/>
    <dgm:txFillClrLst meth="repeat">
      <a:srgbClr val="000000"/>
    </dgm:txFillClrLst>
    <dgm:txEffectClrLst/>
  </dgm:styleLbl>
  <dgm:styleLbl name="trAlignAcc1">
    <dgm:fillClrLst meth="repeat">
      <a:srgbClr val="FFFFFF">
        <a:alpha val="40000"/>
      </a:srgbClr>
    </dgm:fillClrLst>
    <dgm:linClrLst meth="repeat">
      <a:srgbClr val="4F81BD"/>
    </dgm:linClrLst>
    <dgm:effectClrLst/>
    <dgm:txLinClrLst/>
    <dgm:txFillClrLst meth="repeat">
      <a:srgbClr val="000000"/>
    </dgm:txFillClrLst>
    <dgm:txEffectClrLst/>
  </dgm:styleLbl>
  <dgm:styleLbl name="trBgShp">
    <dgm:fillClrLst meth="repeat">
      <a:srgbClr val="C2CDE1">
        <a:tint val="50000"/>
        <a:alpha val="40000"/>
      </a:srgbClr>
    </dgm:fillClrLst>
    <dgm:linClrLst meth="repeat">
      <a:srgbClr val="C0504D"/>
    </dgm:linClrLst>
    <dgm:effectClrLst/>
    <dgm:txLinClrLst/>
    <dgm:txFillClrLst meth="repeat">
      <a:srgbClr val="FFFFFF"/>
    </dgm:txFillClrLst>
    <dgm:txEffectClrLst/>
  </dgm:styleLbl>
  <dgm:styleLbl name="vennNode1">
    <dgm:fillClrLst meth="repeat">
      <a:srgbClr val="C0504D">
        <a:alpha val="50000"/>
      </a:srgbClr>
      <a:srgbClr val="9BBB59">
        <a:alpha val="50000"/>
      </a:srgbClr>
      <a:srgbClr val="8064A2">
        <a:alpha val="50000"/>
      </a:srgbClr>
      <a:srgbClr val="4BACC6">
        <a:alpha val="50000"/>
      </a:srgbClr>
      <a:srgbClr val="F79646">
        <a:alpha val="50000"/>
      </a:srgbClr>
    </dgm:fillClrLst>
    <dgm:linClrLst meth="repeat">
      <a:srgbClr val="FFFFFF"/>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alignAcc1">
    <dgm:fillClrLst meth="repeat">
      <a:srgbClr val="FFFFFF">
        <a:alpha val="90000"/>
      </a:srgbClr>
    </dgm:fillClrLst>
    <dgm:linClrLst meth="repeat">
      <a:srgbClr val="C0504D"/>
      <a:srgbClr val="9BBB59"/>
      <a:srgbClr val="8064A2"/>
      <a:srgbClr val="4BACC6"/>
      <a:srgbClr val="F79646"/>
    </dgm:linClrLst>
    <dgm:effectClrLst/>
    <dgm:txLinClrLst/>
    <dgm:txFillClrLst meth="repeat">
      <a:srgbClr val="000000"/>
    </dgm:txFillClrLst>
    <dgm:txEffectClrLst/>
  </dgm:styleLbl>
  <dgm:styleLbl name="alignAccFollowNode1">
    <dgm:fillClrLst meth="repeat">
      <a:srgbClr val="E8D0D0">
        <a:tint val="40000"/>
        <a:alpha val="90000"/>
      </a:srgbClr>
      <a:srgbClr val="DEE7D1">
        <a:tint val="40000"/>
        <a:alpha val="90000"/>
      </a:srgbClr>
      <a:srgbClr val="D8D3E0">
        <a:tint val="40000"/>
        <a:alpha val="90000"/>
      </a:srgbClr>
      <a:srgbClr val="D0E3EA">
        <a:tint val="40000"/>
        <a:alpha val="90000"/>
      </a:srgbClr>
      <a:srgbClr val="FCDDCF">
        <a:tint val="40000"/>
        <a:alpha val="90000"/>
      </a:srgbClr>
    </dgm:fillClrLst>
    <dgm:linClrLst meth="repeat">
      <a:srgbClr val="E8D0D0">
        <a:tint val="40000"/>
        <a:alpha val="90000"/>
      </a:srgbClr>
      <a:srgbClr val="DEE7D1">
        <a:tint val="40000"/>
        <a:alpha val="90000"/>
      </a:srgbClr>
      <a:srgbClr val="D8D3E0">
        <a:tint val="40000"/>
        <a:alpha val="90000"/>
      </a:srgbClr>
      <a:srgbClr val="D0E3EA">
        <a:tint val="40000"/>
        <a:alpha val="90000"/>
      </a:srgbClr>
      <a:srgbClr val="FCDDCF">
        <a:tint val="40000"/>
        <a:alpha val="90000"/>
      </a:srgbClr>
    </dgm:linClrLst>
    <dgm:effectClrLst/>
    <dgm:txLinClrLst/>
    <dgm:txFillClrLst meth="repeat">
      <a:srgbClr val="000000"/>
    </dgm:txFillClrLst>
    <dgm:txEffectClrLst/>
  </dgm:styleLbl>
  <dgm:styleLbl name="alignImgPlace1">
    <dgm:fillClrLst>
      <a:srgbClr val="C2CDE1">
        <a:tint val="50000"/>
      </a:srgbClr>
      <a:srgbClr val="F4E9E9">
        <a:tint val="20000"/>
      </a:srgbClr>
    </dgm:fillClrLst>
    <dgm:linClrLst meth="repeat">
      <a:srgbClr val="FFFFFF"/>
    </dgm:linClrLst>
    <dgm:effectClrLst/>
    <dgm:txLinClrLst/>
    <dgm:txFillClrLst meth="repeat">
      <a:srgbClr val="FFFFFF"/>
    </dgm:txFillClrLst>
    <dgm:txEffectClrLst/>
  </dgm:styleLbl>
  <dgm:styleLbl name="alignNode1">
    <dgm:fillClrLst meth="repeat">
      <a:srgbClr val="C0504D"/>
      <a:srgbClr val="9BBB59"/>
      <a:srgbClr val="8064A2"/>
      <a:srgbClr val="4BACC6"/>
      <a:srgbClr val="F79646"/>
    </dgm:fillClrLst>
    <dgm:linClrLst meth="repeat">
      <a:srgbClr val="C0504D"/>
      <a:srgbClr val="9BBB59"/>
      <a:srgbClr val="8064A2"/>
      <a:srgbClr val="4BACC6"/>
      <a:srgbClr val="F79646"/>
    </dgm:linClrLst>
    <dgm:effectClrLst/>
    <dgm:txLinClrLst/>
    <dgm:txFillClrLst/>
    <dgm:txEffectClrLst/>
  </dgm:styleLbl>
  <dgm:styleLbl name="asst0">
    <dgm:fillClrLst meth="repeat">
      <a:srgbClr val="4F81BD"/>
    </dgm:fillClrLst>
    <dgm:linClrLst meth="repeat">
      <a:srgbClr val="FFFFFF"/>
    </dgm:linClrLst>
    <dgm:effectClrLst/>
    <dgm:txLinClrLst/>
    <dgm:txFillClrLst/>
    <dgm:txEffectClrLst/>
  </dgm:styleLbl>
  <dgm:styleLbl name="asst1">
    <dgm:fillClrLst meth="repeat">
      <a:srgbClr val="C0504D"/>
    </dgm:fillClrLst>
    <dgm:linClrLst meth="repeat">
      <a:srgbClr val="FFFFFF"/>
    </dgm:linClrLst>
    <dgm:effectClrLst/>
    <dgm:txLinClrLst/>
    <dgm:txFillClrLst/>
    <dgm:txEffectClrLst/>
  </dgm:styleLbl>
  <dgm:styleLbl name="asst2">
    <dgm:fillClrLst>
      <a:srgbClr val="9BBB59"/>
    </dgm:fillClrLst>
    <dgm:linClrLst meth="repeat">
      <a:srgbClr val="FFFFFF"/>
    </dgm:linClrLst>
    <dgm:effectClrLst/>
    <dgm:txLinClrLst/>
    <dgm:txFillClrLst/>
    <dgm:txEffectClrLst/>
  </dgm:styleLbl>
  <dgm:styleLbl name="asst3">
    <dgm:fillClrLst>
      <a:srgbClr val="8064A2"/>
    </dgm:fillClrLst>
    <dgm:linClrLst meth="repeat">
      <a:srgbClr val="FFFFFF"/>
    </dgm:linClrLst>
    <dgm:effectClrLst/>
    <dgm:txLinClrLst/>
    <dgm:txFillClrLst/>
    <dgm:txEffectClrLst/>
  </dgm:styleLbl>
  <dgm:styleLbl name="asst4">
    <dgm:fillClrLst>
      <a:srgbClr val="4BACC6"/>
    </dgm:fillClrLst>
    <dgm:linClrLst meth="repeat">
      <a:srgbClr val="FFFFFF"/>
    </dgm:linClrLst>
    <dgm:effectClrLst/>
    <dgm:txLinClrLst/>
    <dgm:txFillClrLst/>
    <dgm:txEffectClrLst/>
  </dgm:styleLbl>
  <dgm:styleLbl name="bgAcc1">
    <dgm:fillClrLst meth="repeat">
      <a:srgbClr val="FFFFFF">
        <a:alpha val="90000"/>
      </a:srgbClr>
    </dgm:fillClrLst>
    <dgm:linClrLst meth="repeat">
      <a:srgbClr val="C0504D"/>
      <a:srgbClr val="9BBB59"/>
      <a:srgbClr val="8064A2"/>
      <a:srgbClr val="4BACC6"/>
      <a:srgbClr val="F79646"/>
    </dgm:linClrLst>
    <dgm:effectClrLst/>
    <dgm:txLinClrLst/>
    <dgm:txFillClrLst meth="repeat">
      <a:srgbClr val="000000"/>
    </dgm:txFillClrLst>
    <dgm:txEffectClrLst/>
  </dgm:styleLbl>
  <dgm:styleLbl name="bgAccFollowNode1">
    <dgm:fillClrLst meth="repeat">
      <a:srgbClr val="E8D0D0">
        <a:tint val="40000"/>
        <a:alpha val="90000"/>
      </a:srgbClr>
      <a:srgbClr val="DEE7D1">
        <a:tint val="40000"/>
        <a:alpha val="90000"/>
      </a:srgbClr>
      <a:srgbClr val="D8D3E0">
        <a:tint val="40000"/>
        <a:alpha val="90000"/>
      </a:srgbClr>
      <a:srgbClr val="D0E3EA">
        <a:tint val="40000"/>
        <a:alpha val="90000"/>
      </a:srgbClr>
      <a:srgbClr val="FCDDCF">
        <a:tint val="40000"/>
        <a:alpha val="90000"/>
      </a:srgbClr>
    </dgm:fillClrLst>
    <dgm:linClrLst meth="repeat">
      <a:srgbClr val="E8D0D0">
        <a:tint val="40000"/>
        <a:alpha val="90000"/>
      </a:srgbClr>
      <a:srgbClr val="DEE7D1">
        <a:tint val="40000"/>
        <a:alpha val="90000"/>
      </a:srgbClr>
      <a:srgbClr val="D8D3E0">
        <a:tint val="40000"/>
        <a:alpha val="90000"/>
      </a:srgbClr>
      <a:srgbClr val="D0E3EA">
        <a:tint val="40000"/>
        <a:alpha val="90000"/>
      </a:srgbClr>
      <a:srgbClr val="FCDDCF">
        <a:tint val="40000"/>
        <a:alpha val="90000"/>
      </a:srgbClr>
    </dgm:linClrLst>
    <dgm:effectClrLst/>
    <dgm:txLinClrLst/>
    <dgm:txFillClrLst meth="repeat">
      <a:srgbClr val="000000"/>
    </dgm:txFillClrLst>
    <dgm:txEffectClrLst/>
  </dgm:styleLbl>
  <dgm:styleLbl name="bgImgPlace1">
    <dgm:fillClrLst>
      <a:srgbClr val="C2CDE1">
        <a:tint val="50000"/>
      </a:srgbClr>
      <a:srgbClr val="F4E9E9">
        <a:tint val="20000"/>
      </a:srgbClr>
    </dgm:fillClrLst>
    <dgm:linClrLst meth="repeat">
      <a:srgbClr val="FFFFFF"/>
    </dgm:linClrLst>
    <dgm:effectClrLst/>
    <dgm:txLinClrLst/>
    <dgm:txFillClrLst meth="repeat">
      <a:srgbClr val="FFFFFF"/>
    </dgm:txFillClrLst>
    <dgm:txEffectClrLst/>
  </dgm:styleLbl>
  <dgm:styleLbl name="bgShp">
    <dgm:fillClrLst meth="repeat">
      <a:srgbClr val="E8D0D0">
        <a:tint val="40000"/>
      </a:srgbClr>
    </dgm:fillClrLst>
    <dgm:linClrLst meth="repeat">
      <a:srgbClr val="000000"/>
    </dgm:linClrLst>
    <dgm:effectClrLst/>
    <dgm:txLinClrLst/>
    <dgm:txFillClrLst meth="repeat">
      <a:srgbClr val="000000"/>
    </dgm:txFillClrLst>
    <dgm:txEffectClrLst/>
  </dgm:styleLbl>
  <dgm:styleLbl name="bgSibTrans2D1">
    <dgm:fillClrLst meth="repeat">
      <a:srgbClr val="C0504D"/>
      <a:srgbClr val="9BBB59"/>
      <a:srgbClr val="8064A2"/>
      <a:srgbClr val="4BACC6"/>
      <a:srgbClr val="F79646"/>
    </dgm:fillClrLst>
    <dgm:linClrLst meth="cycle">
      <a:srgbClr val="FFFFFF"/>
    </dgm:linClrLst>
    <dgm:effectClrLst/>
    <dgm:txLinClrLst/>
    <dgm:txFillClrLst meth="repeat">
      <a:srgbClr val="FFFFFF"/>
    </dgm:txFillClrLst>
    <dgm:txEffectClrLst/>
  </dgm:styleLbl>
  <dgm:styleLbl name="callout">
    <dgm:fillClrLst meth="repeat">
      <a:srgbClr val="C0504D"/>
    </dgm:fillClrLst>
    <dgm:linClrLst meth="repeat">
      <a:srgbClr val="E2C2C2">
        <a:tint val="50000"/>
      </a:srgbClr>
    </dgm:linClrLst>
    <dgm:effectClrLst/>
    <dgm:txLinClrLst/>
    <dgm:txFillClrLst meth="repeat">
      <a:srgbClr val="000000"/>
    </dgm:txFillClrLst>
    <dgm:txEffectClrLst/>
  </dgm:styleLbl>
  <dgm:styleLbl name="conFgAcc1">
    <dgm:fillClrLst meth="repeat">
      <a:srgbClr val="FFFFFF">
        <a:alpha val="90000"/>
      </a:srgbClr>
    </dgm:fillClrLst>
    <dgm:linClrLst meth="repeat">
      <a:srgbClr val="C0504D"/>
      <a:srgbClr val="9BBB59"/>
      <a:srgbClr val="8064A2"/>
      <a:srgbClr val="4BACC6"/>
      <a:srgbClr val="F79646"/>
    </dgm:linClrLst>
    <dgm:effectClrLst/>
    <dgm:txLinClrLst/>
    <dgm:txFillClrLst meth="repeat">
      <a:srgbClr val="000000"/>
    </dgm:txFillClrLst>
    <dgm:txEffectClrLst/>
  </dgm:styleLbl>
  <dgm:styleLbl name="dkBgShp">
    <dgm:fillClrLst meth="repeat">
      <a:srgbClr val="B74C49">
        <a:shade val="90000"/>
      </a:srgbClr>
    </dgm:fillClrLst>
    <dgm:linClrLst meth="repeat">
      <a:srgbClr val="000000"/>
    </dgm:linClrLst>
    <dgm:effectClrLst/>
    <dgm:txLinClrLst/>
    <dgm:txFillClrLst meth="repeat">
      <a:srgbClr val="FFFFFF"/>
    </dgm:txFillClrLst>
    <dgm:txEffectClrLst/>
  </dgm:styleLbl>
  <dgm:styleLbl name="fgAcc0">
    <dgm:fillClrLst meth="repeat">
      <a:srgbClr val="FFFFFF">
        <a:alpha val="90000"/>
      </a:srgbClr>
    </dgm:fillClrLst>
    <dgm:linClrLst>
      <a:srgbClr val="4F81BD"/>
    </dgm:linClrLst>
    <dgm:effectClrLst/>
    <dgm:txLinClrLst/>
    <dgm:txFillClrLst meth="repeat">
      <a:srgbClr val="000000"/>
    </dgm:txFillClrLst>
    <dgm:txEffectClrLst/>
  </dgm:styleLbl>
  <dgm:styleLbl name="fgAcc1">
    <dgm:fillClrLst meth="repeat">
      <a:srgbClr val="FFFFFF">
        <a:alpha val="90000"/>
      </a:srgbClr>
    </dgm:fillClrLst>
    <dgm:linClrLst meth="repeat">
      <a:srgbClr val="C0504D"/>
      <a:srgbClr val="9BBB59"/>
      <a:srgbClr val="8064A2"/>
      <a:srgbClr val="4BACC6"/>
      <a:srgbClr val="F79646"/>
    </dgm:linClrLst>
    <dgm:effectClrLst/>
    <dgm:txLinClrLst/>
    <dgm:txFillClrLst meth="repeat">
      <a:srgbClr val="000000"/>
    </dgm:txFillClrLst>
    <dgm:txEffectClrLst/>
  </dgm:styleLbl>
  <dgm:styleLbl name="fgAcc2">
    <dgm:fillClrLst meth="repeat">
      <a:srgbClr val="FFFFFF">
        <a:alpha val="90000"/>
      </a:srgbClr>
    </dgm:fillClrLst>
    <dgm:linClrLst>
      <a:srgbClr val="C0504D"/>
    </dgm:linClrLst>
    <dgm:effectClrLst/>
    <dgm:txLinClrLst/>
    <dgm:txFillClrLst meth="repeat">
      <a:srgbClr val="000000"/>
    </dgm:txFillClrLst>
    <dgm:txEffectClrLst/>
  </dgm:styleLbl>
  <dgm:styleLbl name="fgAcc3">
    <dgm:fillClrLst meth="repeat">
      <a:srgbClr val="FFFFFF">
        <a:alpha val="90000"/>
      </a:srgbClr>
    </dgm:fillClrLst>
    <dgm:linClrLst>
      <a:srgbClr val="9BBB59"/>
    </dgm:linClrLst>
    <dgm:effectClrLst/>
    <dgm:txLinClrLst/>
    <dgm:txFillClrLst meth="repeat">
      <a:srgbClr val="000000"/>
    </dgm:txFillClrLst>
    <dgm:txEffectClrLst/>
  </dgm:styleLbl>
  <dgm:styleLbl name="fgAcc4">
    <dgm:fillClrLst meth="repeat">
      <a:srgbClr val="FFFFFF">
        <a:alpha val="90000"/>
      </a:srgbClr>
    </dgm:fillClrLst>
    <dgm:linClrLst>
      <a:srgbClr val="8064A2"/>
    </dgm:linClrLst>
    <dgm:effectClrLst/>
    <dgm:txLinClrLst/>
    <dgm:txFillClrLst meth="repeat">
      <a:srgbClr val="000000"/>
    </dgm:txFillClrLst>
    <dgm:txEffectClrLst/>
  </dgm:styleLbl>
  <dgm:styleLbl name="fgAccFollowNode1">
    <dgm:fillClrLst meth="repeat">
      <a:srgbClr val="E8D0D0">
        <a:tint val="40000"/>
        <a:alpha val="90000"/>
      </a:srgbClr>
      <a:srgbClr val="DEE7D1">
        <a:tint val="40000"/>
        <a:alpha val="90000"/>
      </a:srgbClr>
      <a:srgbClr val="D8D3E0">
        <a:tint val="40000"/>
        <a:alpha val="90000"/>
      </a:srgbClr>
      <a:srgbClr val="D0E3EA">
        <a:tint val="40000"/>
        <a:alpha val="90000"/>
      </a:srgbClr>
      <a:srgbClr val="FCDDCF">
        <a:tint val="40000"/>
        <a:alpha val="90000"/>
      </a:srgbClr>
    </dgm:fillClrLst>
    <dgm:linClrLst meth="repeat">
      <a:srgbClr val="E8D0D0">
        <a:tint val="40000"/>
        <a:alpha val="90000"/>
      </a:srgbClr>
      <a:srgbClr val="DEE7D1">
        <a:tint val="40000"/>
        <a:alpha val="90000"/>
      </a:srgbClr>
      <a:srgbClr val="D8D3E0">
        <a:tint val="40000"/>
        <a:alpha val="90000"/>
      </a:srgbClr>
      <a:srgbClr val="D0E3EA">
        <a:tint val="40000"/>
        <a:alpha val="90000"/>
      </a:srgbClr>
      <a:srgbClr val="FCDDCF">
        <a:tint val="40000"/>
        <a:alpha val="90000"/>
      </a:srgbClr>
    </dgm:linClrLst>
    <dgm:effectClrLst/>
    <dgm:txLinClrLst/>
    <dgm:txFillClrLst meth="repeat">
      <a:srgbClr val="000000"/>
    </dgm:txFillClrLst>
    <dgm:txEffectClrLst/>
  </dgm:styleLbl>
  <dgm:styleLbl name="fgImgPlace1">
    <dgm:fillClrLst meth="repeat">
      <a:srgbClr val="E2C2C2">
        <a:tint val="50000"/>
      </a:srgbClr>
      <a:srgbClr val="D5E0C4">
        <a:tint val="50000"/>
      </a:srgbClr>
      <a:srgbClr val="CDC6D7">
        <a:tint val="50000"/>
      </a:srgbClr>
      <a:srgbClr val="C1DBE5">
        <a:tint val="50000"/>
      </a:srgbClr>
      <a:srgbClr val="FBD3C1">
        <a:tint val="50000"/>
      </a:srgbClr>
    </dgm:fillClrLst>
    <dgm:linClrLst meth="repeat">
      <a:srgbClr val="FFFFFF"/>
    </dgm:linClrLst>
    <dgm:effectClrLst/>
    <dgm:txLinClrLst/>
    <dgm:txFillClrLst meth="repeat">
      <a:srgbClr val="FFFFFF"/>
    </dgm:txFillClrLst>
    <dgm:txEffectClrLst/>
  </dgm:styleLbl>
  <dgm:styleLbl name="fgShp">
    <dgm:fillClrLst meth="repeat">
      <a:srgbClr val="E8D0D0">
        <a:tint val="40000"/>
      </a:srgbClr>
    </dgm:fillClrLst>
    <dgm:linClrLst meth="repeat">
      <a:srgbClr val="FFFFFF"/>
    </dgm:linClrLst>
    <dgm:effectClrLst/>
    <dgm:txLinClrLst/>
    <dgm:txFillClrLst meth="repeat">
      <a:srgbClr val="000000"/>
    </dgm:txFillClrLst>
    <dgm:txEffectClrLst/>
  </dgm:styleLbl>
  <dgm:styleLbl name="fgSibTrans2D1">
    <dgm:fillClrLst meth="repeat">
      <a:srgbClr val="C0504D"/>
      <a:srgbClr val="9BBB59"/>
      <a:srgbClr val="8064A2"/>
      <a:srgbClr val="4BACC6"/>
      <a:srgbClr val="F79646"/>
    </dgm:fillClrLst>
    <dgm:linClrLst meth="cycle">
      <a:srgbClr val="FFFFFF"/>
    </dgm:linClrLst>
    <dgm:effectClrLst/>
    <dgm:txLinClrLst/>
    <dgm:txFillClrLst meth="repeat">
      <a:srgbClr val="FFFFFF"/>
    </dgm:txFillClrLst>
    <dgm:txEffectClrLst/>
  </dgm:styleLbl>
  <dgm:styleLbl name="lnNode1">
    <dgm:fillClrLst meth="repeat">
      <a:srgbClr val="C0504D"/>
      <a:srgbClr val="9BBB59"/>
      <a:srgbClr val="8064A2"/>
      <a:srgbClr val="4BACC6"/>
      <a:srgbClr val="F79646"/>
    </dgm:fillClrLst>
    <dgm:linClrLst meth="repeat">
      <a:srgbClr val="FFFFFF"/>
    </dgm:linClrLst>
    <dgm:effectClrLst/>
    <dgm:txLinClrLst/>
    <dgm:txFillClrLst/>
    <dgm:txEffectClrLst/>
  </dgm:styleLbl>
  <dgm:styleLbl name="node0">
    <dgm:fillClrLst meth="repeat">
      <a:srgbClr val="4F81BD"/>
    </dgm:fillClrLst>
    <dgm:linClrLst meth="repeat">
      <a:srgbClr val="FFFFFF"/>
    </dgm:linClrLst>
    <dgm:effectClrLst/>
    <dgm:txLinClrLst/>
    <dgm:txFillClrLst/>
    <dgm:txEffectClrLst/>
  </dgm:styleLbl>
  <dgm:styleLbl name="node1">
    <dgm:fillClrLst meth="repeat">
      <a:srgbClr val="C0504D"/>
      <a:srgbClr val="9BBB59"/>
      <a:srgbClr val="8064A2"/>
      <a:srgbClr val="4BACC6"/>
      <a:srgbClr val="F79646"/>
    </dgm:fillClrLst>
    <dgm:linClrLst meth="repeat">
      <a:srgbClr val="FFFFFF"/>
    </dgm:linClrLst>
    <dgm:effectClrLst/>
    <dgm:txLinClrLst/>
    <dgm:txFillClrLst/>
    <dgm:txEffectClrLst/>
  </dgm:styleLbl>
  <dgm:styleLbl name="node2">
    <dgm:fillClrLst>
      <a:srgbClr val="C0504D"/>
    </dgm:fillClrLst>
    <dgm:linClrLst meth="repeat">
      <a:srgbClr val="FFFFFF"/>
    </dgm:linClrLst>
    <dgm:effectClrLst/>
    <dgm:txLinClrLst/>
    <dgm:txFillClrLst/>
    <dgm:txEffectClrLst/>
  </dgm:styleLbl>
  <dgm:styleLbl name="node3">
    <dgm:fillClrLst>
      <a:srgbClr val="9BBB59"/>
    </dgm:fillClrLst>
    <dgm:linClrLst meth="repeat">
      <a:srgbClr val="FFFFFF"/>
    </dgm:linClrLst>
    <dgm:effectClrLst/>
    <dgm:txLinClrLst/>
    <dgm:txFillClrLst/>
    <dgm:txEffectClrLst/>
  </dgm:styleLbl>
  <dgm:styleLbl name="node4">
    <dgm:fillClrLst>
      <a:srgbClr val="8064A2"/>
    </dgm:fillClrLst>
    <dgm:linClrLst meth="repeat">
      <a:srgbClr val="FFFFFF"/>
    </dgm:linClrLst>
    <dgm:effectClrLst/>
    <dgm:txLinClrLst/>
    <dgm:txFillClrLst/>
    <dgm:txEffectClrLst/>
  </dgm:styleLbl>
  <dgm:styleLbl name="parChTrans1D1">
    <dgm:fillClrLst meth="repeat">
      <a:srgbClr val="C0504D"/>
    </dgm:fillClrLst>
    <dgm:linClrLst meth="repeat">
      <a:srgbClr val="4F81BD"/>
    </dgm:linClrLst>
    <dgm:effectClrLst/>
    <dgm:txLinClrLst/>
    <dgm:txFillClrLst meth="repeat">
      <a:srgbClr val="000000"/>
    </dgm:txFillClrLst>
    <dgm:txEffectClrLst/>
  </dgm:styleLbl>
  <dgm:styleLbl name="parChTrans1D2">
    <dgm:fillClrLst meth="repeat">
      <a:srgbClr val="A9C379">
        <a:tint val="90000"/>
      </a:srgbClr>
    </dgm:fillClrLst>
    <dgm:linClrLst meth="repeat">
      <a:srgbClr val="C0504D"/>
    </dgm:linClrLst>
    <dgm:effectClrLst/>
    <dgm:txLinClrLst/>
    <dgm:txFillClrLst meth="repeat">
      <a:srgbClr val="000000"/>
    </dgm:txFillClrLst>
    <dgm:txEffectClrLst/>
  </dgm:styleLbl>
  <dgm:styleLbl name="parChTrans1D3">
    <dgm:fillClrLst meth="repeat">
      <a:srgbClr val="B3A8C4">
        <a:tint val="70000"/>
      </a:srgbClr>
    </dgm:fillClrLst>
    <dgm:linClrLst meth="repeat">
      <a:srgbClr val="9BBB59"/>
    </dgm:linClrLst>
    <dgm:effectClrLst/>
    <dgm:txLinClrLst/>
    <dgm:txFillClrLst meth="repeat">
      <a:srgbClr val="000000"/>
    </dgm:txFillClrLst>
    <dgm:txEffectClrLst/>
  </dgm:styleLbl>
  <dgm:styleLbl name="parChTrans1D4">
    <dgm:fillClrLst meth="repeat">
      <a:srgbClr val="C1DBE5">
        <a:tint val="50000"/>
      </a:srgbClr>
    </dgm:fillClrLst>
    <dgm:linClrLst meth="repeat">
      <a:srgbClr val="8064A2"/>
    </dgm:linClrLst>
    <dgm:effectClrLst/>
    <dgm:txLinClrLst/>
    <dgm:txFillClrLst meth="repeat">
      <a:srgbClr val="000000"/>
    </dgm:txFillClrLst>
    <dgm:txEffectClrLst/>
  </dgm:styleLbl>
  <dgm:styleLbl name="parChTrans2D1">
    <dgm:fillClrLst meth="repeat">
      <a:srgbClr val="C0504D"/>
    </dgm:fillClrLst>
    <dgm:linClrLst meth="repeat">
      <a:srgbClr val="FFFFFF"/>
    </dgm:linClrLst>
    <dgm:effectClrLst/>
    <dgm:txLinClrLst/>
    <dgm:txFillClrLst meth="repeat">
      <a:srgbClr val="FFFFFF"/>
    </dgm:txFillClrLst>
    <dgm:txEffectClrLst/>
  </dgm:styleLbl>
  <dgm:styleLbl name="parChTrans2D2">
    <dgm:fillClrLst meth="repeat">
      <a:srgbClr val="9BBB59"/>
    </dgm:fillClrLst>
    <dgm:linClrLst meth="repeat">
      <a:srgbClr val="FFFFFF"/>
    </dgm:linClrLst>
    <dgm:effectClrLst/>
    <dgm:txLinClrLst/>
    <dgm:txFillClrLst/>
    <dgm:txEffectClrLst/>
  </dgm:styleLbl>
  <dgm:styleLbl name="parChTrans2D3">
    <dgm:fillClrLst meth="repeat">
      <a:srgbClr val="8064A2"/>
    </dgm:fillClrLst>
    <dgm:linClrLst meth="repeat">
      <a:srgbClr val="FFFFFF"/>
    </dgm:linClrLst>
    <dgm:effectClrLst/>
    <dgm:txLinClrLst/>
    <dgm:txFillClrLst/>
    <dgm:txEffectClrLst/>
  </dgm:styleLbl>
  <dgm:styleLbl name="parChTrans2D4">
    <dgm:fillClrLst meth="repeat">
      <a:srgbClr val="4BACC6"/>
    </dgm:fillClrLst>
    <dgm:linClrLst meth="repeat">
      <a:srgbClr val="FFFFFF"/>
    </dgm:linClrLst>
    <dgm:effectClrLst/>
    <dgm:txLinClrLst/>
    <dgm:txFillClrLst meth="repeat">
      <a:srgbClr val="FFFFFF"/>
    </dgm:txFillClrLst>
    <dgm:txEffectClrLst/>
  </dgm:styleLbl>
  <dgm:styleLbl name="revTx">
    <dgm:fillClrLst meth="repeat">
      <a:srgbClr val="FFFFFF">
        <a:alpha val="0"/>
      </a:srgbClr>
    </dgm:fillClrLst>
    <dgm:linClrLst meth="repeat">
      <a:srgbClr val="000000">
        <a:alpha val="0"/>
      </a:srgbClr>
    </dgm:linClrLst>
    <dgm:effectClrLst/>
    <dgm:txLinClrLst/>
    <dgm:txFillClrLst meth="repeat">
      <a:srgbClr val="000000"/>
    </dgm:txFillClrLst>
    <dgm:txEffectClrLst/>
  </dgm:styleLbl>
  <dgm:styleLbl name="sibTrans1D1">
    <dgm:fillClrLst meth="repeat">
      <a:srgbClr val="C0504D"/>
      <a:srgbClr val="9BBB59"/>
      <a:srgbClr val="8064A2"/>
      <a:srgbClr val="4BACC6"/>
      <a:srgbClr val="F79646"/>
    </dgm:fillClrLst>
    <dgm:linClrLst meth="repeat">
      <a:srgbClr val="C0504D"/>
      <a:srgbClr val="9BBB59"/>
      <a:srgbClr val="8064A2"/>
      <a:srgbClr val="4BACC6"/>
      <a:srgbClr val="F79646"/>
    </dgm:linClrLst>
    <dgm:effectClrLst/>
    <dgm:txLinClrLst/>
    <dgm:txFillClrLst meth="repeat">
      <a:srgbClr val="000000"/>
    </dgm:txFillClrLst>
    <dgm:txEffectClrLst/>
  </dgm:styleLbl>
  <dgm:styleLbl name="sibTrans2D1">
    <dgm:fillClrLst meth="repeat">
      <a:srgbClr val="C0504D"/>
      <a:srgbClr val="9BBB59"/>
      <a:srgbClr val="8064A2"/>
      <a:srgbClr val="4BACC6"/>
      <a:srgbClr val="F79646"/>
    </dgm:fillClrLst>
    <dgm:linClrLst meth="cycle">
      <a:srgbClr val="FFFFFF"/>
    </dgm:linClrLst>
    <dgm:effectClrLst/>
    <dgm:txLinClrLst/>
    <dgm:txFillClrLst/>
    <dgm:txEffectClrLst/>
  </dgm:styleLbl>
  <dgm:styleLbl name="solidAlignAcc1">
    <dgm:fillClrLst meth="repeat">
      <a:srgbClr val="FFFFFF"/>
    </dgm:fillClrLst>
    <dgm:linClrLst meth="repeat">
      <a:srgbClr val="C0504D"/>
      <a:srgbClr val="9BBB59"/>
      <a:srgbClr val="8064A2"/>
      <a:srgbClr val="4BACC6"/>
      <a:srgbClr val="F79646"/>
    </dgm:linClrLst>
    <dgm:effectClrLst/>
    <dgm:txLinClrLst/>
    <dgm:txFillClrLst meth="repeat">
      <a:srgbClr val="000000"/>
    </dgm:txFillClrLst>
    <dgm:txEffectClrLst/>
  </dgm:styleLbl>
  <dgm:styleLbl name="solidBgAcc1">
    <dgm:fillClrLst meth="repeat">
      <a:srgbClr val="FFFFFF"/>
    </dgm:fillClrLst>
    <dgm:linClrLst meth="repeat">
      <a:srgbClr val="C0504D"/>
      <a:srgbClr val="9BBB59"/>
      <a:srgbClr val="8064A2"/>
      <a:srgbClr val="4BACC6"/>
      <a:srgbClr val="F79646"/>
    </dgm:linClrLst>
    <dgm:effectClrLst/>
    <dgm:txLinClrLst/>
    <dgm:txFillClrLst meth="repeat">
      <a:srgbClr val="000000"/>
    </dgm:txFillClrLst>
    <dgm:txEffectClrLst/>
  </dgm:styleLbl>
  <dgm:styleLbl name="solidFgAcc1">
    <dgm:fillClrLst meth="repeat">
      <a:srgbClr val="FFFFFF"/>
    </dgm:fillClrLst>
    <dgm:linClrLst meth="repeat">
      <a:srgbClr val="C0504D"/>
      <a:srgbClr val="9BBB59"/>
      <a:srgbClr val="8064A2"/>
      <a:srgbClr val="4BACC6"/>
      <a:srgbClr val="F79646"/>
    </dgm:linClrLst>
    <dgm:effectClrLst/>
    <dgm:txLinClrLst/>
    <dgm:txFillClrLst meth="repeat">
      <a:srgbClr val="000000"/>
    </dgm:txFillClrLst>
    <dgm:txEffectClrLst/>
  </dgm:styleLbl>
  <dgm:styleLbl name="trAlignAcc1">
    <dgm:fillClrLst meth="repeat">
      <a:srgbClr val="FFFFFF">
        <a:alpha val="40000"/>
      </a:srgbClr>
    </dgm:fillClrLst>
    <dgm:linClrLst meth="repeat">
      <a:srgbClr val="4F81BD"/>
    </dgm:linClrLst>
    <dgm:effectClrLst/>
    <dgm:txLinClrLst/>
    <dgm:txFillClrLst meth="repeat">
      <a:srgbClr val="000000"/>
    </dgm:txFillClrLst>
    <dgm:txEffectClrLst/>
  </dgm:styleLbl>
  <dgm:styleLbl name="trBgShp">
    <dgm:fillClrLst meth="repeat">
      <a:srgbClr val="C2CDE1">
        <a:tint val="50000"/>
        <a:alpha val="40000"/>
      </a:srgbClr>
    </dgm:fillClrLst>
    <dgm:linClrLst meth="repeat">
      <a:srgbClr val="C0504D"/>
    </dgm:linClrLst>
    <dgm:effectClrLst/>
    <dgm:txLinClrLst/>
    <dgm:txFillClrLst meth="repeat">
      <a:srgbClr val="FFFFFF"/>
    </dgm:txFillClrLst>
    <dgm:txEffectClrLst/>
  </dgm:styleLbl>
  <dgm:styleLbl name="vennNode1">
    <dgm:fillClrLst meth="repeat">
      <a:srgbClr val="C0504D">
        <a:alpha val="50000"/>
      </a:srgbClr>
      <a:srgbClr val="9BBB59">
        <a:alpha val="50000"/>
      </a:srgbClr>
      <a:srgbClr val="8064A2">
        <a:alpha val="50000"/>
      </a:srgbClr>
      <a:srgbClr val="4BACC6">
        <a:alpha val="50000"/>
      </a:srgbClr>
      <a:srgbClr val="F79646">
        <a:alpha val="50000"/>
      </a:srgbClr>
    </dgm:fillClrLst>
    <dgm:linClrLst meth="repeat">
      <a:srgbClr val="FFFFFF"/>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501C80C4-3C37-4B06-AC2A-25F05322FDE0}" type="doc">
      <dgm:prSet loTypeId="urn:microsoft.com/office/officeart/2005/8/layout/list1#1" loCatId="list" qsTypeId="urn:microsoft.com/office/officeart/2005/8/quickstyle/simple1#1" qsCatId="simple" csTypeId="urn:microsoft.com/office/officeart/2005/8/colors/colorful1#1" csCatId="accent1" phldr="0"/>
      <dgm:spPr/>
      <dgm:t>
        <a:bodyPr/>
        <a:lstStyle/>
        <a:p>
          <a:endParaRPr lang="en-US"/>
        </a:p>
      </dgm:t>
    </dgm:pt>
    <dgm:pt modelId="{79F64CC5-B0A0-473A-A647-A8DB6562D23B}">
      <dgm:prSet phldrT="[Text]" phldr="0" custT="0"/>
      <dgm:spPr/>
      <dgm:t>
        <a:bodyPr vert="horz" wrap="square"/>
        <a:lstStyle/>
        <a:p>
          <a:pPr>
            <a:lnSpc>
              <a:spcPct val="100000"/>
            </a:lnSpc>
            <a:spcBef>
              <a:spcPct val="0"/>
            </a:spcBef>
            <a:spcAft>
              <a:spcPct val="35000"/>
            </a:spcAft>
          </a:pPr>
          <a:r>
            <a:rPr lang="en-US"/>
            <a:t>The Code on Barrier-Free Accessibility in Buildings of 1990</a:t>
          </a:r>
        </a:p>
      </dgm:t>
    </dgm:pt>
    <dgm:pt modelId="{702F6268-E14C-45D5-8115-297DAA4B759C}" type="parTrans" cxnId="{D1F4BFE0-90F4-4643-A969-00A4E037A3B3}">
      <dgm:prSet/>
      <dgm:spPr/>
      <dgm:t>
        <a:bodyPr/>
        <a:lstStyle/>
        <a:p>
          <a:endParaRPr lang="en-US"/>
        </a:p>
      </dgm:t>
    </dgm:pt>
    <dgm:pt modelId="{981E424B-A63B-4DF7-BC97-1D5B2B7044B1}" type="sibTrans" cxnId="{D1F4BFE0-90F4-4643-A969-00A4E037A3B3}">
      <dgm:prSet/>
      <dgm:spPr/>
      <dgm:t>
        <a:bodyPr/>
        <a:lstStyle/>
        <a:p>
          <a:endParaRPr lang="en-US"/>
        </a:p>
      </dgm:t>
    </dgm:pt>
    <dgm:pt modelId="{D4AB1542-9F74-4E45-B615-57F5DFDC43EE}">
      <dgm:prSet phldrT="[Text]" phldr="0" custT="0"/>
      <dgm:spPr/>
      <dgm:t>
        <a:bodyPr vert="horz" wrap="square"/>
        <a:lstStyle/>
        <a:p>
          <a:pPr>
            <a:lnSpc>
              <a:spcPct val="100000"/>
            </a:lnSpc>
            <a:spcBef>
              <a:spcPct val="0"/>
            </a:spcBef>
            <a:spcAft>
              <a:spcPct val="35000"/>
            </a:spcAft>
          </a:pPr>
          <a:r>
            <a:rPr lang="en-US"/>
            <a:t>Civil Defense Shelter Act of 1997</a:t>
          </a:r>
        </a:p>
      </dgm:t>
    </dgm:pt>
    <dgm:pt modelId="{DCA1BD93-FD98-4A06-8ECE-28E6935BECED}" type="parTrans" cxnId="{E8C7D0AE-64F1-47EF-91D9-9A2F9F84DB63}">
      <dgm:prSet/>
      <dgm:spPr/>
      <dgm:t>
        <a:bodyPr/>
        <a:lstStyle/>
        <a:p>
          <a:endParaRPr lang="en-US"/>
        </a:p>
      </dgm:t>
    </dgm:pt>
    <dgm:pt modelId="{69748832-ECC5-4F63-A6AC-8504A7E906B9}" type="sibTrans" cxnId="{E8C7D0AE-64F1-47EF-91D9-9A2F9F84DB63}">
      <dgm:prSet/>
      <dgm:spPr/>
      <dgm:t>
        <a:bodyPr/>
        <a:lstStyle/>
        <a:p>
          <a:endParaRPr lang="en-US"/>
        </a:p>
      </dgm:t>
    </dgm:pt>
    <dgm:pt modelId="{E484A0DB-ADE2-41BB-B1F9-A397557174FE}">
      <dgm:prSet phldrT="[Text]" phldr="0" custT="0"/>
      <dgm:spPr/>
      <dgm:t>
        <a:bodyPr vert="horz" wrap="square"/>
        <a:lstStyle/>
        <a:p>
          <a:pPr>
            <a:lnSpc>
              <a:spcPct val="100000"/>
            </a:lnSpc>
            <a:spcBef>
              <a:spcPct val="0"/>
            </a:spcBef>
            <a:spcAft>
              <a:spcPct val="35000"/>
            </a:spcAft>
          </a:pPr>
          <a:r>
            <a:rPr lang="en-US"/>
            <a:t>The Building Control Act 1989 revised in 1999</a:t>
          </a:r>
        </a:p>
      </dgm:t>
    </dgm:pt>
    <dgm:pt modelId="{0D3844BD-A934-4ADF-8CEC-4B7101CACCC9}" type="parTrans" cxnId="{79432DF1-9805-4F80-84B1-9043819341B9}">
      <dgm:prSet/>
      <dgm:spPr/>
      <dgm:t>
        <a:bodyPr/>
        <a:lstStyle/>
        <a:p>
          <a:endParaRPr lang="en-US"/>
        </a:p>
      </dgm:t>
    </dgm:pt>
    <dgm:pt modelId="{FC59B45A-A616-4E16-B98F-7EBC1D5DDF85}" type="sibTrans" cxnId="{79432DF1-9805-4F80-84B1-9043819341B9}">
      <dgm:prSet/>
      <dgm:spPr/>
      <dgm:t>
        <a:bodyPr/>
        <a:lstStyle/>
        <a:p>
          <a:endParaRPr lang="en-US"/>
        </a:p>
      </dgm:t>
    </dgm:pt>
    <dgm:pt modelId="{B761F93F-6F44-4EA3-8561-4D84F4B48F9B}">
      <dgm:prSet phldr="0" custT="0"/>
      <dgm:spPr/>
      <dgm:t>
        <a:bodyPr vert="horz" wrap="square"/>
        <a:lstStyle/>
        <a:p>
          <a:pPr>
            <a:lnSpc>
              <a:spcPct val="100000"/>
            </a:lnSpc>
            <a:spcBef>
              <a:spcPct val="0"/>
            </a:spcBef>
            <a:spcAft>
              <a:spcPct val="35000"/>
            </a:spcAft>
          </a:pPr>
          <a:r>
            <a:rPr lang="en-US"/>
            <a:t>The Building and Construction Act of 1999</a:t>
          </a:r>
        </a:p>
      </dgm:t>
    </dgm:pt>
    <dgm:pt modelId="{7388FD9A-B1DF-457B-841B-38D8331C847F}" type="parTrans" cxnId="{88660F9E-E98D-46FF-B4D4-3CE9DD214A46}">
      <dgm:prSet/>
      <dgm:spPr/>
      <dgm:t>
        <a:bodyPr/>
        <a:lstStyle/>
        <a:p>
          <a:endParaRPr lang="en-US"/>
        </a:p>
      </dgm:t>
    </dgm:pt>
    <dgm:pt modelId="{B5197A8F-925C-4641-96A8-AF5D33F5EEF7}" type="sibTrans" cxnId="{88660F9E-E98D-46FF-B4D4-3CE9DD214A46}">
      <dgm:prSet/>
      <dgm:spPr/>
      <dgm:t>
        <a:bodyPr/>
        <a:lstStyle/>
        <a:p>
          <a:endParaRPr lang="en-US"/>
        </a:p>
      </dgm:t>
    </dgm:pt>
    <dgm:pt modelId="{B12D50D0-55BF-4B1A-88B4-2D0573FEC57D}">
      <dgm:prSet phldr="0" custT="0"/>
      <dgm:spPr/>
      <dgm:t>
        <a:bodyPr vert="horz" wrap="square"/>
        <a:lstStyle/>
        <a:p>
          <a:pPr>
            <a:lnSpc>
              <a:spcPct val="100000"/>
            </a:lnSpc>
            <a:spcBef>
              <a:spcPct val="0"/>
            </a:spcBef>
            <a:spcAft>
              <a:spcPct val="35000"/>
            </a:spcAft>
          </a:pPr>
          <a:r>
            <a:rPr lang="en-US"/>
            <a:t>The Fire Code of 2018</a:t>
          </a:r>
        </a:p>
      </dgm:t>
    </dgm:pt>
    <dgm:pt modelId="{2445E265-10DC-41B4-8211-CAF274E15664}" type="parTrans" cxnId="{83E0816F-17CB-4499-A67C-733296C4D6CB}">
      <dgm:prSet/>
      <dgm:spPr/>
      <dgm:t>
        <a:bodyPr/>
        <a:lstStyle/>
        <a:p>
          <a:endParaRPr lang="en-US"/>
        </a:p>
      </dgm:t>
    </dgm:pt>
    <dgm:pt modelId="{0BEC4488-419F-4DF7-93ED-94474F82C70F}" type="sibTrans" cxnId="{83E0816F-17CB-4499-A67C-733296C4D6CB}">
      <dgm:prSet/>
      <dgm:spPr/>
      <dgm:t>
        <a:bodyPr/>
        <a:lstStyle/>
        <a:p>
          <a:endParaRPr lang="en-US"/>
        </a:p>
      </dgm:t>
    </dgm:pt>
    <dgm:pt modelId="{5F8B0733-5462-4FF9-9937-834CF871100D}">
      <dgm:prSet phldr="0" custT="0"/>
      <dgm:spPr/>
      <dgm:t>
        <a:bodyPr vert="horz" wrap="square"/>
        <a:lstStyle/>
        <a:p>
          <a:pPr>
            <a:lnSpc>
              <a:spcPct val="100000"/>
            </a:lnSpc>
            <a:spcBef>
              <a:spcPct val="0"/>
            </a:spcBef>
            <a:spcAft>
              <a:spcPct val="35000"/>
            </a:spcAft>
          </a:pPr>
          <a:r>
            <a:rPr lang="en-US"/>
            <a:t>Code on Accessibility in the Built Environment of 2019</a:t>
          </a:r>
        </a:p>
      </dgm:t>
    </dgm:pt>
    <dgm:pt modelId="{FB8F8054-41AE-493E-8A23-0391A0155DB0}" type="parTrans" cxnId="{0A945711-C858-4602-B360-CD550D2CEFC9}">
      <dgm:prSet/>
      <dgm:spPr/>
      <dgm:t>
        <a:bodyPr/>
        <a:lstStyle/>
        <a:p>
          <a:endParaRPr lang="en-US"/>
        </a:p>
      </dgm:t>
    </dgm:pt>
    <dgm:pt modelId="{DCD7A7F4-4F28-42A1-9694-638E738BE909}" type="sibTrans" cxnId="{0A945711-C858-4602-B360-CD550D2CEFC9}">
      <dgm:prSet/>
      <dgm:spPr/>
      <dgm:t>
        <a:bodyPr/>
        <a:lstStyle/>
        <a:p>
          <a:endParaRPr lang="en-US"/>
        </a:p>
      </dgm:t>
    </dgm:pt>
    <dgm:pt modelId="{EE3CB678-3AF3-48EB-A9A3-4C9B3B638DF4}" type="pres">
      <dgm:prSet presAssocID="{501C80C4-3C37-4B06-AC2A-25F05322FDE0}" presName="linear" presStyleCnt="0">
        <dgm:presLayoutVars>
          <dgm:dir val="rev"/>
          <dgm:animLvl val="lvl"/>
          <dgm:resizeHandles val="exact"/>
        </dgm:presLayoutVars>
      </dgm:prSet>
      <dgm:spPr/>
    </dgm:pt>
    <dgm:pt modelId="{A787D67B-DDA1-4988-8415-DCD48FC3EA83}" type="pres">
      <dgm:prSet presAssocID="{79F64CC5-B0A0-473A-A647-A8DB6562D23B}" presName="parentLin" presStyleCnt="0"/>
      <dgm:spPr/>
    </dgm:pt>
    <dgm:pt modelId="{0797CEA2-9F9D-4159-A8DC-2F0D60611F3B}" type="pres">
      <dgm:prSet presAssocID="{79F64CC5-B0A0-473A-A647-A8DB6562D23B}" presName="parentLeftMargin" presStyleLbl="node1" presStyleIdx="0" presStyleCnt="6"/>
      <dgm:spPr/>
    </dgm:pt>
    <dgm:pt modelId="{2968AA41-C1D3-4EDF-9DB3-378F66B2FD39}" type="pres">
      <dgm:prSet presAssocID="{79F64CC5-B0A0-473A-A647-A8DB6562D23B}" presName="parentText" presStyleLbl="node1" presStyleIdx="0" presStyleCnt="6">
        <dgm:presLayoutVars>
          <dgm:chMax val="0"/>
          <dgm:bulletEnabled val="1"/>
        </dgm:presLayoutVars>
      </dgm:prSet>
      <dgm:spPr/>
    </dgm:pt>
    <dgm:pt modelId="{D61417B3-60F3-4BE3-8E8F-9CEC27ECBCDA}" type="pres">
      <dgm:prSet presAssocID="{79F64CC5-B0A0-473A-A647-A8DB6562D23B}" presName="negativeSpace" presStyleCnt="0"/>
      <dgm:spPr/>
    </dgm:pt>
    <dgm:pt modelId="{D167D85B-ED5F-4134-9F18-E6B4BAE0C614}" type="pres">
      <dgm:prSet presAssocID="{79F64CC5-B0A0-473A-A647-A8DB6562D23B}" presName="childText" presStyleLbl="conFgAcc1" presStyleIdx="0" presStyleCnt="6">
        <dgm:presLayoutVars>
          <dgm:bulletEnabled val="1"/>
        </dgm:presLayoutVars>
      </dgm:prSet>
      <dgm:spPr/>
    </dgm:pt>
    <dgm:pt modelId="{6402558A-B637-4118-8793-2FA57B2393DA}" type="pres">
      <dgm:prSet presAssocID="{981E424B-A63B-4DF7-BC97-1D5B2B7044B1}" presName="spaceBetweenRectangles" presStyleCnt="0"/>
      <dgm:spPr/>
    </dgm:pt>
    <dgm:pt modelId="{8E561E53-8519-43F2-B9E7-546C3EB01970}" type="pres">
      <dgm:prSet presAssocID="{D4AB1542-9F74-4E45-B615-57F5DFDC43EE}" presName="parentLin" presStyleCnt="0"/>
      <dgm:spPr/>
    </dgm:pt>
    <dgm:pt modelId="{3559B5A5-3E91-49F5-A868-297DBB575668}" type="pres">
      <dgm:prSet presAssocID="{D4AB1542-9F74-4E45-B615-57F5DFDC43EE}" presName="parentLeftMargin" presStyleLbl="node1" presStyleIdx="0" presStyleCnt="6"/>
      <dgm:spPr/>
    </dgm:pt>
    <dgm:pt modelId="{48FABA9F-C289-434B-8864-E8FC1B5C2F60}" type="pres">
      <dgm:prSet presAssocID="{D4AB1542-9F74-4E45-B615-57F5DFDC43EE}" presName="parentText" presStyleLbl="node1" presStyleIdx="1" presStyleCnt="6">
        <dgm:presLayoutVars>
          <dgm:chMax val="0"/>
          <dgm:bulletEnabled val="1"/>
        </dgm:presLayoutVars>
      </dgm:prSet>
      <dgm:spPr/>
    </dgm:pt>
    <dgm:pt modelId="{72F65D9D-7898-4EE1-ADBC-A6F5139DEC13}" type="pres">
      <dgm:prSet presAssocID="{D4AB1542-9F74-4E45-B615-57F5DFDC43EE}" presName="negativeSpace" presStyleCnt="0"/>
      <dgm:spPr/>
    </dgm:pt>
    <dgm:pt modelId="{6B4B0D2A-F76A-4881-A678-1599A9C1764F}" type="pres">
      <dgm:prSet presAssocID="{D4AB1542-9F74-4E45-B615-57F5DFDC43EE}" presName="childText" presStyleLbl="conFgAcc1" presStyleIdx="1" presStyleCnt="6">
        <dgm:presLayoutVars>
          <dgm:bulletEnabled val="1"/>
        </dgm:presLayoutVars>
      </dgm:prSet>
      <dgm:spPr/>
    </dgm:pt>
    <dgm:pt modelId="{4CCA9E30-BEB2-4B5D-BA10-E5FCB43776E3}" type="pres">
      <dgm:prSet presAssocID="{69748832-ECC5-4F63-A6AC-8504A7E906B9}" presName="spaceBetweenRectangles" presStyleCnt="0"/>
      <dgm:spPr/>
    </dgm:pt>
    <dgm:pt modelId="{E366F1EF-FE80-457B-9C6A-8A0AC673FB1B}" type="pres">
      <dgm:prSet presAssocID="{E484A0DB-ADE2-41BB-B1F9-A397557174FE}" presName="parentLin" presStyleCnt="0"/>
      <dgm:spPr/>
    </dgm:pt>
    <dgm:pt modelId="{06AA40BB-9886-4B46-8ECB-F4B42996D2E4}" type="pres">
      <dgm:prSet presAssocID="{E484A0DB-ADE2-41BB-B1F9-A397557174FE}" presName="parentLeftMargin" presStyleLbl="node1" presStyleIdx="1" presStyleCnt="6"/>
      <dgm:spPr/>
    </dgm:pt>
    <dgm:pt modelId="{E2F3FA2F-E1C7-4C05-8B05-C32B42A9A930}" type="pres">
      <dgm:prSet presAssocID="{E484A0DB-ADE2-41BB-B1F9-A397557174FE}" presName="parentText" presStyleLbl="node1" presStyleIdx="2" presStyleCnt="6">
        <dgm:presLayoutVars>
          <dgm:chMax val="0"/>
          <dgm:bulletEnabled val="1"/>
        </dgm:presLayoutVars>
      </dgm:prSet>
      <dgm:spPr/>
    </dgm:pt>
    <dgm:pt modelId="{C36A5161-621C-488B-95ED-161DD8C18700}" type="pres">
      <dgm:prSet presAssocID="{E484A0DB-ADE2-41BB-B1F9-A397557174FE}" presName="negativeSpace" presStyleCnt="0"/>
      <dgm:spPr/>
    </dgm:pt>
    <dgm:pt modelId="{F2D507D6-5CB7-4C81-896F-18FAF0126329}" type="pres">
      <dgm:prSet presAssocID="{E484A0DB-ADE2-41BB-B1F9-A397557174FE}" presName="childText" presStyleLbl="conFgAcc1" presStyleIdx="2" presStyleCnt="6">
        <dgm:presLayoutVars>
          <dgm:bulletEnabled val="1"/>
        </dgm:presLayoutVars>
      </dgm:prSet>
      <dgm:spPr/>
    </dgm:pt>
    <dgm:pt modelId="{D9116C89-705B-413F-AAB9-579E68C67DD3}" type="pres">
      <dgm:prSet presAssocID="{FC59B45A-A616-4E16-B98F-7EBC1D5DDF85}" presName="spaceBetweenRectangles" presStyleCnt="0"/>
      <dgm:spPr/>
    </dgm:pt>
    <dgm:pt modelId="{BE713C5B-0BFB-4778-A478-DD1767BBB964}" type="pres">
      <dgm:prSet presAssocID="{B761F93F-6F44-4EA3-8561-4D84F4B48F9B}" presName="parentLin" presStyleCnt="0"/>
      <dgm:spPr/>
    </dgm:pt>
    <dgm:pt modelId="{E48C06AA-CA68-44A1-8AAD-9F9C74B0F1E1}" type="pres">
      <dgm:prSet presAssocID="{B761F93F-6F44-4EA3-8561-4D84F4B48F9B}" presName="parentLeftMargin" presStyleLbl="node1" presStyleIdx="2" presStyleCnt="6"/>
      <dgm:spPr/>
    </dgm:pt>
    <dgm:pt modelId="{C54013DB-9C7B-4539-BAE7-8CFB6C321E5B}" type="pres">
      <dgm:prSet presAssocID="{B761F93F-6F44-4EA3-8561-4D84F4B48F9B}" presName="parentText" presStyleLbl="node1" presStyleIdx="3" presStyleCnt="6">
        <dgm:presLayoutVars>
          <dgm:chMax val="0"/>
          <dgm:bulletEnabled val="1"/>
        </dgm:presLayoutVars>
      </dgm:prSet>
      <dgm:spPr/>
    </dgm:pt>
    <dgm:pt modelId="{619C657D-03F2-43F0-996D-E4A8640C67EA}" type="pres">
      <dgm:prSet presAssocID="{B761F93F-6F44-4EA3-8561-4D84F4B48F9B}" presName="negativeSpace" presStyleCnt="0"/>
      <dgm:spPr/>
    </dgm:pt>
    <dgm:pt modelId="{0210FDD6-FB0E-4D71-8AF8-28F37BCEC800}" type="pres">
      <dgm:prSet presAssocID="{B761F93F-6F44-4EA3-8561-4D84F4B48F9B}" presName="childText" presStyleLbl="conFgAcc1" presStyleIdx="3" presStyleCnt="6">
        <dgm:presLayoutVars>
          <dgm:bulletEnabled val="1"/>
        </dgm:presLayoutVars>
      </dgm:prSet>
      <dgm:spPr/>
    </dgm:pt>
    <dgm:pt modelId="{E49CCC09-6EF1-4B12-8200-0436DAD17976}" type="pres">
      <dgm:prSet presAssocID="{B5197A8F-925C-4641-96A8-AF5D33F5EEF7}" presName="spaceBetweenRectangles" presStyleCnt="0"/>
      <dgm:spPr/>
    </dgm:pt>
    <dgm:pt modelId="{483EB302-A038-492E-8EBA-0D263CF58EA0}" type="pres">
      <dgm:prSet presAssocID="{B12D50D0-55BF-4B1A-88B4-2D0573FEC57D}" presName="parentLin" presStyleCnt="0"/>
      <dgm:spPr/>
    </dgm:pt>
    <dgm:pt modelId="{14E567A0-360F-4D99-B691-6D1E53CBAAEA}" type="pres">
      <dgm:prSet presAssocID="{B12D50D0-55BF-4B1A-88B4-2D0573FEC57D}" presName="parentLeftMargin" presStyleLbl="node1" presStyleIdx="3" presStyleCnt="6"/>
      <dgm:spPr/>
    </dgm:pt>
    <dgm:pt modelId="{21D9800D-CBB5-43EC-9A05-27C98A7A4482}" type="pres">
      <dgm:prSet presAssocID="{B12D50D0-55BF-4B1A-88B4-2D0573FEC57D}" presName="parentText" presStyleLbl="node1" presStyleIdx="4" presStyleCnt="6">
        <dgm:presLayoutVars>
          <dgm:chMax val="0"/>
          <dgm:bulletEnabled val="1"/>
        </dgm:presLayoutVars>
      </dgm:prSet>
      <dgm:spPr/>
    </dgm:pt>
    <dgm:pt modelId="{956F25D2-F6FE-4827-8167-B28E67D593EF}" type="pres">
      <dgm:prSet presAssocID="{B12D50D0-55BF-4B1A-88B4-2D0573FEC57D}" presName="negativeSpace" presStyleCnt="0"/>
      <dgm:spPr/>
    </dgm:pt>
    <dgm:pt modelId="{4297541E-9DC5-469F-A5F4-36E818689DEB}" type="pres">
      <dgm:prSet presAssocID="{B12D50D0-55BF-4B1A-88B4-2D0573FEC57D}" presName="childText" presStyleLbl="conFgAcc1" presStyleIdx="4" presStyleCnt="6">
        <dgm:presLayoutVars>
          <dgm:bulletEnabled val="1"/>
        </dgm:presLayoutVars>
      </dgm:prSet>
      <dgm:spPr/>
    </dgm:pt>
    <dgm:pt modelId="{0B58FE1D-E011-4DDF-A1F4-0D245D771FE3}" type="pres">
      <dgm:prSet presAssocID="{0BEC4488-419F-4DF7-93ED-94474F82C70F}" presName="spaceBetweenRectangles" presStyleCnt="0"/>
      <dgm:spPr/>
    </dgm:pt>
    <dgm:pt modelId="{D75CE15C-3726-4950-A489-14BF3F3D317C}" type="pres">
      <dgm:prSet presAssocID="{5F8B0733-5462-4FF9-9937-834CF871100D}" presName="parentLin" presStyleCnt="0"/>
      <dgm:spPr/>
    </dgm:pt>
    <dgm:pt modelId="{B2B79B6D-DDC9-47E2-BE33-B6231BCCEB42}" type="pres">
      <dgm:prSet presAssocID="{5F8B0733-5462-4FF9-9937-834CF871100D}" presName="parentLeftMargin" presStyleLbl="node1" presStyleIdx="4" presStyleCnt="6"/>
      <dgm:spPr/>
    </dgm:pt>
    <dgm:pt modelId="{85711FA5-5ECD-41A5-8B7C-37A5F62722B0}" type="pres">
      <dgm:prSet presAssocID="{5F8B0733-5462-4FF9-9937-834CF871100D}" presName="parentText" presStyleLbl="node1" presStyleIdx="5" presStyleCnt="6">
        <dgm:presLayoutVars>
          <dgm:chMax val="0"/>
          <dgm:bulletEnabled val="1"/>
        </dgm:presLayoutVars>
      </dgm:prSet>
      <dgm:spPr/>
    </dgm:pt>
    <dgm:pt modelId="{6D7DDD52-6BEC-402E-B484-1DB0FC6C2FC4}" type="pres">
      <dgm:prSet presAssocID="{5F8B0733-5462-4FF9-9937-834CF871100D}" presName="negativeSpace" presStyleCnt="0"/>
      <dgm:spPr/>
    </dgm:pt>
    <dgm:pt modelId="{260F35A9-9364-462A-BC26-C1C276BCC755}" type="pres">
      <dgm:prSet presAssocID="{5F8B0733-5462-4FF9-9937-834CF871100D}" presName="childText" presStyleLbl="conFgAcc1" presStyleIdx="5" presStyleCnt="6">
        <dgm:presLayoutVars>
          <dgm:bulletEnabled val="1"/>
        </dgm:presLayoutVars>
      </dgm:prSet>
      <dgm:spPr/>
    </dgm:pt>
  </dgm:ptLst>
  <dgm:cxnLst>
    <dgm:cxn modelId="{7866D40C-91A8-43C9-85CB-248D834D247B}" type="presOf" srcId="{501C80C4-3C37-4B06-AC2A-25F05322FDE0}" destId="{EE3CB678-3AF3-48EB-A9A3-4C9B3B638DF4}" srcOrd="0" destOrd="0" presId="urn:microsoft.com/office/officeart/2005/8/layout/list1#1"/>
    <dgm:cxn modelId="{0A945711-C858-4602-B360-CD550D2CEFC9}" srcId="{501C80C4-3C37-4B06-AC2A-25F05322FDE0}" destId="{5F8B0733-5462-4FF9-9937-834CF871100D}" srcOrd="5" destOrd="0" parTransId="{FB8F8054-41AE-493E-8A23-0391A0155DB0}" sibTransId="{DCD7A7F4-4F28-42A1-9694-638E738BE909}"/>
    <dgm:cxn modelId="{0E27211B-D3C3-4AA0-954C-D130695CBB31}" type="presOf" srcId="{D4AB1542-9F74-4E45-B615-57F5DFDC43EE}" destId="{3559B5A5-3E91-49F5-A868-297DBB575668}" srcOrd="0" destOrd="0" presId="urn:microsoft.com/office/officeart/2005/8/layout/list1#1"/>
    <dgm:cxn modelId="{C5288621-2878-43FA-A6B6-7EA057F8EA34}" type="presOf" srcId="{E484A0DB-ADE2-41BB-B1F9-A397557174FE}" destId="{E2F3FA2F-E1C7-4C05-8B05-C32B42A9A930}" srcOrd="1" destOrd="0" presId="urn:microsoft.com/office/officeart/2005/8/layout/list1#1"/>
    <dgm:cxn modelId="{2EB99930-EFCB-42B9-BAD9-05E80ED00BE0}" type="presOf" srcId="{B761F93F-6F44-4EA3-8561-4D84F4B48F9B}" destId="{C54013DB-9C7B-4539-BAE7-8CFB6C321E5B}" srcOrd="1" destOrd="0" presId="urn:microsoft.com/office/officeart/2005/8/layout/list1#1"/>
    <dgm:cxn modelId="{A0E46960-DD11-4EBE-B0BD-4D2CEFCEB6DB}" type="presOf" srcId="{B761F93F-6F44-4EA3-8561-4D84F4B48F9B}" destId="{E48C06AA-CA68-44A1-8AAD-9F9C74B0F1E1}" srcOrd="0" destOrd="0" presId="urn:microsoft.com/office/officeart/2005/8/layout/list1#1"/>
    <dgm:cxn modelId="{2A418B42-3040-48B3-872A-73C64814B731}" type="presOf" srcId="{79F64CC5-B0A0-473A-A647-A8DB6562D23B}" destId="{0797CEA2-9F9D-4159-A8DC-2F0D60611F3B}" srcOrd="0" destOrd="0" presId="urn:microsoft.com/office/officeart/2005/8/layout/list1#1"/>
    <dgm:cxn modelId="{6F338C66-D129-48BF-A2B0-6214421D2AD4}" type="presOf" srcId="{D4AB1542-9F74-4E45-B615-57F5DFDC43EE}" destId="{48FABA9F-C289-434B-8864-E8FC1B5C2F60}" srcOrd="1" destOrd="0" presId="urn:microsoft.com/office/officeart/2005/8/layout/list1#1"/>
    <dgm:cxn modelId="{83E0816F-17CB-4499-A67C-733296C4D6CB}" srcId="{501C80C4-3C37-4B06-AC2A-25F05322FDE0}" destId="{B12D50D0-55BF-4B1A-88B4-2D0573FEC57D}" srcOrd="4" destOrd="0" parTransId="{2445E265-10DC-41B4-8211-CAF274E15664}" sibTransId="{0BEC4488-419F-4DF7-93ED-94474F82C70F}"/>
    <dgm:cxn modelId="{E53BED70-6EE2-4064-BB94-18024538146A}" type="presOf" srcId="{5F8B0733-5462-4FF9-9937-834CF871100D}" destId="{B2B79B6D-DDC9-47E2-BE33-B6231BCCEB42}" srcOrd="0" destOrd="0" presId="urn:microsoft.com/office/officeart/2005/8/layout/list1#1"/>
    <dgm:cxn modelId="{4654D78B-13C1-4125-8873-A80B1D19E48C}" type="presOf" srcId="{B12D50D0-55BF-4B1A-88B4-2D0573FEC57D}" destId="{14E567A0-360F-4D99-B691-6D1E53CBAAEA}" srcOrd="0" destOrd="0" presId="urn:microsoft.com/office/officeart/2005/8/layout/list1#1"/>
    <dgm:cxn modelId="{88660F9E-E98D-46FF-B4D4-3CE9DD214A46}" srcId="{501C80C4-3C37-4B06-AC2A-25F05322FDE0}" destId="{B761F93F-6F44-4EA3-8561-4D84F4B48F9B}" srcOrd="3" destOrd="0" parTransId="{7388FD9A-B1DF-457B-841B-38D8331C847F}" sibTransId="{B5197A8F-925C-4641-96A8-AF5D33F5EEF7}"/>
    <dgm:cxn modelId="{E8C7D0AE-64F1-47EF-91D9-9A2F9F84DB63}" srcId="{501C80C4-3C37-4B06-AC2A-25F05322FDE0}" destId="{D4AB1542-9F74-4E45-B615-57F5DFDC43EE}" srcOrd="1" destOrd="0" parTransId="{DCA1BD93-FD98-4A06-8ECE-28E6935BECED}" sibTransId="{69748832-ECC5-4F63-A6AC-8504A7E906B9}"/>
    <dgm:cxn modelId="{D1F4BFE0-90F4-4643-A969-00A4E037A3B3}" srcId="{501C80C4-3C37-4B06-AC2A-25F05322FDE0}" destId="{79F64CC5-B0A0-473A-A647-A8DB6562D23B}" srcOrd="0" destOrd="0" parTransId="{702F6268-E14C-45D5-8115-297DAA4B759C}" sibTransId="{981E424B-A63B-4DF7-BC97-1D5B2B7044B1}"/>
    <dgm:cxn modelId="{650D88E2-76DC-4703-BDE1-3A8251911F49}" type="presOf" srcId="{B12D50D0-55BF-4B1A-88B4-2D0573FEC57D}" destId="{21D9800D-CBB5-43EC-9A05-27C98A7A4482}" srcOrd="1" destOrd="0" presId="urn:microsoft.com/office/officeart/2005/8/layout/list1#1"/>
    <dgm:cxn modelId="{4602B2E6-9338-4F15-93E9-1A462B020D18}" type="presOf" srcId="{E484A0DB-ADE2-41BB-B1F9-A397557174FE}" destId="{06AA40BB-9886-4B46-8ECB-F4B42996D2E4}" srcOrd="0" destOrd="0" presId="urn:microsoft.com/office/officeart/2005/8/layout/list1#1"/>
    <dgm:cxn modelId="{241A8DE7-5E7D-49ED-A8D9-89DC4402D5A5}" type="presOf" srcId="{5F8B0733-5462-4FF9-9937-834CF871100D}" destId="{85711FA5-5ECD-41A5-8B7C-37A5F62722B0}" srcOrd="1" destOrd="0" presId="urn:microsoft.com/office/officeart/2005/8/layout/list1#1"/>
    <dgm:cxn modelId="{5C55C2EE-8F63-46B7-92BE-B600FA3B0697}" type="presOf" srcId="{79F64CC5-B0A0-473A-A647-A8DB6562D23B}" destId="{2968AA41-C1D3-4EDF-9DB3-378F66B2FD39}" srcOrd="1" destOrd="0" presId="urn:microsoft.com/office/officeart/2005/8/layout/list1#1"/>
    <dgm:cxn modelId="{79432DF1-9805-4F80-84B1-9043819341B9}" srcId="{501C80C4-3C37-4B06-AC2A-25F05322FDE0}" destId="{E484A0DB-ADE2-41BB-B1F9-A397557174FE}" srcOrd="2" destOrd="0" parTransId="{0D3844BD-A934-4ADF-8CEC-4B7101CACCC9}" sibTransId="{FC59B45A-A616-4E16-B98F-7EBC1D5DDF85}"/>
    <dgm:cxn modelId="{32A42551-EEA2-4442-9813-A64945962B83}" type="presParOf" srcId="{EE3CB678-3AF3-48EB-A9A3-4C9B3B638DF4}" destId="{A787D67B-DDA1-4988-8415-DCD48FC3EA83}" srcOrd="0" destOrd="0" presId="urn:microsoft.com/office/officeart/2005/8/layout/list1#1"/>
    <dgm:cxn modelId="{497A14BE-7A8B-4C2B-A246-773C4EAF23FB}" type="presParOf" srcId="{A787D67B-DDA1-4988-8415-DCD48FC3EA83}" destId="{0797CEA2-9F9D-4159-A8DC-2F0D60611F3B}" srcOrd="0" destOrd="0" presId="urn:microsoft.com/office/officeart/2005/8/layout/list1#1"/>
    <dgm:cxn modelId="{7391F2DE-C5AD-4973-8C72-58F9CDB9A927}" type="presParOf" srcId="{A787D67B-DDA1-4988-8415-DCD48FC3EA83}" destId="{2968AA41-C1D3-4EDF-9DB3-378F66B2FD39}" srcOrd="1" destOrd="0" presId="urn:microsoft.com/office/officeart/2005/8/layout/list1#1"/>
    <dgm:cxn modelId="{D1334EA2-0A5C-4715-B7D5-2A2FEBE46459}" type="presParOf" srcId="{EE3CB678-3AF3-48EB-A9A3-4C9B3B638DF4}" destId="{D61417B3-60F3-4BE3-8E8F-9CEC27ECBCDA}" srcOrd="1" destOrd="0" presId="urn:microsoft.com/office/officeart/2005/8/layout/list1#1"/>
    <dgm:cxn modelId="{21230F1F-D0B4-4610-827A-A2CAA9765C0A}" type="presParOf" srcId="{EE3CB678-3AF3-48EB-A9A3-4C9B3B638DF4}" destId="{D167D85B-ED5F-4134-9F18-E6B4BAE0C614}" srcOrd="2" destOrd="0" presId="urn:microsoft.com/office/officeart/2005/8/layout/list1#1"/>
    <dgm:cxn modelId="{C2BB2033-C3A1-446F-9505-D7281BD30E90}" type="presParOf" srcId="{EE3CB678-3AF3-48EB-A9A3-4C9B3B638DF4}" destId="{6402558A-B637-4118-8793-2FA57B2393DA}" srcOrd="3" destOrd="0" presId="urn:microsoft.com/office/officeart/2005/8/layout/list1#1"/>
    <dgm:cxn modelId="{309EFA88-857B-41AB-869B-DA8537F7B2DC}" type="presParOf" srcId="{EE3CB678-3AF3-48EB-A9A3-4C9B3B638DF4}" destId="{8E561E53-8519-43F2-B9E7-546C3EB01970}" srcOrd="4" destOrd="0" presId="urn:microsoft.com/office/officeart/2005/8/layout/list1#1"/>
    <dgm:cxn modelId="{7217BC13-4AC0-4624-8FA2-8DA9A1B2EDC4}" type="presParOf" srcId="{8E561E53-8519-43F2-B9E7-546C3EB01970}" destId="{3559B5A5-3E91-49F5-A868-297DBB575668}" srcOrd="0" destOrd="0" presId="urn:microsoft.com/office/officeart/2005/8/layout/list1#1"/>
    <dgm:cxn modelId="{FDC083BA-F76C-4568-9C6C-AB225BB0057D}" type="presParOf" srcId="{8E561E53-8519-43F2-B9E7-546C3EB01970}" destId="{48FABA9F-C289-434B-8864-E8FC1B5C2F60}" srcOrd="1" destOrd="0" presId="urn:microsoft.com/office/officeart/2005/8/layout/list1#1"/>
    <dgm:cxn modelId="{26B26D94-1CD0-45EB-ABE3-D67F27A723BD}" type="presParOf" srcId="{EE3CB678-3AF3-48EB-A9A3-4C9B3B638DF4}" destId="{72F65D9D-7898-4EE1-ADBC-A6F5139DEC13}" srcOrd="5" destOrd="0" presId="urn:microsoft.com/office/officeart/2005/8/layout/list1#1"/>
    <dgm:cxn modelId="{79A01B6E-391D-4802-A298-311D1FF63DFA}" type="presParOf" srcId="{EE3CB678-3AF3-48EB-A9A3-4C9B3B638DF4}" destId="{6B4B0D2A-F76A-4881-A678-1599A9C1764F}" srcOrd="6" destOrd="0" presId="urn:microsoft.com/office/officeart/2005/8/layout/list1#1"/>
    <dgm:cxn modelId="{14D9413D-CB48-44F3-A77D-E3B32ECA0602}" type="presParOf" srcId="{EE3CB678-3AF3-48EB-A9A3-4C9B3B638DF4}" destId="{4CCA9E30-BEB2-4B5D-BA10-E5FCB43776E3}" srcOrd="7" destOrd="0" presId="urn:microsoft.com/office/officeart/2005/8/layout/list1#1"/>
    <dgm:cxn modelId="{C412C677-BE0F-4E27-BF77-FB7EFA32BE71}" type="presParOf" srcId="{EE3CB678-3AF3-48EB-A9A3-4C9B3B638DF4}" destId="{E366F1EF-FE80-457B-9C6A-8A0AC673FB1B}" srcOrd="8" destOrd="0" presId="urn:microsoft.com/office/officeart/2005/8/layout/list1#1"/>
    <dgm:cxn modelId="{DE4C48C5-5736-4662-A813-4882122E8846}" type="presParOf" srcId="{E366F1EF-FE80-457B-9C6A-8A0AC673FB1B}" destId="{06AA40BB-9886-4B46-8ECB-F4B42996D2E4}" srcOrd="0" destOrd="0" presId="urn:microsoft.com/office/officeart/2005/8/layout/list1#1"/>
    <dgm:cxn modelId="{C4C0CEBE-A0AB-4E8C-814A-FECDF5978BB9}" type="presParOf" srcId="{E366F1EF-FE80-457B-9C6A-8A0AC673FB1B}" destId="{E2F3FA2F-E1C7-4C05-8B05-C32B42A9A930}" srcOrd="1" destOrd="0" presId="urn:microsoft.com/office/officeart/2005/8/layout/list1#1"/>
    <dgm:cxn modelId="{CBA96E8D-4D2C-43E2-B0CF-85D3E54E4D0E}" type="presParOf" srcId="{EE3CB678-3AF3-48EB-A9A3-4C9B3B638DF4}" destId="{C36A5161-621C-488B-95ED-161DD8C18700}" srcOrd="9" destOrd="0" presId="urn:microsoft.com/office/officeart/2005/8/layout/list1#1"/>
    <dgm:cxn modelId="{21C39DD2-00E6-4CF0-A759-CEF843560B24}" type="presParOf" srcId="{EE3CB678-3AF3-48EB-A9A3-4C9B3B638DF4}" destId="{F2D507D6-5CB7-4C81-896F-18FAF0126329}" srcOrd="10" destOrd="0" presId="urn:microsoft.com/office/officeart/2005/8/layout/list1#1"/>
    <dgm:cxn modelId="{397C0BF6-074F-4693-A7F3-EB952524C356}" type="presParOf" srcId="{EE3CB678-3AF3-48EB-A9A3-4C9B3B638DF4}" destId="{D9116C89-705B-413F-AAB9-579E68C67DD3}" srcOrd="11" destOrd="0" presId="urn:microsoft.com/office/officeart/2005/8/layout/list1#1"/>
    <dgm:cxn modelId="{F763AA0E-5EFC-4FB6-94E8-44DA9644EFDF}" type="presParOf" srcId="{EE3CB678-3AF3-48EB-A9A3-4C9B3B638DF4}" destId="{BE713C5B-0BFB-4778-A478-DD1767BBB964}" srcOrd="12" destOrd="0" presId="urn:microsoft.com/office/officeart/2005/8/layout/list1#1"/>
    <dgm:cxn modelId="{656A9676-C1F0-44FD-9D6D-5835FA2F1DC9}" type="presParOf" srcId="{BE713C5B-0BFB-4778-A478-DD1767BBB964}" destId="{E48C06AA-CA68-44A1-8AAD-9F9C74B0F1E1}" srcOrd="0" destOrd="0" presId="urn:microsoft.com/office/officeart/2005/8/layout/list1#1"/>
    <dgm:cxn modelId="{8E6AF6A5-B65D-4834-BFD2-E46C6722C905}" type="presParOf" srcId="{BE713C5B-0BFB-4778-A478-DD1767BBB964}" destId="{C54013DB-9C7B-4539-BAE7-8CFB6C321E5B}" srcOrd="1" destOrd="0" presId="urn:microsoft.com/office/officeart/2005/8/layout/list1#1"/>
    <dgm:cxn modelId="{0713374E-63D5-45BC-B2EB-8A6AF8B7727A}" type="presParOf" srcId="{EE3CB678-3AF3-48EB-A9A3-4C9B3B638DF4}" destId="{619C657D-03F2-43F0-996D-E4A8640C67EA}" srcOrd="13" destOrd="0" presId="urn:microsoft.com/office/officeart/2005/8/layout/list1#1"/>
    <dgm:cxn modelId="{81E7588F-34BE-4D53-A815-55269D84DF53}" type="presParOf" srcId="{EE3CB678-3AF3-48EB-A9A3-4C9B3B638DF4}" destId="{0210FDD6-FB0E-4D71-8AF8-28F37BCEC800}" srcOrd="14" destOrd="0" presId="urn:microsoft.com/office/officeart/2005/8/layout/list1#1"/>
    <dgm:cxn modelId="{41B91DE8-D254-4C1C-9987-EE1D5126397B}" type="presParOf" srcId="{EE3CB678-3AF3-48EB-A9A3-4C9B3B638DF4}" destId="{E49CCC09-6EF1-4B12-8200-0436DAD17976}" srcOrd="15" destOrd="0" presId="urn:microsoft.com/office/officeart/2005/8/layout/list1#1"/>
    <dgm:cxn modelId="{1A593872-F196-4C68-878D-37B40DD79FE8}" type="presParOf" srcId="{EE3CB678-3AF3-48EB-A9A3-4C9B3B638DF4}" destId="{483EB302-A038-492E-8EBA-0D263CF58EA0}" srcOrd="16" destOrd="0" presId="urn:microsoft.com/office/officeart/2005/8/layout/list1#1"/>
    <dgm:cxn modelId="{ADA61B50-A0FF-457E-AAFE-B89A22636B41}" type="presParOf" srcId="{483EB302-A038-492E-8EBA-0D263CF58EA0}" destId="{14E567A0-360F-4D99-B691-6D1E53CBAAEA}" srcOrd="0" destOrd="0" presId="urn:microsoft.com/office/officeart/2005/8/layout/list1#1"/>
    <dgm:cxn modelId="{27CF9235-7AA4-41A1-8820-F7807E562DBE}" type="presParOf" srcId="{483EB302-A038-492E-8EBA-0D263CF58EA0}" destId="{21D9800D-CBB5-43EC-9A05-27C98A7A4482}" srcOrd="1" destOrd="0" presId="urn:microsoft.com/office/officeart/2005/8/layout/list1#1"/>
    <dgm:cxn modelId="{BA8636DF-8205-4F4B-9C68-BB4D66584595}" type="presParOf" srcId="{EE3CB678-3AF3-48EB-A9A3-4C9B3B638DF4}" destId="{956F25D2-F6FE-4827-8167-B28E67D593EF}" srcOrd="17" destOrd="0" presId="urn:microsoft.com/office/officeart/2005/8/layout/list1#1"/>
    <dgm:cxn modelId="{FF65C932-683F-42FA-8608-5418FCC6C3C9}" type="presParOf" srcId="{EE3CB678-3AF3-48EB-A9A3-4C9B3B638DF4}" destId="{4297541E-9DC5-469F-A5F4-36E818689DEB}" srcOrd="18" destOrd="0" presId="urn:microsoft.com/office/officeart/2005/8/layout/list1#1"/>
    <dgm:cxn modelId="{0D625657-9961-4BAF-B0C0-6EC6C595A60C}" type="presParOf" srcId="{EE3CB678-3AF3-48EB-A9A3-4C9B3B638DF4}" destId="{0B58FE1D-E011-4DDF-A1F4-0D245D771FE3}" srcOrd="19" destOrd="0" presId="urn:microsoft.com/office/officeart/2005/8/layout/list1#1"/>
    <dgm:cxn modelId="{9D8E5D30-7D98-4AF9-9F29-73530DC82C64}" type="presParOf" srcId="{EE3CB678-3AF3-48EB-A9A3-4C9B3B638DF4}" destId="{D75CE15C-3726-4950-A489-14BF3F3D317C}" srcOrd="20" destOrd="0" presId="urn:microsoft.com/office/officeart/2005/8/layout/list1#1"/>
    <dgm:cxn modelId="{FC1EE2A0-EC1D-46A3-9412-6B25B4C300A2}" type="presParOf" srcId="{D75CE15C-3726-4950-A489-14BF3F3D317C}" destId="{B2B79B6D-DDC9-47E2-BE33-B6231BCCEB42}" srcOrd="0" destOrd="0" presId="urn:microsoft.com/office/officeart/2005/8/layout/list1#1"/>
    <dgm:cxn modelId="{6866DFB1-A5EC-4E2D-8BC0-2DB91308FEDB}" type="presParOf" srcId="{D75CE15C-3726-4950-A489-14BF3F3D317C}" destId="{85711FA5-5ECD-41A5-8B7C-37A5F62722B0}" srcOrd="1" destOrd="0" presId="urn:microsoft.com/office/officeart/2005/8/layout/list1#1"/>
    <dgm:cxn modelId="{B458C8DE-4ED5-4BAB-ABD2-B091756AD75D}" type="presParOf" srcId="{EE3CB678-3AF3-48EB-A9A3-4C9B3B638DF4}" destId="{6D7DDD52-6BEC-402E-B484-1DB0FC6C2FC4}" srcOrd="21" destOrd="0" presId="urn:microsoft.com/office/officeart/2005/8/layout/list1#1"/>
    <dgm:cxn modelId="{3CFF6419-B81B-4E1E-881C-69D9BD7E1EC9}" type="presParOf" srcId="{EE3CB678-3AF3-48EB-A9A3-4C9B3B638DF4}" destId="{260F35A9-9364-462A-BC26-C1C276BCC755}" srcOrd="22" destOrd="0" presId="urn:microsoft.com/office/officeart/2005/8/layout/list1#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01C80C4-3C37-4B06-AC2A-25F05322FDE0}" type="doc">
      <dgm:prSet loTypeId="urn:microsoft.com/office/officeart/2005/8/layout/list1#2" loCatId="list" qsTypeId="urn:microsoft.com/office/officeart/2005/8/quickstyle/simple1#2" qsCatId="simple" csTypeId="urn:microsoft.com/office/officeart/2005/8/colors/colorful1#2" csCatId="accent1" phldr="0"/>
      <dgm:spPr/>
      <dgm:t>
        <a:bodyPr/>
        <a:lstStyle/>
        <a:p>
          <a:endParaRPr lang="en-US"/>
        </a:p>
      </dgm:t>
    </dgm:pt>
    <dgm:pt modelId="{79F64CC5-B0A0-473A-A647-A8DB6562D23B}">
      <dgm:prSet phldrT="[Text]" phldr="0" custT="0"/>
      <dgm:spPr/>
      <dgm:t>
        <a:bodyPr vert="horz" wrap="square"/>
        <a:lstStyle/>
        <a:p>
          <a:pPr>
            <a:lnSpc>
              <a:spcPct val="100000"/>
            </a:lnSpc>
            <a:spcBef>
              <a:spcPct val="0"/>
            </a:spcBef>
            <a:spcAft>
              <a:spcPct val="35000"/>
            </a:spcAft>
          </a:pPr>
          <a:r>
            <a:rPr lang="en-US"/>
            <a:t>Law on Domestic Violence Prevention and Control 2007</a:t>
          </a:r>
        </a:p>
      </dgm:t>
    </dgm:pt>
    <dgm:pt modelId="{702F6268-E14C-45D5-8115-297DAA4B759C}" type="parTrans" cxnId="{99426475-F31B-4533-A7FB-4171CAE78588}">
      <dgm:prSet/>
      <dgm:spPr/>
      <dgm:t>
        <a:bodyPr/>
        <a:lstStyle/>
        <a:p>
          <a:endParaRPr lang="en-US"/>
        </a:p>
      </dgm:t>
    </dgm:pt>
    <dgm:pt modelId="{981E424B-A63B-4DF7-BC97-1D5B2B7044B1}" type="sibTrans" cxnId="{99426475-F31B-4533-A7FB-4171CAE78588}">
      <dgm:prSet/>
      <dgm:spPr/>
      <dgm:t>
        <a:bodyPr/>
        <a:lstStyle/>
        <a:p>
          <a:endParaRPr lang="en-US"/>
        </a:p>
      </dgm:t>
    </dgm:pt>
    <dgm:pt modelId="{D4AB1542-9F74-4E45-B615-57F5DFDC43EE}">
      <dgm:prSet phldrT="[Text]" phldr="0" custT="0"/>
      <dgm:spPr/>
      <dgm:t>
        <a:bodyPr vert="horz" wrap="square"/>
        <a:lstStyle/>
        <a:p>
          <a:pPr>
            <a:lnSpc>
              <a:spcPct val="100000"/>
            </a:lnSpc>
            <a:spcBef>
              <a:spcPct val="0"/>
            </a:spcBef>
            <a:spcAft>
              <a:spcPct val="35000"/>
            </a:spcAft>
          </a:pPr>
          <a:r>
            <a:rPr lang="en-US"/>
            <a:t>Law on Enforcement of Civil Judgments 2008</a:t>
          </a:r>
        </a:p>
      </dgm:t>
    </dgm:pt>
    <dgm:pt modelId="{DCA1BD93-FD98-4A06-8ECE-28E6935BECED}" type="parTrans" cxnId="{6C16F4A3-672C-4BCB-8B53-C145B2040C53}">
      <dgm:prSet/>
      <dgm:spPr/>
      <dgm:t>
        <a:bodyPr/>
        <a:lstStyle/>
        <a:p>
          <a:endParaRPr lang="en-US"/>
        </a:p>
      </dgm:t>
    </dgm:pt>
    <dgm:pt modelId="{69748832-ECC5-4F63-A6AC-8504A7E906B9}" type="sibTrans" cxnId="{6C16F4A3-672C-4BCB-8B53-C145B2040C53}">
      <dgm:prSet/>
      <dgm:spPr/>
      <dgm:t>
        <a:bodyPr/>
        <a:lstStyle/>
        <a:p>
          <a:endParaRPr lang="en-US"/>
        </a:p>
      </dgm:t>
    </dgm:pt>
    <dgm:pt modelId="{E484A0DB-ADE2-41BB-B1F9-A397557174FE}">
      <dgm:prSet phldrT="[Text]" phldr="0" custT="0"/>
      <dgm:spPr/>
      <dgm:t>
        <a:bodyPr vert="horz" wrap="square"/>
        <a:lstStyle/>
        <a:p>
          <a:pPr>
            <a:lnSpc>
              <a:spcPct val="100000"/>
            </a:lnSpc>
            <a:spcBef>
              <a:spcPct val="0"/>
            </a:spcBef>
            <a:spcAft>
              <a:spcPct val="35000"/>
            </a:spcAft>
          </a:pPr>
          <a:r>
            <a:rPr lang="en-US"/>
            <a:t>Adoption Law 2010</a:t>
          </a:r>
        </a:p>
      </dgm:t>
    </dgm:pt>
    <dgm:pt modelId="{0D3844BD-A934-4ADF-8CEC-4B7101CACCC9}" type="parTrans" cxnId="{6768BCFE-7A1B-4DC9-8B0E-A7BF0ABA5EB9}">
      <dgm:prSet/>
      <dgm:spPr/>
      <dgm:t>
        <a:bodyPr/>
        <a:lstStyle/>
        <a:p>
          <a:endParaRPr lang="en-US"/>
        </a:p>
      </dgm:t>
    </dgm:pt>
    <dgm:pt modelId="{FC59B45A-A616-4E16-B98F-7EBC1D5DDF85}" type="sibTrans" cxnId="{6768BCFE-7A1B-4DC9-8B0E-A7BF0ABA5EB9}">
      <dgm:prSet/>
      <dgm:spPr/>
      <dgm:t>
        <a:bodyPr/>
        <a:lstStyle/>
        <a:p>
          <a:endParaRPr lang="en-US"/>
        </a:p>
      </dgm:t>
    </dgm:pt>
    <dgm:pt modelId="{AB38EFD0-72F3-4FC7-BD61-C3DA9FC45A12}">
      <dgm:prSet phldr="0" custT="0"/>
      <dgm:spPr/>
      <dgm:t>
        <a:bodyPr vert="horz" wrap="square"/>
        <a:lstStyle/>
        <a:p>
          <a:pPr>
            <a:lnSpc>
              <a:spcPct val="100000"/>
            </a:lnSpc>
            <a:spcBef>
              <a:spcPct val="0"/>
            </a:spcBef>
            <a:spcAft>
              <a:spcPct val="35000"/>
            </a:spcAft>
          </a:pPr>
          <a:r>
            <a:rPr lang="en-US"/>
            <a:t>Law on Marriage and Family 2014</a:t>
          </a:r>
        </a:p>
      </dgm:t>
    </dgm:pt>
    <dgm:pt modelId="{4B62E2E7-6544-4921-AFAB-81153E8DC2A7}" type="parTrans" cxnId="{C4C826E9-984F-4B49-B40D-7C3335D3609F}">
      <dgm:prSet/>
      <dgm:spPr/>
    </dgm:pt>
    <dgm:pt modelId="{E5AA1557-6B8C-4609-9C61-250AB5F90CAF}" type="sibTrans" cxnId="{C4C826E9-984F-4B49-B40D-7C3335D3609F}">
      <dgm:prSet/>
      <dgm:spPr/>
    </dgm:pt>
    <dgm:pt modelId="{EE3CB678-3AF3-48EB-A9A3-4C9B3B638DF4}" type="pres">
      <dgm:prSet presAssocID="{501C80C4-3C37-4B06-AC2A-25F05322FDE0}" presName="linear" presStyleCnt="0">
        <dgm:presLayoutVars>
          <dgm:dir/>
          <dgm:animLvl val="lvl"/>
          <dgm:resizeHandles val="exact"/>
        </dgm:presLayoutVars>
      </dgm:prSet>
      <dgm:spPr/>
    </dgm:pt>
    <dgm:pt modelId="{A787D67B-DDA1-4988-8415-DCD48FC3EA83}" type="pres">
      <dgm:prSet presAssocID="{79F64CC5-B0A0-473A-A647-A8DB6562D23B}" presName="parentLin" presStyleCnt="0"/>
      <dgm:spPr/>
    </dgm:pt>
    <dgm:pt modelId="{0797CEA2-9F9D-4159-A8DC-2F0D60611F3B}" type="pres">
      <dgm:prSet presAssocID="{79F64CC5-B0A0-473A-A647-A8DB6562D23B}" presName="parentLeftMargin" presStyleLbl="node1" presStyleIdx="0" presStyleCnt="4"/>
      <dgm:spPr/>
    </dgm:pt>
    <dgm:pt modelId="{2968AA41-C1D3-4EDF-9DB3-378F66B2FD39}" type="pres">
      <dgm:prSet presAssocID="{79F64CC5-B0A0-473A-A647-A8DB6562D23B}" presName="parentText" presStyleLbl="node1" presStyleIdx="0" presStyleCnt="4">
        <dgm:presLayoutVars>
          <dgm:chMax val="0"/>
          <dgm:bulletEnabled val="1"/>
        </dgm:presLayoutVars>
      </dgm:prSet>
      <dgm:spPr/>
    </dgm:pt>
    <dgm:pt modelId="{D61417B3-60F3-4BE3-8E8F-9CEC27ECBCDA}" type="pres">
      <dgm:prSet presAssocID="{79F64CC5-B0A0-473A-A647-A8DB6562D23B}" presName="negativeSpace" presStyleCnt="0"/>
      <dgm:spPr/>
    </dgm:pt>
    <dgm:pt modelId="{D167D85B-ED5F-4134-9F18-E6B4BAE0C614}" type="pres">
      <dgm:prSet presAssocID="{79F64CC5-B0A0-473A-A647-A8DB6562D23B}" presName="childText" presStyleLbl="conFgAcc1" presStyleIdx="0" presStyleCnt="4">
        <dgm:presLayoutVars>
          <dgm:bulletEnabled val="1"/>
        </dgm:presLayoutVars>
      </dgm:prSet>
      <dgm:spPr/>
    </dgm:pt>
    <dgm:pt modelId="{6402558A-B637-4118-8793-2FA57B2393DA}" type="pres">
      <dgm:prSet presAssocID="{981E424B-A63B-4DF7-BC97-1D5B2B7044B1}" presName="spaceBetweenRectangles" presStyleCnt="0"/>
      <dgm:spPr/>
    </dgm:pt>
    <dgm:pt modelId="{8E561E53-8519-43F2-B9E7-546C3EB01970}" type="pres">
      <dgm:prSet presAssocID="{D4AB1542-9F74-4E45-B615-57F5DFDC43EE}" presName="parentLin" presStyleCnt="0"/>
      <dgm:spPr/>
    </dgm:pt>
    <dgm:pt modelId="{3559B5A5-3E91-49F5-A868-297DBB575668}" type="pres">
      <dgm:prSet presAssocID="{D4AB1542-9F74-4E45-B615-57F5DFDC43EE}" presName="parentLeftMargin" presStyleLbl="node1" presStyleIdx="0" presStyleCnt="4"/>
      <dgm:spPr/>
    </dgm:pt>
    <dgm:pt modelId="{48FABA9F-C289-434B-8864-E8FC1B5C2F60}" type="pres">
      <dgm:prSet presAssocID="{D4AB1542-9F74-4E45-B615-57F5DFDC43EE}" presName="parentText" presStyleLbl="node1" presStyleIdx="1" presStyleCnt="4">
        <dgm:presLayoutVars>
          <dgm:chMax val="0"/>
          <dgm:bulletEnabled val="1"/>
        </dgm:presLayoutVars>
      </dgm:prSet>
      <dgm:spPr/>
    </dgm:pt>
    <dgm:pt modelId="{72F65D9D-7898-4EE1-ADBC-A6F5139DEC13}" type="pres">
      <dgm:prSet presAssocID="{D4AB1542-9F74-4E45-B615-57F5DFDC43EE}" presName="negativeSpace" presStyleCnt="0"/>
      <dgm:spPr/>
    </dgm:pt>
    <dgm:pt modelId="{6B4B0D2A-F76A-4881-A678-1599A9C1764F}" type="pres">
      <dgm:prSet presAssocID="{D4AB1542-9F74-4E45-B615-57F5DFDC43EE}" presName="childText" presStyleLbl="conFgAcc1" presStyleIdx="1" presStyleCnt="4">
        <dgm:presLayoutVars>
          <dgm:bulletEnabled val="1"/>
        </dgm:presLayoutVars>
      </dgm:prSet>
      <dgm:spPr/>
    </dgm:pt>
    <dgm:pt modelId="{4CCA9E30-BEB2-4B5D-BA10-E5FCB43776E3}" type="pres">
      <dgm:prSet presAssocID="{69748832-ECC5-4F63-A6AC-8504A7E906B9}" presName="spaceBetweenRectangles" presStyleCnt="0"/>
      <dgm:spPr/>
    </dgm:pt>
    <dgm:pt modelId="{E366F1EF-FE80-457B-9C6A-8A0AC673FB1B}" type="pres">
      <dgm:prSet presAssocID="{E484A0DB-ADE2-41BB-B1F9-A397557174FE}" presName="parentLin" presStyleCnt="0"/>
      <dgm:spPr/>
    </dgm:pt>
    <dgm:pt modelId="{06AA40BB-9886-4B46-8ECB-F4B42996D2E4}" type="pres">
      <dgm:prSet presAssocID="{E484A0DB-ADE2-41BB-B1F9-A397557174FE}" presName="parentLeftMargin" presStyleLbl="node1" presStyleIdx="1" presStyleCnt="4"/>
      <dgm:spPr/>
    </dgm:pt>
    <dgm:pt modelId="{E2F3FA2F-E1C7-4C05-8B05-C32B42A9A930}" type="pres">
      <dgm:prSet presAssocID="{E484A0DB-ADE2-41BB-B1F9-A397557174FE}" presName="parentText" presStyleLbl="node1" presStyleIdx="2" presStyleCnt="4">
        <dgm:presLayoutVars>
          <dgm:chMax val="0"/>
          <dgm:bulletEnabled val="1"/>
        </dgm:presLayoutVars>
      </dgm:prSet>
      <dgm:spPr/>
    </dgm:pt>
    <dgm:pt modelId="{C36A5161-621C-488B-95ED-161DD8C18700}" type="pres">
      <dgm:prSet presAssocID="{E484A0DB-ADE2-41BB-B1F9-A397557174FE}" presName="negativeSpace" presStyleCnt="0"/>
      <dgm:spPr/>
    </dgm:pt>
    <dgm:pt modelId="{F2D507D6-5CB7-4C81-896F-18FAF0126329}" type="pres">
      <dgm:prSet presAssocID="{E484A0DB-ADE2-41BB-B1F9-A397557174FE}" presName="childText" presStyleLbl="conFgAcc1" presStyleIdx="2" presStyleCnt="4">
        <dgm:presLayoutVars>
          <dgm:bulletEnabled val="1"/>
        </dgm:presLayoutVars>
      </dgm:prSet>
      <dgm:spPr/>
    </dgm:pt>
    <dgm:pt modelId="{94B3D6B7-4BA8-4572-885A-BFD8E344456E}" type="pres">
      <dgm:prSet presAssocID="{FC59B45A-A616-4E16-B98F-7EBC1D5DDF85}" presName="spaceBetweenRectangles" presStyleCnt="0"/>
      <dgm:spPr/>
    </dgm:pt>
    <dgm:pt modelId="{E41BE903-15C0-4551-A45D-33E2ED503310}" type="pres">
      <dgm:prSet presAssocID="{AB38EFD0-72F3-4FC7-BD61-C3DA9FC45A12}" presName="parentLin" presStyleCnt="0"/>
      <dgm:spPr/>
    </dgm:pt>
    <dgm:pt modelId="{CF3FC067-FB6F-42D0-8D41-9CBAD8E13C64}" type="pres">
      <dgm:prSet presAssocID="{AB38EFD0-72F3-4FC7-BD61-C3DA9FC45A12}" presName="parentLeftMargin" presStyleLbl="node1" presStyleIdx="2" presStyleCnt="4"/>
      <dgm:spPr/>
    </dgm:pt>
    <dgm:pt modelId="{26419316-811F-403D-9EBE-AE459F2F287B}" type="pres">
      <dgm:prSet presAssocID="{AB38EFD0-72F3-4FC7-BD61-C3DA9FC45A12}" presName="parentText" presStyleLbl="node1" presStyleIdx="3" presStyleCnt="4">
        <dgm:presLayoutVars>
          <dgm:chMax val="0"/>
          <dgm:bulletEnabled val="1"/>
        </dgm:presLayoutVars>
      </dgm:prSet>
      <dgm:spPr/>
    </dgm:pt>
    <dgm:pt modelId="{3D0D9CDD-5D52-4CF5-A4F1-1954D06206AC}" type="pres">
      <dgm:prSet presAssocID="{AB38EFD0-72F3-4FC7-BD61-C3DA9FC45A12}" presName="negativeSpace" presStyleCnt="0"/>
      <dgm:spPr/>
    </dgm:pt>
    <dgm:pt modelId="{ABE9C5F4-BAAD-4B39-91C4-DD6A1344C486}" type="pres">
      <dgm:prSet presAssocID="{AB38EFD0-72F3-4FC7-BD61-C3DA9FC45A12}" presName="childText" presStyleLbl="conFgAcc1" presStyleIdx="3" presStyleCnt="4">
        <dgm:presLayoutVars>
          <dgm:bulletEnabled val="1"/>
        </dgm:presLayoutVars>
      </dgm:prSet>
      <dgm:spPr/>
    </dgm:pt>
  </dgm:ptLst>
  <dgm:cxnLst>
    <dgm:cxn modelId="{60B4E433-0B4F-4283-A3E1-9B77274D0FA4}" type="presOf" srcId="{79F64CC5-B0A0-473A-A647-A8DB6562D23B}" destId="{2968AA41-C1D3-4EDF-9DB3-378F66B2FD39}" srcOrd="1" destOrd="0" presId="urn:microsoft.com/office/officeart/2005/8/layout/list1#2"/>
    <dgm:cxn modelId="{BACF8E4B-B2B8-4FD8-A286-250B3DE0D3CE}" type="presOf" srcId="{501C80C4-3C37-4B06-AC2A-25F05322FDE0}" destId="{EE3CB678-3AF3-48EB-A9A3-4C9B3B638DF4}" srcOrd="0" destOrd="0" presId="urn:microsoft.com/office/officeart/2005/8/layout/list1#2"/>
    <dgm:cxn modelId="{99426475-F31B-4533-A7FB-4171CAE78588}" srcId="{501C80C4-3C37-4B06-AC2A-25F05322FDE0}" destId="{79F64CC5-B0A0-473A-A647-A8DB6562D23B}" srcOrd="0" destOrd="0" parTransId="{702F6268-E14C-45D5-8115-297DAA4B759C}" sibTransId="{981E424B-A63B-4DF7-BC97-1D5B2B7044B1}"/>
    <dgm:cxn modelId="{044C2181-B841-4301-A826-A679D05022F2}" type="presOf" srcId="{D4AB1542-9F74-4E45-B615-57F5DFDC43EE}" destId="{3559B5A5-3E91-49F5-A868-297DBB575668}" srcOrd="0" destOrd="0" presId="urn:microsoft.com/office/officeart/2005/8/layout/list1#2"/>
    <dgm:cxn modelId="{A34CD593-8B1A-4A53-B84E-A7A4A8CFD13D}" type="presOf" srcId="{E484A0DB-ADE2-41BB-B1F9-A397557174FE}" destId="{E2F3FA2F-E1C7-4C05-8B05-C32B42A9A930}" srcOrd="1" destOrd="0" presId="urn:microsoft.com/office/officeart/2005/8/layout/list1#2"/>
    <dgm:cxn modelId="{6C16F4A3-672C-4BCB-8B53-C145B2040C53}" srcId="{501C80C4-3C37-4B06-AC2A-25F05322FDE0}" destId="{D4AB1542-9F74-4E45-B615-57F5DFDC43EE}" srcOrd="1" destOrd="0" parTransId="{DCA1BD93-FD98-4A06-8ECE-28E6935BECED}" sibTransId="{69748832-ECC5-4F63-A6AC-8504A7E906B9}"/>
    <dgm:cxn modelId="{418353C6-3BAD-476D-9881-766E2D595A90}" type="presOf" srcId="{AB38EFD0-72F3-4FC7-BD61-C3DA9FC45A12}" destId="{CF3FC067-FB6F-42D0-8D41-9CBAD8E13C64}" srcOrd="0" destOrd="0" presId="urn:microsoft.com/office/officeart/2005/8/layout/list1#2"/>
    <dgm:cxn modelId="{443D3BDE-C530-4FFB-A4A8-C3E972AEFEAD}" type="presOf" srcId="{E484A0DB-ADE2-41BB-B1F9-A397557174FE}" destId="{06AA40BB-9886-4B46-8ECB-F4B42996D2E4}" srcOrd="0" destOrd="0" presId="urn:microsoft.com/office/officeart/2005/8/layout/list1#2"/>
    <dgm:cxn modelId="{C4C826E9-984F-4B49-B40D-7C3335D3609F}" srcId="{501C80C4-3C37-4B06-AC2A-25F05322FDE0}" destId="{AB38EFD0-72F3-4FC7-BD61-C3DA9FC45A12}" srcOrd="3" destOrd="0" parTransId="{4B62E2E7-6544-4921-AFAB-81153E8DC2A7}" sibTransId="{E5AA1557-6B8C-4609-9C61-250AB5F90CAF}"/>
    <dgm:cxn modelId="{FFF066EC-4A7F-4C1C-B49F-F08A9F1BB50C}" type="presOf" srcId="{AB38EFD0-72F3-4FC7-BD61-C3DA9FC45A12}" destId="{26419316-811F-403D-9EBE-AE459F2F287B}" srcOrd="1" destOrd="0" presId="urn:microsoft.com/office/officeart/2005/8/layout/list1#2"/>
    <dgm:cxn modelId="{0E037EF6-A576-4553-A3CC-E13D1009795F}" type="presOf" srcId="{D4AB1542-9F74-4E45-B615-57F5DFDC43EE}" destId="{48FABA9F-C289-434B-8864-E8FC1B5C2F60}" srcOrd="1" destOrd="0" presId="urn:microsoft.com/office/officeart/2005/8/layout/list1#2"/>
    <dgm:cxn modelId="{37AED0FA-318A-405C-8858-1AE97A3ECBCC}" type="presOf" srcId="{79F64CC5-B0A0-473A-A647-A8DB6562D23B}" destId="{0797CEA2-9F9D-4159-A8DC-2F0D60611F3B}" srcOrd="0" destOrd="0" presId="urn:microsoft.com/office/officeart/2005/8/layout/list1#2"/>
    <dgm:cxn modelId="{6768BCFE-7A1B-4DC9-8B0E-A7BF0ABA5EB9}" srcId="{501C80C4-3C37-4B06-AC2A-25F05322FDE0}" destId="{E484A0DB-ADE2-41BB-B1F9-A397557174FE}" srcOrd="2" destOrd="0" parTransId="{0D3844BD-A934-4ADF-8CEC-4B7101CACCC9}" sibTransId="{FC59B45A-A616-4E16-B98F-7EBC1D5DDF85}"/>
    <dgm:cxn modelId="{DEE6D6FB-671B-4592-B9D0-2F786BAFA567}" type="presParOf" srcId="{EE3CB678-3AF3-48EB-A9A3-4C9B3B638DF4}" destId="{A787D67B-DDA1-4988-8415-DCD48FC3EA83}" srcOrd="0" destOrd="0" presId="urn:microsoft.com/office/officeart/2005/8/layout/list1#2"/>
    <dgm:cxn modelId="{5E778A30-6F13-41B6-AEC1-547E6E422CED}" type="presParOf" srcId="{A787D67B-DDA1-4988-8415-DCD48FC3EA83}" destId="{0797CEA2-9F9D-4159-A8DC-2F0D60611F3B}" srcOrd="0" destOrd="0" presId="urn:microsoft.com/office/officeart/2005/8/layout/list1#2"/>
    <dgm:cxn modelId="{E9C8AD26-94E2-4D35-B0D9-4C83D8F95886}" type="presParOf" srcId="{A787D67B-DDA1-4988-8415-DCD48FC3EA83}" destId="{2968AA41-C1D3-4EDF-9DB3-378F66B2FD39}" srcOrd="1" destOrd="0" presId="urn:microsoft.com/office/officeart/2005/8/layout/list1#2"/>
    <dgm:cxn modelId="{2F953665-4066-4D1B-952F-1FB9C41AF26F}" type="presParOf" srcId="{EE3CB678-3AF3-48EB-A9A3-4C9B3B638DF4}" destId="{D61417B3-60F3-4BE3-8E8F-9CEC27ECBCDA}" srcOrd="1" destOrd="0" presId="urn:microsoft.com/office/officeart/2005/8/layout/list1#2"/>
    <dgm:cxn modelId="{3195A057-F7A8-4B72-BEFA-FA4102AA7DD0}" type="presParOf" srcId="{EE3CB678-3AF3-48EB-A9A3-4C9B3B638DF4}" destId="{D167D85B-ED5F-4134-9F18-E6B4BAE0C614}" srcOrd="2" destOrd="0" presId="urn:microsoft.com/office/officeart/2005/8/layout/list1#2"/>
    <dgm:cxn modelId="{D509DB43-9E0E-4ABC-A78E-D42D0CDF2594}" type="presParOf" srcId="{EE3CB678-3AF3-48EB-A9A3-4C9B3B638DF4}" destId="{6402558A-B637-4118-8793-2FA57B2393DA}" srcOrd="3" destOrd="0" presId="urn:microsoft.com/office/officeart/2005/8/layout/list1#2"/>
    <dgm:cxn modelId="{49187BDE-FFA3-4654-BB73-9A0E2F8F7193}" type="presParOf" srcId="{EE3CB678-3AF3-48EB-A9A3-4C9B3B638DF4}" destId="{8E561E53-8519-43F2-B9E7-546C3EB01970}" srcOrd="4" destOrd="0" presId="urn:microsoft.com/office/officeart/2005/8/layout/list1#2"/>
    <dgm:cxn modelId="{8832CA60-A6DF-4628-835F-06DF0798BEC7}" type="presParOf" srcId="{8E561E53-8519-43F2-B9E7-546C3EB01970}" destId="{3559B5A5-3E91-49F5-A868-297DBB575668}" srcOrd="0" destOrd="0" presId="urn:microsoft.com/office/officeart/2005/8/layout/list1#2"/>
    <dgm:cxn modelId="{AB7D0292-3EB1-44E7-96F9-0D0D4EA08163}" type="presParOf" srcId="{8E561E53-8519-43F2-B9E7-546C3EB01970}" destId="{48FABA9F-C289-434B-8864-E8FC1B5C2F60}" srcOrd="1" destOrd="0" presId="urn:microsoft.com/office/officeart/2005/8/layout/list1#2"/>
    <dgm:cxn modelId="{9FAB4E28-F50E-4334-92D7-AF5CA2A72F42}" type="presParOf" srcId="{EE3CB678-3AF3-48EB-A9A3-4C9B3B638DF4}" destId="{72F65D9D-7898-4EE1-ADBC-A6F5139DEC13}" srcOrd="5" destOrd="0" presId="urn:microsoft.com/office/officeart/2005/8/layout/list1#2"/>
    <dgm:cxn modelId="{B38C644D-482A-4172-B39F-201653054F07}" type="presParOf" srcId="{EE3CB678-3AF3-48EB-A9A3-4C9B3B638DF4}" destId="{6B4B0D2A-F76A-4881-A678-1599A9C1764F}" srcOrd="6" destOrd="0" presId="urn:microsoft.com/office/officeart/2005/8/layout/list1#2"/>
    <dgm:cxn modelId="{B4F3DAE6-1747-4CDF-87FC-3C76B08538E5}" type="presParOf" srcId="{EE3CB678-3AF3-48EB-A9A3-4C9B3B638DF4}" destId="{4CCA9E30-BEB2-4B5D-BA10-E5FCB43776E3}" srcOrd="7" destOrd="0" presId="urn:microsoft.com/office/officeart/2005/8/layout/list1#2"/>
    <dgm:cxn modelId="{9C8BAB3D-AD91-4207-81C1-309EE7689560}" type="presParOf" srcId="{EE3CB678-3AF3-48EB-A9A3-4C9B3B638DF4}" destId="{E366F1EF-FE80-457B-9C6A-8A0AC673FB1B}" srcOrd="8" destOrd="0" presId="urn:microsoft.com/office/officeart/2005/8/layout/list1#2"/>
    <dgm:cxn modelId="{A48DB39E-E971-48C8-8900-1077D5EA5E40}" type="presParOf" srcId="{E366F1EF-FE80-457B-9C6A-8A0AC673FB1B}" destId="{06AA40BB-9886-4B46-8ECB-F4B42996D2E4}" srcOrd="0" destOrd="0" presId="urn:microsoft.com/office/officeart/2005/8/layout/list1#2"/>
    <dgm:cxn modelId="{DCBC9063-1A06-4B22-949A-A4FE6EBC40C6}" type="presParOf" srcId="{E366F1EF-FE80-457B-9C6A-8A0AC673FB1B}" destId="{E2F3FA2F-E1C7-4C05-8B05-C32B42A9A930}" srcOrd="1" destOrd="0" presId="urn:microsoft.com/office/officeart/2005/8/layout/list1#2"/>
    <dgm:cxn modelId="{8FAA3A40-E996-438C-A241-B0CB1DDE75C8}" type="presParOf" srcId="{EE3CB678-3AF3-48EB-A9A3-4C9B3B638DF4}" destId="{C36A5161-621C-488B-95ED-161DD8C18700}" srcOrd="9" destOrd="0" presId="urn:microsoft.com/office/officeart/2005/8/layout/list1#2"/>
    <dgm:cxn modelId="{2C820FEF-9F24-46EF-91CB-6BF1401FBDDC}" type="presParOf" srcId="{EE3CB678-3AF3-48EB-A9A3-4C9B3B638DF4}" destId="{F2D507D6-5CB7-4C81-896F-18FAF0126329}" srcOrd="10" destOrd="0" presId="urn:microsoft.com/office/officeart/2005/8/layout/list1#2"/>
    <dgm:cxn modelId="{A785F6D1-972A-4E74-905F-E637E3FB706B}" type="presParOf" srcId="{EE3CB678-3AF3-48EB-A9A3-4C9B3B638DF4}" destId="{94B3D6B7-4BA8-4572-885A-BFD8E344456E}" srcOrd="11" destOrd="0" presId="urn:microsoft.com/office/officeart/2005/8/layout/list1#2"/>
    <dgm:cxn modelId="{15C90D3D-C1B3-408F-8014-7C350294D4AD}" type="presParOf" srcId="{EE3CB678-3AF3-48EB-A9A3-4C9B3B638DF4}" destId="{E41BE903-15C0-4551-A45D-33E2ED503310}" srcOrd="12" destOrd="0" presId="urn:microsoft.com/office/officeart/2005/8/layout/list1#2"/>
    <dgm:cxn modelId="{EBA0ABE4-B809-431F-9A87-0661889AAAC3}" type="presParOf" srcId="{E41BE903-15C0-4551-A45D-33E2ED503310}" destId="{CF3FC067-FB6F-42D0-8D41-9CBAD8E13C64}" srcOrd="0" destOrd="0" presId="urn:microsoft.com/office/officeart/2005/8/layout/list1#2"/>
    <dgm:cxn modelId="{00A3BAAF-A82F-4102-8E48-6167AB53F67E}" type="presParOf" srcId="{E41BE903-15C0-4551-A45D-33E2ED503310}" destId="{26419316-811F-403D-9EBE-AE459F2F287B}" srcOrd="1" destOrd="0" presId="urn:microsoft.com/office/officeart/2005/8/layout/list1#2"/>
    <dgm:cxn modelId="{1DCA8E6E-579C-4013-8B5F-CA4B1C378582}" type="presParOf" srcId="{EE3CB678-3AF3-48EB-A9A3-4C9B3B638DF4}" destId="{3D0D9CDD-5D52-4CF5-A4F1-1954D06206AC}" srcOrd="13" destOrd="0" presId="urn:microsoft.com/office/officeart/2005/8/layout/list1#2"/>
    <dgm:cxn modelId="{5F7D7CE4-B0D0-40C1-8262-0BDFB2BD7851}" type="presParOf" srcId="{EE3CB678-3AF3-48EB-A9A3-4C9B3B638DF4}" destId="{ABE9C5F4-BAAD-4B39-91C4-DD6A1344C486}" srcOrd="14" destOrd="0" presId="urn:microsoft.com/office/officeart/2005/8/layout/list1#2"/>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67D85B-ED5F-4134-9F18-E6B4BAE0C614}">
      <dsp:nvSpPr>
        <dsp:cNvPr id="0" name=""/>
        <dsp:cNvSpPr/>
      </dsp:nvSpPr>
      <dsp:spPr>
        <a:xfrm>
          <a:off x="0" y="145019"/>
          <a:ext cx="4922520" cy="176400"/>
        </a:xfrm>
        <a:prstGeom prst="rect">
          <a:avLst/>
        </a:prstGeom>
        <a:solidFill>
          <a:srgbClr val="FFFFFF">
            <a:alpha val="90000"/>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2968AA41-C1D3-4EDF-9DB3-378F66B2FD39}">
      <dsp:nvSpPr>
        <dsp:cNvPr id="0" name=""/>
        <dsp:cNvSpPr/>
      </dsp:nvSpPr>
      <dsp:spPr>
        <a:xfrm>
          <a:off x="1230630" y="41699"/>
          <a:ext cx="3445764" cy="206640"/>
        </a:xfrm>
        <a:prstGeom prst="roundRect">
          <a:avLst/>
        </a:prstGeom>
        <a:solidFill>
          <a:srgbClr val="C0504D">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130242" tIns="0" rIns="130242" bIns="0" numCol="1" spcCol="1270" anchor="ctr" anchorCtr="0">
          <a:noAutofit/>
        </a:bodyPr>
        <a:lstStyle/>
        <a:p>
          <a:pPr marL="0" lvl="0" indent="0" algn="r" defTabSz="311150">
            <a:lnSpc>
              <a:spcPct val="100000"/>
            </a:lnSpc>
            <a:spcBef>
              <a:spcPct val="0"/>
            </a:spcBef>
            <a:spcAft>
              <a:spcPct val="35000"/>
            </a:spcAft>
            <a:buNone/>
          </a:pPr>
          <a:r>
            <a:rPr lang="en-US" sz="700" kern="1200"/>
            <a:t>The Code on Barrier-Free Accessibility in Buildings of 1990</a:t>
          </a:r>
        </a:p>
      </dsp:txBody>
      <dsp:txXfrm>
        <a:off x="1240717" y="51786"/>
        <a:ext cx="3425590" cy="186466"/>
      </dsp:txXfrm>
    </dsp:sp>
    <dsp:sp modelId="{6B4B0D2A-F76A-4881-A678-1599A9C1764F}">
      <dsp:nvSpPr>
        <dsp:cNvPr id="0" name=""/>
        <dsp:cNvSpPr/>
      </dsp:nvSpPr>
      <dsp:spPr>
        <a:xfrm>
          <a:off x="0" y="462540"/>
          <a:ext cx="4922520" cy="176400"/>
        </a:xfrm>
        <a:prstGeom prst="rect">
          <a:avLst/>
        </a:prstGeom>
        <a:solidFill>
          <a:srgbClr val="FFFFFF">
            <a:alpha val="90000"/>
            <a:hueOff val="0"/>
            <a:satOff val="0"/>
            <a:lumOff val="0"/>
            <a:alphaOff val="0"/>
          </a:srgb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48FABA9F-C289-434B-8864-E8FC1B5C2F60}">
      <dsp:nvSpPr>
        <dsp:cNvPr id="0" name=""/>
        <dsp:cNvSpPr/>
      </dsp:nvSpPr>
      <dsp:spPr>
        <a:xfrm>
          <a:off x="1230630" y="359219"/>
          <a:ext cx="3445764" cy="206640"/>
        </a:xfrm>
        <a:prstGeom prst="roundRect">
          <a:avLst/>
        </a:prstGeom>
        <a:solidFill>
          <a:srgbClr val="9BBB59">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130242" tIns="0" rIns="130242" bIns="0" numCol="1" spcCol="1270" anchor="ctr" anchorCtr="0">
          <a:noAutofit/>
        </a:bodyPr>
        <a:lstStyle/>
        <a:p>
          <a:pPr marL="0" lvl="0" indent="0" algn="r" defTabSz="311150">
            <a:lnSpc>
              <a:spcPct val="100000"/>
            </a:lnSpc>
            <a:spcBef>
              <a:spcPct val="0"/>
            </a:spcBef>
            <a:spcAft>
              <a:spcPct val="35000"/>
            </a:spcAft>
            <a:buNone/>
          </a:pPr>
          <a:r>
            <a:rPr lang="en-US" sz="700" kern="1200"/>
            <a:t>Civil Defense Shelter Act of 1997</a:t>
          </a:r>
        </a:p>
      </dsp:txBody>
      <dsp:txXfrm>
        <a:off x="1240717" y="369306"/>
        <a:ext cx="3425590" cy="186466"/>
      </dsp:txXfrm>
    </dsp:sp>
    <dsp:sp modelId="{F2D507D6-5CB7-4C81-896F-18FAF0126329}">
      <dsp:nvSpPr>
        <dsp:cNvPr id="0" name=""/>
        <dsp:cNvSpPr/>
      </dsp:nvSpPr>
      <dsp:spPr>
        <a:xfrm>
          <a:off x="0" y="780060"/>
          <a:ext cx="4922520" cy="176400"/>
        </a:xfrm>
        <a:prstGeom prst="rect">
          <a:avLst/>
        </a:prstGeom>
        <a:solidFill>
          <a:srgbClr val="FFFFFF">
            <a:alpha val="90000"/>
            <a:hueOff val="0"/>
            <a:satOff val="0"/>
            <a:lumOff val="0"/>
            <a:alphaOff val="0"/>
          </a:srgbClr>
        </a:solidFill>
        <a:ln w="25400" cap="flat" cmpd="sng" algn="ctr">
          <a:solidFill>
            <a:srgbClr val="8064A2">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E2F3FA2F-E1C7-4C05-8B05-C32B42A9A930}">
      <dsp:nvSpPr>
        <dsp:cNvPr id="0" name=""/>
        <dsp:cNvSpPr/>
      </dsp:nvSpPr>
      <dsp:spPr>
        <a:xfrm>
          <a:off x="1230630" y="676740"/>
          <a:ext cx="3445764" cy="206640"/>
        </a:xfrm>
        <a:prstGeom prst="roundRect">
          <a:avLst/>
        </a:prstGeom>
        <a:solidFill>
          <a:srgbClr val="8064A2">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130242" tIns="0" rIns="130242" bIns="0" numCol="1" spcCol="1270" anchor="ctr" anchorCtr="0">
          <a:noAutofit/>
        </a:bodyPr>
        <a:lstStyle/>
        <a:p>
          <a:pPr marL="0" lvl="0" indent="0" algn="r" defTabSz="311150">
            <a:lnSpc>
              <a:spcPct val="100000"/>
            </a:lnSpc>
            <a:spcBef>
              <a:spcPct val="0"/>
            </a:spcBef>
            <a:spcAft>
              <a:spcPct val="35000"/>
            </a:spcAft>
            <a:buNone/>
          </a:pPr>
          <a:r>
            <a:rPr lang="en-US" sz="700" kern="1200"/>
            <a:t>The Building Control Act 1989 revised in 1999</a:t>
          </a:r>
        </a:p>
      </dsp:txBody>
      <dsp:txXfrm>
        <a:off x="1240717" y="686827"/>
        <a:ext cx="3425590" cy="186466"/>
      </dsp:txXfrm>
    </dsp:sp>
    <dsp:sp modelId="{0210FDD6-FB0E-4D71-8AF8-28F37BCEC800}">
      <dsp:nvSpPr>
        <dsp:cNvPr id="0" name=""/>
        <dsp:cNvSpPr/>
      </dsp:nvSpPr>
      <dsp:spPr>
        <a:xfrm>
          <a:off x="0" y="1097580"/>
          <a:ext cx="4922520" cy="176400"/>
        </a:xfrm>
        <a:prstGeom prst="rect">
          <a:avLst/>
        </a:prstGeom>
        <a:solidFill>
          <a:srgbClr val="FFFFFF">
            <a:alpha val="90000"/>
            <a:hueOff val="0"/>
            <a:satOff val="0"/>
            <a:lumOff val="0"/>
            <a:alphaOff val="0"/>
          </a:srgb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C54013DB-9C7B-4539-BAE7-8CFB6C321E5B}">
      <dsp:nvSpPr>
        <dsp:cNvPr id="0" name=""/>
        <dsp:cNvSpPr/>
      </dsp:nvSpPr>
      <dsp:spPr>
        <a:xfrm>
          <a:off x="1230630" y="994260"/>
          <a:ext cx="3445764" cy="206640"/>
        </a:xfrm>
        <a:prstGeom prst="roundRect">
          <a:avLst/>
        </a:prstGeom>
        <a:solidFill>
          <a:srgbClr val="4BACC6">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130242" tIns="0" rIns="130242" bIns="0" numCol="1" spcCol="1270" anchor="ctr" anchorCtr="0">
          <a:noAutofit/>
        </a:bodyPr>
        <a:lstStyle/>
        <a:p>
          <a:pPr marL="0" lvl="0" indent="0" algn="r" defTabSz="311150">
            <a:lnSpc>
              <a:spcPct val="100000"/>
            </a:lnSpc>
            <a:spcBef>
              <a:spcPct val="0"/>
            </a:spcBef>
            <a:spcAft>
              <a:spcPct val="35000"/>
            </a:spcAft>
            <a:buNone/>
          </a:pPr>
          <a:r>
            <a:rPr lang="en-US" sz="700" kern="1200"/>
            <a:t>The Building and Construction Act of 1999</a:t>
          </a:r>
        </a:p>
      </dsp:txBody>
      <dsp:txXfrm>
        <a:off x="1240717" y="1004347"/>
        <a:ext cx="3425590" cy="186466"/>
      </dsp:txXfrm>
    </dsp:sp>
    <dsp:sp modelId="{4297541E-9DC5-469F-A5F4-36E818689DEB}">
      <dsp:nvSpPr>
        <dsp:cNvPr id="0" name=""/>
        <dsp:cNvSpPr/>
      </dsp:nvSpPr>
      <dsp:spPr>
        <a:xfrm>
          <a:off x="0" y="1415100"/>
          <a:ext cx="4922520" cy="176400"/>
        </a:xfrm>
        <a:prstGeom prst="rect">
          <a:avLst/>
        </a:prstGeom>
        <a:solidFill>
          <a:srgbClr val="FFFFFF">
            <a:alpha val="90000"/>
            <a:hueOff val="0"/>
            <a:satOff val="0"/>
            <a:lumOff val="0"/>
            <a:alphaOff val="0"/>
          </a:srgbClr>
        </a:solidFill>
        <a:ln w="25400" cap="flat" cmpd="sng" algn="ctr">
          <a:solidFill>
            <a:srgbClr val="F7964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21D9800D-CBB5-43EC-9A05-27C98A7A4482}">
      <dsp:nvSpPr>
        <dsp:cNvPr id="0" name=""/>
        <dsp:cNvSpPr/>
      </dsp:nvSpPr>
      <dsp:spPr>
        <a:xfrm>
          <a:off x="1230630" y="1311780"/>
          <a:ext cx="3445764" cy="206640"/>
        </a:xfrm>
        <a:prstGeom prst="roundRect">
          <a:avLst/>
        </a:prstGeom>
        <a:solidFill>
          <a:srgbClr val="F79646">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130242" tIns="0" rIns="130242" bIns="0" numCol="1" spcCol="1270" anchor="ctr" anchorCtr="0">
          <a:noAutofit/>
        </a:bodyPr>
        <a:lstStyle/>
        <a:p>
          <a:pPr marL="0" lvl="0" indent="0" algn="r" defTabSz="311150">
            <a:lnSpc>
              <a:spcPct val="100000"/>
            </a:lnSpc>
            <a:spcBef>
              <a:spcPct val="0"/>
            </a:spcBef>
            <a:spcAft>
              <a:spcPct val="35000"/>
            </a:spcAft>
            <a:buNone/>
          </a:pPr>
          <a:r>
            <a:rPr lang="en-US" sz="700" kern="1200"/>
            <a:t>The Fire Code of 2018</a:t>
          </a:r>
        </a:p>
      </dsp:txBody>
      <dsp:txXfrm>
        <a:off x="1240717" y="1321867"/>
        <a:ext cx="3425590" cy="186466"/>
      </dsp:txXfrm>
    </dsp:sp>
    <dsp:sp modelId="{260F35A9-9364-462A-BC26-C1C276BCC755}">
      <dsp:nvSpPr>
        <dsp:cNvPr id="0" name=""/>
        <dsp:cNvSpPr/>
      </dsp:nvSpPr>
      <dsp:spPr>
        <a:xfrm>
          <a:off x="0" y="1732620"/>
          <a:ext cx="4922520" cy="176400"/>
        </a:xfrm>
        <a:prstGeom prst="rect">
          <a:avLst/>
        </a:prstGeom>
        <a:solidFill>
          <a:srgbClr val="FFFFFF">
            <a:alpha val="90000"/>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85711FA5-5ECD-41A5-8B7C-37A5F62722B0}">
      <dsp:nvSpPr>
        <dsp:cNvPr id="0" name=""/>
        <dsp:cNvSpPr/>
      </dsp:nvSpPr>
      <dsp:spPr>
        <a:xfrm>
          <a:off x="1230630" y="1629300"/>
          <a:ext cx="3445764" cy="206640"/>
        </a:xfrm>
        <a:prstGeom prst="roundRect">
          <a:avLst/>
        </a:prstGeom>
        <a:solidFill>
          <a:srgbClr val="C0504D">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130242" tIns="0" rIns="130242" bIns="0" numCol="1" spcCol="1270" anchor="ctr" anchorCtr="0">
          <a:noAutofit/>
        </a:bodyPr>
        <a:lstStyle/>
        <a:p>
          <a:pPr marL="0" lvl="0" indent="0" algn="r" defTabSz="311150">
            <a:lnSpc>
              <a:spcPct val="100000"/>
            </a:lnSpc>
            <a:spcBef>
              <a:spcPct val="0"/>
            </a:spcBef>
            <a:spcAft>
              <a:spcPct val="35000"/>
            </a:spcAft>
            <a:buNone/>
          </a:pPr>
          <a:r>
            <a:rPr lang="en-US" sz="700" kern="1200"/>
            <a:t>Code on Accessibility in the Built Environment of 2019</a:t>
          </a:r>
        </a:p>
      </dsp:txBody>
      <dsp:txXfrm>
        <a:off x="1240717" y="1639387"/>
        <a:ext cx="3425590" cy="1864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67D85B-ED5F-4134-9F18-E6B4BAE0C614}">
      <dsp:nvSpPr>
        <dsp:cNvPr id="0" name=""/>
        <dsp:cNvSpPr/>
      </dsp:nvSpPr>
      <dsp:spPr>
        <a:xfrm>
          <a:off x="0" y="197592"/>
          <a:ext cx="4587240" cy="226800"/>
        </a:xfrm>
        <a:prstGeom prst="rect">
          <a:avLst/>
        </a:prstGeom>
        <a:solidFill>
          <a:srgbClr val="FFFFFF">
            <a:alpha val="90000"/>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2968AA41-C1D3-4EDF-9DB3-378F66B2FD39}">
      <dsp:nvSpPr>
        <dsp:cNvPr id="0" name=""/>
        <dsp:cNvSpPr/>
      </dsp:nvSpPr>
      <dsp:spPr>
        <a:xfrm>
          <a:off x="229362" y="64752"/>
          <a:ext cx="3211068" cy="265680"/>
        </a:xfrm>
        <a:prstGeom prst="roundRect">
          <a:avLst/>
        </a:prstGeom>
        <a:solidFill>
          <a:srgbClr val="C0504D">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121371" tIns="0" rIns="121371" bIns="0" numCol="1" spcCol="1270" anchor="ctr" anchorCtr="0">
          <a:noAutofit/>
        </a:bodyPr>
        <a:lstStyle/>
        <a:p>
          <a:pPr marL="0" lvl="0" indent="0" algn="l" defTabSz="400050">
            <a:lnSpc>
              <a:spcPct val="100000"/>
            </a:lnSpc>
            <a:spcBef>
              <a:spcPct val="0"/>
            </a:spcBef>
            <a:spcAft>
              <a:spcPct val="35000"/>
            </a:spcAft>
            <a:buNone/>
          </a:pPr>
          <a:r>
            <a:rPr lang="en-US" sz="900" kern="1200"/>
            <a:t>Law on Domestic Violence Prevention and Control 2007</a:t>
          </a:r>
        </a:p>
      </dsp:txBody>
      <dsp:txXfrm>
        <a:off x="242331" y="77721"/>
        <a:ext cx="3185130" cy="239742"/>
      </dsp:txXfrm>
    </dsp:sp>
    <dsp:sp modelId="{6B4B0D2A-F76A-4881-A678-1599A9C1764F}">
      <dsp:nvSpPr>
        <dsp:cNvPr id="0" name=""/>
        <dsp:cNvSpPr/>
      </dsp:nvSpPr>
      <dsp:spPr>
        <a:xfrm>
          <a:off x="0" y="605832"/>
          <a:ext cx="4587240" cy="226800"/>
        </a:xfrm>
        <a:prstGeom prst="rect">
          <a:avLst/>
        </a:prstGeom>
        <a:solidFill>
          <a:srgbClr val="FFFFFF">
            <a:alpha val="90000"/>
            <a:hueOff val="0"/>
            <a:satOff val="0"/>
            <a:lumOff val="0"/>
            <a:alphaOff val="0"/>
          </a:srgb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48FABA9F-C289-434B-8864-E8FC1B5C2F60}">
      <dsp:nvSpPr>
        <dsp:cNvPr id="0" name=""/>
        <dsp:cNvSpPr/>
      </dsp:nvSpPr>
      <dsp:spPr>
        <a:xfrm>
          <a:off x="229362" y="472992"/>
          <a:ext cx="3211068" cy="265680"/>
        </a:xfrm>
        <a:prstGeom prst="roundRect">
          <a:avLst/>
        </a:prstGeom>
        <a:solidFill>
          <a:srgbClr val="9BBB59">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121371" tIns="0" rIns="121371" bIns="0" numCol="1" spcCol="1270" anchor="ctr" anchorCtr="0">
          <a:noAutofit/>
        </a:bodyPr>
        <a:lstStyle/>
        <a:p>
          <a:pPr marL="0" lvl="0" indent="0" algn="l" defTabSz="400050">
            <a:lnSpc>
              <a:spcPct val="100000"/>
            </a:lnSpc>
            <a:spcBef>
              <a:spcPct val="0"/>
            </a:spcBef>
            <a:spcAft>
              <a:spcPct val="35000"/>
            </a:spcAft>
            <a:buNone/>
          </a:pPr>
          <a:r>
            <a:rPr lang="en-US" sz="900" kern="1200"/>
            <a:t>Law on Enforcement of Civil Judgments 2008</a:t>
          </a:r>
        </a:p>
      </dsp:txBody>
      <dsp:txXfrm>
        <a:off x="242331" y="485961"/>
        <a:ext cx="3185130" cy="239742"/>
      </dsp:txXfrm>
    </dsp:sp>
    <dsp:sp modelId="{F2D507D6-5CB7-4C81-896F-18FAF0126329}">
      <dsp:nvSpPr>
        <dsp:cNvPr id="0" name=""/>
        <dsp:cNvSpPr/>
      </dsp:nvSpPr>
      <dsp:spPr>
        <a:xfrm>
          <a:off x="0" y="1014072"/>
          <a:ext cx="4587240" cy="226800"/>
        </a:xfrm>
        <a:prstGeom prst="rect">
          <a:avLst/>
        </a:prstGeom>
        <a:solidFill>
          <a:srgbClr val="FFFFFF">
            <a:alpha val="90000"/>
            <a:hueOff val="0"/>
            <a:satOff val="0"/>
            <a:lumOff val="0"/>
            <a:alphaOff val="0"/>
          </a:srgbClr>
        </a:solidFill>
        <a:ln w="25400" cap="flat" cmpd="sng" algn="ctr">
          <a:solidFill>
            <a:srgbClr val="8064A2">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E2F3FA2F-E1C7-4C05-8B05-C32B42A9A930}">
      <dsp:nvSpPr>
        <dsp:cNvPr id="0" name=""/>
        <dsp:cNvSpPr/>
      </dsp:nvSpPr>
      <dsp:spPr>
        <a:xfrm>
          <a:off x="229362" y="881232"/>
          <a:ext cx="3211068" cy="265680"/>
        </a:xfrm>
        <a:prstGeom prst="roundRect">
          <a:avLst/>
        </a:prstGeom>
        <a:solidFill>
          <a:srgbClr val="8064A2">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121371" tIns="0" rIns="121371" bIns="0" numCol="1" spcCol="1270" anchor="ctr" anchorCtr="0">
          <a:noAutofit/>
        </a:bodyPr>
        <a:lstStyle/>
        <a:p>
          <a:pPr marL="0" lvl="0" indent="0" algn="l" defTabSz="400050">
            <a:lnSpc>
              <a:spcPct val="100000"/>
            </a:lnSpc>
            <a:spcBef>
              <a:spcPct val="0"/>
            </a:spcBef>
            <a:spcAft>
              <a:spcPct val="35000"/>
            </a:spcAft>
            <a:buNone/>
          </a:pPr>
          <a:r>
            <a:rPr lang="en-US" sz="900" kern="1200"/>
            <a:t>Adoption Law 2010</a:t>
          </a:r>
        </a:p>
      </dsp:txBody>
      <dsp:txXfrm>
        <a:off x="242331" y="894201"/>
        <a:ext cx="3185130" cy="239742"/>
      </dsp:txXfrm>
    </dsp:sp>
    <dsp:sp modelId="{ABE9C5F4-BAAD-4B39-91C4-DD6A1344C486}">
      <dsp:nvSpPr>
        <dsp:cNvPr id="0" name=""/>
        <dsp:cNvSpPr/>
      </dsp:nvSpPr>
      <dsp:spPr>
        <a:xfrm>
          <a:off x="0" y="1422312"/>
          <a:ext cx="4587240" cy="226800"/>
        </a:xfrm>
        <a:prstGeom prst="rect">
          <a:avLst/>
        </a:prstGeom>
        <a:solidFill>
          <a:srgbClr val="FFFFFF">
            <a:alpha val="90000"/>
            <a:hueOff val="0"/>
            <a:satOff val="0"/>
            <a:lumOff val="0"/>
            <a:alphaOff val="0"/>
          </a:srgb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26419316-811F-403D-9EBE-AE459F2F287B}">
      <dsp:nvSpPr>
        <dsp:cNvPr id="0" name=""/>
        <dsp:cNvSpPr/>
      </dsp:nvSpPr>
      <dsp:spPr>
        <a:xfrm>
          <a:off x="229362" y="1289472"/>
          <a:ext cx="3211068" cy="265680"/>
        </a:xfrm>
        <a:prstGeom prst="roundRect">
          <a:avLst/>
        </a:prstGeom>
        <a:solidFill>
          <a:srgbClr val="4BACC6">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121371" tIns="0" rIns="121371" bIns="0" numCol="1" spcCol="1270" anchor="ctr" anchorCtr="0">
          <a:noAutofit/>
        </a:bodyPr>
        <a:lstStyle/>
        <a:p>
          <a:pPr marL="0" lvl="0" indent="0" algn="l" defTabSz="400050">
            <a:lnSpc>
              <a:spcPct val="100000"/>
            </a:lnSpc>
            <a:spcBef>
              <a:spcPct val="0"/>
            </a:spcBef>
            <a:spcAft>
              <a:spcPct val="35000"/>
            </a:spcAft>
            <a:buNone/>
          </a:pPr>
          <a:r>
            <a:rPr lang="en-US" sz="900" kern="1200"/>
            <a:t>Law on Marriage and Family 2014</a:t>
          </a:r>
        </a:p>
      </dsp:txBody>
      <dsp:txXfrm>
        <a:off x="242331" y="1302441"/>
        <a:ext cx="3185130" cy="239742"/>
      </dsp:txXfrm>
    </dsp:sp>
  </dsp:spTree>
</dsp:drawing>
</file>

<file path=word/diagrams/layout1.xml><?xml version="1.0" encoding="utf-8"?>
<dgm:layoutDef xmlns:dgm="http://schemas.openxmlformats.org/drawingml/2006/diagram" xmlns:a="http://schemas.openxmlformats.org/drawingml/2006/main" uniqueId="urn:microsoft.com/office/officeart/2005/8/layout/list1#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rSet qsTypeId="urn:microsoft.com/office/officeart/2005/8/quickstyle/simple5"/>
        </dgm:pt>
        <dgm:pt modelId="1"/>
        <dgm:pt modelId="2"/>
      </dgm:ptLst>
      <dgm:cxnLst>
        <dgm:cxn modelId="4" srcId="0" destId="1" srcOrd="0" destOrd="0"/>
        <dgm:cxn modelId="5" srcId="0" destId="2" srcOrd="1" destOrd="0"/>
      </dgm:cxnLst>
      <dgm:bg/>
      <dgm:whole/>
    </dgm:dataModel>
  </dgm:styleData>
  <dgm:clrData>
    <dgm:dataModel>
      <dgm:ptLst>
        <dgm:pt modelId="0" type="doc">
          <dgm:prSet csTypeId="urn:microsoft.com/office/officeart/2005/8/colors/accent6_5"/>
        </dgm:pt>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nodeHorzAlign" val="l"/>
          <dgm:param type="horzAlign" val="l"/>
        </dgm:alg>
      </dgm:if>
      <dgm:else name="Name2">
        <dgm:alg type="lin">
          <dgm:param type="linDir" val="fromT"/>
          <dgm:param type="vertAlign" val="mid"/>
          <dgm:param type="nodeHorzAlign" val="r"/>
          <dgm:param typ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nodeHorzAlign" val="l"/>
              <dgm:param type="horzAlign" val="l"/>
            </dgm:alg>
          </dgm:if>
          <dgm:else name="Name6">
            <dgm:alg type="lin">
              <dgm:param type="linDir" val="fromR"/>
              <dgm:param type="nodeHorzAlign" val="r"/>
              <dgm:param typ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2">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rSet qsTypeId="urn:microsoft.com/office/officeart/2005/8/quickstyle/simple5"/>
        </dgm:pt>
        <dgm:pt modelId="1"/>
        <dgm:pt modelId="2"/>
      </dgm:ptLst>
      <dgm:cxnLst>
        <dgm:cxn modelId="4" srcId="0" destId="1" srcOrd="0" destOrd="0"/>
        <dgm:cxn modelId="5" srcId="0" destId="2" srcOrd="1" destOrd="0"/>
      </dgm:cxnLst>
      <dgm:bg/>
      <dgm:whole/>
    </dgm:dataModel>
  </dgm:styleData>
  <dgm:clrData>
    <dgm:dataModel>
      <dgm:ptLst>
        <dgm:pt modelId="0" type="doc">
          <dgm:prSet csTypeId="urn:microsoft.com/office/officeart/2005/8/colors/accent6_5"/>
        </dgm:pt>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nodeHorzAlign" val="l"/>
          <dgm:param type="horzAlign" val="l"/>
        </dgm:alg>
      </dgm:if>
      <dgm:else name="Name2">
        <dgm:alg type="lin">
          <dgm:param type="linDir" val="fromT"/>
          <dgm:param type="vertAlign" val="mid"/>
          <dgm:param type="nodeHorzAlign" val="r"/>
          <dgm:param typ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nodeHorzAlign" val="l"/>
              <dgm:param type="horzAlign" val="l"/>
            </dgm:alg>
          </dgm:if>
          <dgm:else name="Name6">
            <dgm:alg type="lin">
              <dgm:param type="linDir" val="fromR"/>
              <dgm:param type="nodeHorzAlign" val="r"/>
              <dgm:param typ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rgbClr val="FFFFFF"/>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rgbClr val="FFFFFF"/>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rgbClr val="FFFFFF"/>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rgbClr val="000000"/>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rgbClr val="FFFFFF"/>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rgbClr val="FFFFFF"/>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rgbClr val="FFFFFF"/>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rgbClr val="000000"/>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rgbClr val="FFFFFF"/>
      </a:solidFill>
      <a:gradFill rotWithShape="1">
        <a:gsLst>
          <a:gs pos="0">
            <a:srgbClr val="FFFFFF">
              <a:lumMod val="110000"/>
              <a:satMod val="105000"/>
              <a:tint val="67000"/>
            </a:srgbClr>
          </a:gs>
          <a:gs pos="50000">
            <a:srgbClr val="FFFFFF">
              <a:lumMod val="105000"/>
              <a:satMod val="103000"/>
              <a:tint val="73000"/>
            </a:srgbClr>
          </a:gs>
          <a:gs pos="100000">
            <a:srgbClr val="FFFFFF">
              <a:lumMod val="105000"/>
              <a:satMod val="109000"/>
              <a:tint val="81000"/>
            </a:srgbClr>
          </a:gs>
        </a:gsLst>
        <a:lin ang="5400000" scaled="0"/>
      </a:gradFill>
      <a:gradFill rotWithShape="1">
        <a:gsLst>
          <a:gs pos="0">
            <a:srgbClr val="FFFFFF">
              <a:satMod val="103000"/>
              <a:lumMod val="102000"/>
              <a:tint val="94000"/>
            </a:srgbClr>
          </a:gs>
          <a:gs pos="50000">
            <a:srgbClr val="FFFFFF">
              <a:satMod val="110000"/>
              <a:lumMod val="100000"/>
              <a:shade val="100000"/>
            </a:srgbClr>
          </a:gs>
          <a:gs pos="100000">
            <a:srgbClr val="E2E2E2">
              <a:lumMod val="99000"/>
              <a:satMod val="120000"/>
              <a:shade val="78000"/>
            </a:srgbClr>
          </a:gs>
        </a:gsLst>
        <a:lin ang="5400000" scaled="0"/>
      </a:gradFill>
    </a:fillStyleLst>
    <a:lnStyleLst>
      <a:ln w="6350" cap="flat" cmpd="sng" algn="ctr">
        <a:solidFill>
          <a:srgbClr val="FFFFFF"/>
        </a:solidFill>
        <a:prstDash val="solid"/>
        <a:miter lim="800000"/>
      </a:ln>
      <a:ln w="12700" cap="flat" cmpd="sng" algn="ctr">
        <a:solidFill>
          <a:srgbClr val="FFFFFF"/>
        </a:solidFill>
        <a:prstDash val="solid"/>
        <a:miter lim="800000"/>
      </a:ln>
      <a:ln w="19050" cap="flat" cmpd="sng" algn="ctr">
        <a:solidFill>
          <a:srgbClr val="FFFFFF"/>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rgbClr val="FFFFFF"/>
      </a:solidFill>
      <a:solidFill>
        <a:srgbClr val="FFFFFF">
          <a:tint val="95000"/>
          <a:satMod val="170000"/>
        </a:srgbClr>
      </a:solidFill>
      <a:gradFill rotWithShape="1">
        <a:gsLst>
          <a:gs pos="0">
            <a:srgbClr val="FFFFFF">
              <a:tint val="93000"/>
              <a:satMod val="150000"/>
              <a:shade val="98000"/>
              <a:lumMod val="102000"/>
            </a:srgbClr>
          </a:gs>
          <a:gs pos="50000">
            <a:srgbClr val="FBFBFB">
              <a:tint val="98000"/>
              <a:satMod val="130000"/>
              <a:shade val="90000"/>
              <a:lumMod val="103000"/>
            </a:srgbClr>
          </a:gs>
          <a:gs pos="100000">
            <a:srgbClr val="D0D0D0">
              <a:shade val="63000"/>
              <a:satMod val="120000"/>
            </a:srgb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0E0DFF6A-BFF7-41B6-AD9C-B556A9FD32E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54972</Words>
  <Characters>313344</Characters>
  <Application>Microsoft Office Word</Application>
  <DocSecurity>0</DocSecurity>
  <Lines>2611</Lines>
  <Paragraphs>735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M416</dc:creator>
  <cp:lastModifiedBy>Paula Hearn</cp:lastModifiedBy>
  <cp:revision>3</cp:revision>
  <cp:lastPrinted>2020-06-10T23:03:00Z</cp:lastPrinted>
  <dcterms:created xsi:type="dcterms:W3CDTF">2020-07-23T19:50:00Z</dcterms:created>
  <dcterms:modified xsi:type="dcterms:W3CDTF">2020-07-23T21:59:00Z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1033-11.2.0.9453</vt:lpwstr>
  </property>
</Properties>
</file>