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9AE17" w14:textId="60D3FF65" w:rsidR="00A41CE6" w:rsidRPr="00A41CE6" w:rsidRDefault="00BA5DDE" w:rsidP="00A41CE6">
      <w:pPr>
        <w:jc w:val="center"/>
        <w:rPr>
          <w:rFonts w:eastAsiaTheme="minorEastAsia"/>
          <w:b/>
          <w:bCs/>
          <w:sz w:val="24"/>
          <w:szCs w:val="24"/>
        </w:rPr>
      </w:pPr>
      <w:r>
        <w:rPr>
          <w:b/>
          <w:bCs/>
          <w:sz w:val="24"/>
          <w:szCs w:val="24"/>
        </w:rPr>
        <w:t xml:space="preserve">RECOMMANDATIONS DU </w:t>
      </w:r>
      <w:r w:rsidR="00A41CE6">
        <w:rPr>
          <w:b/>
          <w:bCs/>
          <w:sz w:val="24"/>
          <w:szCs w:val="24"/>
        </w:rPr>
        <w:t xml:space="preserve">CPI </w:t>
      </w:r>
    </w:p>
    <w:p w14:paraId="68687455" w14:textId="77777777" w:rsidR="00A41CE6" w:rsidRPr="00A41CE6" w:rsidRDefault="00A41CE6" w:rsidP="00A41CE6">
      <w:pPr>
        <w:jc w:val="center"/>
        <w:rPr>
          <w:rFonts w:eastAsiaTheme="minorEastAsia"/>
          <w:b/>
          <w:bCs/>
          <w:color w:val="002060"/>
          <w:sz w:val="24"/>
          <w:szCs w:val="24"/>
        </w:rPr>
      </w:pPr>
      <w:r>
        <w:rPr>
          <w:b/>
          <w:bCs/>
          <w:color w:val="C00000"/>
          <w:sz w:val="24"/>
          <w:szCs w:val="24"/>
        </w:rPr>
        <w:t>RIPOSTE À LA COVID-19 </w:t>
      </w:r>
      <w:r>
        <w:rPr>
          <w:b/>
          <w:bCs/>
          <w:color w:val="002060"/>
          <w:sz w:val="24"/>
          <w:szCs w:val="24"/>
        </w:rPr>
        <w:t>: MESSAGES CLÉS SUR L’APPLICATION DES LIGNES DIRECTRICES DU CPI CONCERNANT L’INCLUSION DES PERSONNES HANDICAPÉES DANS L’ACTION HUMANITAIRE</w:t>
      </w:r>
    </w:p>
    <w:p w14:paraId="0A43C1C4" w14:textId="77777777" w:rsidR="00A41CE6" w:rsidRPr="00A41CE6" w:rsidRDefault="00A41CE6" w:rsidP="00A41CE6">
      <w:pPr>
        <w:jc w:val="center"/>
        <w:rPr>
          <w:rFonts w:eastAsiaTheme="minorEastAsia"/>
          <w:b/>
          <w:bCs/>
          <w:color w:val="002060"/>
          <w:sz w:val="24"/>
          <w:szCs w:val="24"/>
        </w:rPr>
      </w:pPr>
      <w:r>
        <w:rPr>
          <w:b/>
          <w:bCs/>
          <w:color w:val="002060"/>
          <w:sz w:val="24"/>
          <w:szCs w:val="24"/>
        </w:rPr>
        <w:t>RÉDIGÉS PAR LE GROUPE DE RÉFÉRENCE SUR L’INCLUSION DES PERSONNES HANDICAPÉES SOUS L’ÉGIDE DU GROUPE DE RÉSULTATS 2 DU CPI SUR LA RESPONSABILITÉ ET L’INCLUSION</w:t>
      </w:r>
    </w:p>
    <w:p w14:paraId="646D2A5B" w14:textId="77777777" w:rsidR="00A41CE6" w:rsidRPr="00A41CE6" w:rsidRDefault="00A41CE6" w:rsidP="00A41CE6">
      <w:pPr>
        <w:jc w:val="center"/>
        <w:rPr>
          <w:rFonts w:eastAsiaTheme="minorEastAsia"/>
          <w:b/>
          <w:bCs/>
          <w:color w:val="4472C4" w:themeColor="accent1"/>
          <w:sz w:val="32"/>
          <w:szCs w:val="32"/>
        </w:rPr>
      </w:pPr>
      <w:r>
        <w:rPr>
          <w:b/>
          <w:bCs/>
          <w:color w:val="4472C4" w:themeColor="accent1"/>
          <w:sz w:val="32"/>
          <w:szCs w:val="32"/>
        </w:rPr>
        <w:t>__________________________________________________________</w:t>
      </w:r>
    </w:p>
    <w:p w14:paraId="4AFEE111" w14:textId="77777777" w:rsidR="00A41CE6" w:rsidRPr="00A41CE6" w:rsidRDefault="00A41CE6" w:rsidP="00A41CE6">
      <w:pPr>
        <w:spacing w:after="0"/>
        <w:rPr>
          <w:color w:val="4472C4" w:themeColor="accent1"/>
        </w:rPr>
      </w:pPr>
    </w:p>
    <w:p w14:paraId="2F0D1441" w14:textId="77777777" w:rsidR="00A41CE6" w:rsidRPr="00A41CE6" w:rsidRDefault="00A41CE6" w:rsidP="00A41CE6">
      <w:pPr>
        <w:spacing w:after="0"/>
      </w:pPr>
    </w:p>
    <w:p w14:paraId="23CEDB9B" w14:textId="77777777" w:rsidR="00A41CE6" w:rsidRPr="00A41CE6" w:rsidRDefault="00A41CE6" w:rsidP="00A41CE6">
      <w:pPr>
        <w:spacing w:after="0"/>
      </w:pPr>
      <w:r>
        <w:t xml:space="preserve">La présente note d’orientation décrit les facteurs susceptibles d’exposer les personnes handicapées à un risque plus élevé dans le cadre de la pandémie de COVID-19 et de la riposte à cette pandémie en contexte humanitaire, et propose des mesures pour tenir compte de ces risques. Elle s’appuie sur </w:t>
      </w:r>
      <w:hyperlink r:id="rId11" w:history="1">
        <w:r>
          <w:rPr>
            <w:color w:val="0000FF"/>
            <w:u w:val="single"/>
          </w:rPr>
          <w:t>les lignes directrices du CPI concernant l’inclusion des personnes handicapées dans l’action humanitaire</w:t>
        </w:r>
      </w:hyperlink>
      <w:r w:rsidRPr="00A41CE6">
        <w:rPr>
          <w:color w:val="0000FF"/>
          <w:u w:val="single"/>
          <w:vertAlign w:val="superscript"/>
        </w:rPr>
        <w:footnoteReference w:id="1"/>
      </w:r>
      <w:r>
        <w:t xml:space="preserve"> et applique ces lignes directrices à la pandémie de COVID-19</w:t>
      </w:r>
      <w:r w:rsidRPr="00A41CE6">
        <w:rPr>
          <w:vertAlign w:val="superscript"/>
        </w:rPr>
        <w:footnoteReference w:id="2"/>
      </w:r>
      <w:r>
        <w:t>. Cette note d’orientation est destinée aux coordinateurs sur le terrain, aux responsables de camps et aux professionnels de santé publique ainsi qu’aux gouvernements nationaux et locaux et à la communauté humanitaire dans son ensemble, y compris aux organisations de personnes handicapées, qui participent aux prises de décision et à la mise en œuvre des activités plurisectorielles de préparation et de riposte à la pandémie de COVID-19 en contexte humanitaire.</w:t>
      </w:r>
    </w:p>
    <w:p w14:paraId="51CB828E" w14:textId="77777777" w:rsidR="00A41CE6" w:rsidRPr="00A41CE6" w:rsidRDefault="00A41CE6" w:rsidP="00A41CE6">
      <w:pPr>
        <w:spacing w:after="0"/>
      </w:pPr>
    </w:p>
    <w:p w14:paraId="075C52BD" w14:textId="77777777" w:rsidR="00A41CE6" w:rsidRPr="00A41CE6" w:rsidRDefault="00A41CE6" w:rsidP="00A41CE6">
      <w:pPr>
        <w:spacing w:after="0"/>
      </w:pPr>
    </w:p>
    <w:p w14:paraId="7BDEC545" w14:textId="77777777" w:rsidR="00A41CE6" w:rsidRPr="00A41CE6" w:rsidRDefault="00A41CE6" w:rsidP="00A41CE6">
      <w:pPr>
        <w:numPr>
          <w:ilvl w:val="0"/>
          <w:numId w:val="1"/>
        </w:numPr>
        <w:spacing w:after="0"/>
        <w:contextualSpacing/>
      </w:pPr>
      <w:r>
        <w:rPr>
          <w:b/>
          <w:bCs/>
        </w:rPr>
        <w:t>Prise en compte de l’intersectionnalité</w:t>
      </w:r>
      <w:r>
        <w:t xml:space="preserve"> </w:t>
      </w:r>
    </w:p>
    <w:p w14:paraId="2C42D324" w14:textId="77777777" w:rsidR="00A41CE6" w:rsidRPr="00A41CE6" w:rsidRDefault="00A41CE6" w:rsidP="00A41CE6">
      <w:pPr>
        <w:spacing w:after="0"/>
      </w:pPr>
      <w:r>
        <w:t xml:space="preserve">Les facteurs qui exposent les personnes handicapées à un risque plus élevé dans le cadre de la pandémie de COVID-19 peuvent être exacerbés par l’âge, le genre et le lieu, entre autres. Il est essentiel que la riposte à la COVID-19 envisage les personnes handicapées dans toute leur diversité, qu’il s’agisse d’hommes, de femmes, de garçons et de filles, d’enfants, d’adolescents et de personnes âgées touchés par différents types de handicaps. La riposte doit également tenir compte des personnes handicapées </w:t>
      </w:r>
      <w:proofErr w:type="gramStart"/>
      <w:r>
        <w:t>vivant</w:t>
      </w:r>
      <w:proofErr w:type="gramEnd"/>
      <w:r>
        <w:t xml:space="preserve"> dans différents contextes humanitaires, notamment dans les zones rurales reculées, les bidonvilles, les installations sauvages, les camps et d’autres environnements s’y apparentant.</w:t>
      </w:r>
    </w:p>
    <w:p w14:paraId="1AAAD549" w14:textId="77777777" w:rsidR="00A41CE6" w:rsidRPr="00A41CE6" w:rsidRDefault="00A41CE6" w:rsidP="00A41CE6">
      <w:pPr>
        <w:spacing w:after="0"/>
        <w:jc w:val="both"/>
        <w:rPr>
          <w:rFonts w:eastAsiaTheme="minorEastAsia"/>
          <w:b/>
          <w:bCs/>
          <w:sz w:val="28"/>
          <w:szCs w:val="28"/>
          <w:lang w:eastAsia="zh-CN"/>
        </w:rPr>
      </w:pPr>
    </w:p>
    <w:p w14:paraId="26C516C1" w14:textId="77777777" w:rsidR="00A41CE6" w:rsidRPr="00A41CE6" w:rsidRDefault="00A41CE6" w:rsidP="00A41CE6">
      <w:pPr>
        <w:spacing w:after="0"/>
        <w:jc w:val="both"/>
        <w:rPr>
          <w:rFonts w:eastAsiaTheme="minorEastAsia"/>
          <w:b/>
          <w:bCs/>
          <w:sz w:val="28"/>
          <w:szCs w:val="28"/>
          <w:lang w:eastAsia="zh-CN"/>
        </w:rPr>
      </w:pPr>
    </w:p>
    <w:p w14:paraId="7206BDA8" w14:textId="77777777" w:rsidR="001A5AD0" w:rsidRDefault="001A5AD0"/>
    <w:p w14:paraId="07A6C42E" w14:textId="77777777" w:rsidR="00A41CE6" w:rsidRDefault="00A41CE6"/>
    <w:p w14:paraId="23C0CCCA" w14:textId="77777777" w:rsidR="00A41CE6" w:rsidRDefault="00A41CE6"/>
    <w:p w14:paraId="367D1E13" w14:textId="77777777" w:rsidR="00A41CE6" w:rsidRDefault="00A41CE6"/>
    <w:p w14:paraId="78F79DAF" w14:textId="77777777" w:rsidR="00A41CE6" w:rsidRDefault="00A41CE6"/>
    <w:p w14:paraId="4E693A29" w14:textId="77777777" w:rsidR="00A41CE6" w:rsidRPr="003C3176" w:rsidRDefault="00A41CE6" w:rsidP="00A41CE6">
      <w:pPr>
        <w:pStyle w:val="ListParagraph"/>
        <w:numPr>
          <w:ilvl w:val="0"/>
          <w:numId w:val="2"/>
        </w:numPr>
        <w:jc w:val="both"/>
        <w:rPr>
          <w:rFonts w:eastAsiaTheme="minorEastAsia"/>
          <w:b/>
          <w:bCs/>
          <w:sz w:val="28"/>
          <w:szCs w:val="28"/>
        </w:rPr>
      </w:pPr>
      <w:r>
        <w:rPr>
          <w:b/>
          <w:bCs/>
          <w:sz w:val="28"/>
          <w:szCs w:val="28"/>
        </w:rPr>
        <w:t>Quelles sont les conséquences sanitaires de la pandémie sur les personnes handicapées ?</w:t>
      </w:r>
    </w:p>
    <w:p w14:paraId="35E90CD7" w14:textId="151A6922" w:rsidR="00A41CE6" w:rsidRDefault="00BA5DDE" w:rsidP="00A41CE6">
      <w:pPr>
        <w:rPr>
          <w:rFonts w:eastAsiaTheme="minorEastAsia"/>
        </w:rPr>
      </w:pPr>
      <w:r>
        <w:rPr>
          <w:noProof/>
        </w:rPr>
        <mc:AlternateContent>
          <mc:Choice Requires="wps">
            <w:drawing>
              <wp:anchor distT="45720" distB="45720" distL="114300" distR="114300" simplePos="0" relativeHeight="251659264" behindDoc="0" locked="0" layoutInCell="1" allowOverlap="1" wp14:anchorId="6C8A0889" wp14:editId="587A69CA">
                <wp:simplePos x="0" y="0"/>
                <wp:positionH relativeFrom="margin">
                  <wp:align>center</wp:align>
                </wp:positionH>
                <wp:positionV relativeFrom="paragraph">
                  <wp:posOffset>628148</wp:posOffset>
                </wp:positionV>
                <wp:extent cx="5988050" cy="283464"/>
                <wp:effectExtent l="0" t="0" r="1270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283464"/>
                        </a:xfrm>
                        <a:prstGeom prst="rect">
                          <a:avLst/>
                        </a:prstGeom>
                        <a:solidFill>
                          <a:srgbClr val="FFC000">
                            <a:lumMod val="20000"/>
                            <a:lumOff val="80000"/>
                          </a:srgbClr>
                        </a:solidFill>
                        <a:ln w="9525">
                          <a:solidFill>
                            <a:srgbClr val="000000"/>
                          </a:solidFill>
                          <a:miter lim="800000"/>
                          <a:headEnd/>
                          <a:tailEnd/>
                        </a:ln>
                      </wps:spPr>
                      <wps:txbx>
                        <w:txbxContent>
                          <w:p w14:paraId="04E42F88" w14:textId="77777777" w:rsidR="00A41CE6" w:rsidRPr="00786675" w:rsidRDefault="00A41CE6" w:rsidP="00A41CE6">
                            <w:pPr>
                              <w:jc w:val="center"/>
                              <w:rPr>
                                <w:b/>
                                <w:bCs/>
                                <w:color w:val="44546A" w:themeColor="text2"/>
                              </w:rPr>
                            </w:pPr>
                            <w:r>
                              <w:rPr>
                                <w:b/>
                                <w:bCs/>
                                <w:color w:val="44546A" w:themeColor="text2"/>
                              </w:rPr>
                              <w:t>Conséquences sanitaires de la crise pour tous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A0889" id="_x0000_t202" coordsize="21600,21600" o:spt="202" path="m,l,21600r21600,l21600,xe">
                <v:stroke joinstyle="miter"/>
                <v:path gradientshapeok="t" o:connecttype="rect"/>
              </v:shapetype>
              <v:shape id="Text Box 2" o:spid="_x0000_s1026" type="#_x0000_t202" style="position:absolute;margin-left:0;margin-top:49.45pt;width:471.5pt;height:22.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" fillcolor="#fff2cc">
                <v:textbox>
                  <w:txbxContent>
                    <w:p w14:paraId="04E42F88" w14:textId="77777777" w:rsidR="00A41CE6" w:rsidRPr="00786675" w:rsidRDefault="00A41CE6" w:rsidP="00A41CE6">
                      <w:pPr>
                        <w:jc w:val="center"/>
                        <w:rPr>
                          <w:b/>
                          <w:bCs/>
                          <w:color w:val="44546A" w:themeColor="text2"/>
                        </w:rPr>
                      </w:pPr>
                      <w:r>
                        <w:rPr>
                          <w:b/>
                          <w:bCs/>
                          <w:color w:val="44546A" w:themeColor="text2"/>
                        </w:rPr>
                        <w:t>Conséquences sanitaires de la crise pour tous</w:t>
                      </w:r>
                    </w:p>
                  </w:txbxContent>
                </v:textbox>
                <w10:wrap type="square" anchorx="margin"/>
              </v:shape>
            </w:pict>
          </mc:Fallback>
        </mc:AlternateContent>
      </w:r>
      <w:r w:rsidR="00A41CE6">
        <w:t>Les personnes handicapées courent plus de risque de contracter la COVID-19 et sont moins susceptibles de bénéficier des traitements et des soins adaptés en raison d’obstacles environnementaux, comportementaux et institutionnels :</w:t>
      </w:r>
    </w:p>
    <w:p w14:paraId="489E54B2" w14:textId="1438AFE5" w:rsidR="00A41CE6" w:rsidRDefault="00BA5DDE" w:rsidP="00A41CE6">
      <w:pPr>
        <w:rPr>
          <w:rFonts w:eastAsiaTheme="minorEastAsia"/>
        </w:rPr>
      </w:pPr>
      <w:r>
        <w:rPr>
          <w:noProof/>
        </w:rPr>
        <mc:AlternateContent>
          <mc:Choice Requires="wps">
            <w:drawing>
              <wp:anchor distT="45720" distB="45720" distL="114300" distR="114300" simplePos="0" relativeHeight="251661312" behindDoc="0" locked="0" layoutInCell="1" allowOverlap="1" wp14:anchorId="0DF53D2E" wp14:editId="41CEFE0D">
                <wp:simplePos x="0" y="0"/>
                <wp:positionH relativeFrom="margin">
                  <wp:align>right</wp:align>
                </wp:positionH>
                <wp:positionV relativeFrom="paragraph">
                  <wp:posOffset>699770</wp:posOffset>
                </wp:positionV>
                <wp:extent cx="5930900" cy="3248025"/>
                <wp:effectExtent l="0" t="0" r="127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248168"/>
                        </a:xfrm>
                        <a:prstGeom prst="rect">
                          <a:avLst/>
                        </a:prstGeom>
                        <a:solidFill>
                          <a:srgbClr val="44546A">
                            <a:lumMod val="20000"/>
                            <a:lumOff val="80000"/>
                          </a:srgbClr>
                        </a:solidFill>
                        <a:ln w="9525">
                          <a:solidFill>
                            <a:srgbClr val="000000"/>
                          </a:solidFill>
                          <a:miter lim="800000"/>
                          <a:headEnd/>
                          <a:tailEnd/>
                        </a:ln>
                      </wps:spPr>
                      <wps:txbx>
                        <w:txbxContent>
                          <w:p w14:paraId="3BF5F292" w14:textId="77777777" w:rsidR="00A41CE6" w:rsidRPr="00786675" w:rsidRDefault="00A41CE6" w:rsidP="00A41CE6">
                            <w:pPr>
                              <w:jc w:val="center"/>
                              <w:rPr>
                                <w:b/>
                                <w:bCs/>
                                <w:color w:val="44546A" w:themeColor="text2"/>
                              </w:rPr>
                            </w:pPr>
                            <w:r>
                              <w:rPr>
                                <w:b/>
                                <w:bCs/>
                                <w:color w:val="44546A" w:themeColor="text2"/>
                              </w:rPr>
                              <w:t xml:space="preserve">Exacerbées pour les personnes handicapées </w:t>
                            </w:r>
                          </w:p>
                          <w:p w14:paraId="65679B6F" w14:textId="77777777" w:rsidR="00A41CE6" w:rsidRPr="00A77862" w:rsidRDefault="00A41CE6" w:rsidP="00A41CE6">
                            <w:pPr>
                              <w:rPr>
                                <w:b/>
                                <w:bCs/>
                                <w:sz w:val="20"/>
                                <w:szCs w:val="20"/>
                              </w:rPr>
                            </w:pPr>
                            <w:r>
                              <w:rPr>
                                <w:b/>
                                <w:bCs/>
                                <w:sz w:val="20"/>
                                <w:szCs w:val="20"/>
                              </w:rPr>
                              <w:t>Obstacles environnementaux</w:t>
                            </w:r>
                          </w:p>
                          <w:p w14:paraId="52C2EDB4" w14:textId="77777777" w:rsidR="00A41CE6" w:rsidRPr="00BA5CC2" w:rsidRDefault="00A41CE6" w:rsidP="00A41CE6">
                            <w:pPr>
                              <w:rPr>
                                <w:rFonts w:eastAsiaTheme="minorEastAsia"/>
                              </w:rPr>
                            </w:pPr>
                            <w:r>
                              <w:t>Difficultés accrues à prendre des mesures préventives en raison du manque d’information et de communication et d’autres obstacles empêchant l’accès aux installations d’EAH</w:t>
                            </w:r>
                          </w:p>
                          <w:p w14:paraId="1B260050" w14:textId="77777777" w:rsidR="00A41CE6" w:rsidRDefault="00A41CE6" w:rsidP="00A41CE6">
                            <w:pPr>
                              <w:rPr>
                                <w:b/>
                                <w:bCs/>
                                <w:sz w:val="20"/>
                                <w:szCs w:val="20"/>
                              </w:rPr>
                            </w:pPr>
                            <w:r>
                              <w:rPr>
                                <w:b/>
                                <w:bCs/>
                                <w:sz w:val="20"/>
                                <w:szCs w:val="20"/>
                              </w:rPr>
                              <w:t>Obstacles comportementaux</w:t>
                            </w:r>
                          </w:p>
                          <w:p w14:paraId="1BE6C273" w14:textId="77777777" w:rsidR="00A41CE6" w:rsidRPr="00AF27B3" w:rsidRDefault="00A41CE6" w:rsidP="00A41CE6">
                            <w:r>
                              <w:t>Les personnes handicapées ne sont pas prioritaires dans l’accès aux soins de santé en raison de la perception négative de leur valeur pour la société</w:t>
                            </w:r>
                          </w:p>
                          <w:p w14:paraId="7EBE70E4" w14:textId="77777777" w:rsidR="00A41CE6" w:rsidRPr="00A77862" w:rsidRDefault="00A41CE6" w:rsidP="00A41CE6">
                            <w:pPr>
                              <w:rPr>
                                <w:b/>
                                <w:bCs/>
                                <w:sz w:val="20"/>
                                <w:szCs w:val="20"/>
                              </w:rPr>
                            </w:pPr>
                            <w:r>
                              <w:rPr>
                                <w:b/>
                                <w:bCs/>
                                <w:sz w:val="20"/>
                                <w:szCs w:val="20"/>
                              </w:rPr>
                              <w:t>Obstacles institutionnels</w:t>
                            </w:r>
                          </w:p>
                          <w:p w14:paraId="6AFDE717" w14:textId="77777777" w:rsidR="00A41CE6" w:rsidRDefault="00A41CE6" w:rsidP="00A41CE6">
                            <w:pPr>
                              <w:rPr>
                                <w:rFonts w:eastAsiaTheme="minorEastAsia"/>
                              </w:rPr>
                            </w:pPr>
                            <w:r>
                              <w:t xml:space="preserve">Critères discriminants dans les processus de prise de décision concernant le rationnement des soins de santé, non fondés sur le pronostic individuel mais sur des préjugés concernant la qualité ou la valeur de la vie </w:t>
                            </w:r>
                          </w:p>
                          <w:p w14:paraId="29975EC2" w14:textId="77777777" w:rsidR="00A41CE6" w:rsidRDefault="00A41CE6" w:rsidP="00A41CE6">
                            <w:r>
                              <w:t>Existence dans certains pays de politiques favorables au placement des personnes handicapées en institutions où les risques pour la santé et la protection sont plus élevés</w:t>
                            </w:r>
                          </w:p>
                          <w:p w14:paraId="2F1B06A1" w14:textId="77777777" w:rsidR="00A41CE6" w:rsidRDefault="00A41CE6" w:rsidP="00A41CE6"/>
                          <w:p w14:paraId="3ADA1346" w14:textId="77777777" w:rsidR="00A41CE6" w:rsidRPr="00BA5CC2" w:rsidRDefault="00A41CE6" w:rsidP="00A41C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53D2E" id="_x0000_s1027" type="#_x0000_t202" style="position:absolute;margin-left:415.8pt;margin-top:55.1pt;width:467pt;height:25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" fillcolor="#d6dce5">
                <v:textbox>
                  <w:txbxContent>
                    <w:p w14:paraId="3BF5F292" w14:textId="77777777" w:rsidR="00A41CE6" w:rsidRPr="00786675" w:rsidRDefault="00A41CE6" w:rsidP="00A41CE6">
                      <w:pPr>
                        <w:jc w:val="center"/>
                        <w:rPr>
                          <w:b/>
                          <w:bCs/>
                          <w:color w:val="44546A" w:themeColor="text2"/>
                        </w:rPr>
                      </w:pPr>
                      <w:r>
                        <w:rPr>
                          <w:b/>
                          <w:bCs/>
                          <w:color w:val="44546A" w:themeColor="text2"/>
                        </w:rPr>
                        <w:t xml:space="preserve">Exacerbées pour les personnes handicapées </w:t>
                      </w:r>
                    </w:p>
                    <w:p w14:paraId="65679B6F" w14:textId="77777777" w:rsidR="00A41CE6" w:rsidRPr="00A77862" w:rsidRDefault="00A41CE6" w:rsidP="00A41CE6">
                      <w:pPr>
                        <w:rPr>
                          <w:b/>
                          <w:bCs/>
                          <w:sz w:val="20"/>
                          <w:szCs w:val="20"/>
                        </w:rPr>
                      </w:pPr>
                      <w:r>
                        <w:rPr>
                          <w:b/>
                          <w:bCs/>
                          <w:sz w:val="20"/>
                          <w:szCs w:val="20"/>
                        </w:rPr>
                        <w:t>Obstacles environnementaux</w:t>
                      </w:r>
                    </w:p>
                    <w:p w14:paraId="52C2EDB4" w14:textId="77777777" w:rsidR="00A41CE6" w:rsidRPr="00BA5CC2" w:rsidRDefault="00A41CE6" w:rsidP="00A41CE6">
                      <w:pPr>
                        <w:rPr>
                          <w:rFonts w:eastAsiaTheme="minorEastAsia"/>
                        </w:rPr>
                      </w:pPr>
                      <w:r>
                        <w:t>Difficultés accrues à prendre des mesures préventives en raison du manque d’information et de communication et d’autres obstacles empêchant l’accès aux installations d’EAH</w:t>
                      </w:r>
                    </w:p>
                    <w:p w14:paraId="1B260050" w14:textId="77777777" w:rsidR="00A41CE6" w:rsidRDefault="00A41CE6" w:rsidP="00A41CE6">
                      <w:pPr>
                        <w:rPr>
                          <w:b/>
                          <w:bCs/>
                          <w:sz w:val="20"/>
                          <w:szCs w:val="20"/>
                        </w:rPr>
                      </w:pPr>
                      <w:r>
                        <w:rPr>
                          <w:b/>
                          <w:bCs/>
                          <w:sz w:val="20"/>
                          <w:szCs w:val="20"/>
                        </w:rPr>
                        <w:t>Obstacles comportementaux</w:t>
                      </w:r>
                    </w:p>
                    <w:p w14:paraId="1BE6C273" w14:textId="77777777" w:rsidR="00A41CE6" w:rsidRPr="00AF27B3" w:rsidRDefault="00A41CE6" w:rsidP="00A41CE6">
                      <w:r>
                        <w:t>Les personnes handicapées ne sont pas prioritaires dans l’accès aux soins de santé en raison de la perception négative de leur valeur pour la société</w:t>
                      </w:r>
                    </w:p>
                    <w:p w14:paraId="7EBE70E4" w14:textId="77777777" w:rsidR="00A41CE6" w:rsidRPr="00A77862" w:rsidRDefault="00A41CE6" w:rsidP="00A41CE6">
                      <w:pPr>
                        <w:rPr>
                          <w:b/>
                          <w:bCs/>
                          <w:sz w:val="20"/>
                          <w:szCs w:val="20"/>
                        </w:rPr>
                      </w:pPr>
                      <w:r>
                        <w:rPr>
                          <w:b/>
                          <w:bCs/>
                          <w:sz w:val="20"/>
                          <w:szCs w:val="20"/>
                        </w:rPr>
                        <w:t>Obstacles institutionnels</w:t>
                      </w:r>
                    </w:p>
                    <w:p w14:paraId="6AFDE717" w14:textId="77777777" w:rsidR="00A41CE6" w:rsidRDefault="00A41CE6" w:rsidP="00A41CE6">
                      <w:pPr>
                        <w:rPr>
                          <w:rFonts w:eastAsiaTheme="minorEastAsia"/>
                        </w:rPr>
                      </w:pPr>
                      <w:r>
                        <w:t xml:space="preserve">Critères discriminants dans les processus de prise de décision concernant le rationnement des soins de santé, non fondés sur le pronostic individuel mais sur des préjugés concernant la qualité ou la valeur de la vie </w:t>
                      </w:r>
                    </w:p>
                    <w:p w14:paraId="29975EC2" w14:textId="77777777" w:rsidR="00A41CE6" w:rsidRDefault="00A41CE6" w:rsidP="00A41CE6">
                      <w:r>
                        <w:t>Existence dans certains pays de politiques favorables au placement des personnes handicapées en institutions où les risques pour la santé et la protection sont plus élevés</w:t>
                      </w:r>
                    </w:p>
                    <w:p w14:paraId="2F1B06A1" w14:textId="77777777" w:rsidR="00A41CE6" w:rsidRDefault="00A41CE6" w:rsidP="00A41CE6"/>
                    <w:p w14:paraId="3ADA1346" w14:textId="77777777" w:rsidR="00A41CE6" w:rsidRPr="00BA5CC2" w:rsidRDefault="00A41CE6" w:rsidP="00A41CE6"/>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14:anchorId="7DAFB827" wp14:editId="0515F5CD">
                <wp:simplePos x="0" y="0"/>
                <wp:positionH relativeFrom="margin">
                  <wp:posOffset>2876550</wp:posOffset>
                </wp:positionH>
                <wp:positionV relativeFrom="paragraph">
                  <wp:posOffset>334266</wp:posOffset>
                </wp:positionV>
                <wp:extent cx="190500" cy="254000"/>
                <wp:effectExtent l="19050" t="0" r="19050" b="31750"/>
                <wp:wrapSquare wrapText="bothSides"/>
                <wp:docPr id="6" name="Arrow: Down 6"/>
                <wp:cNvGraphicFramePr/>
                <a:graphic xmlns:a="http://schemas.openxmlformats.org/drawingml/2006/main">
                  <a:graphicData uri="http://schemas.microsoft.com/office/word/2010/wordprocessingShape">
                    <wps:wsp>
                      <wps:cNvSpPr/>
                      <wps:spPr>
                        <a:xfrm>
                          <a:off x="0" y="0"/>
                          <a:ext cx="190500" cy="254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524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style="position:absolute;margin-left:226.5pt;margin-top:26.3pt;width:15pt;height:2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" adj="13500" fillcolor="#4472c4" strokecolor="#2f528f" strokeweight="1pt">
                <w10:wrap type="square" anchorx="margin"/>
              </v:shape>
            </w:pict>
          </mc:Fallback>
        </mc:AlternateContent>
      </w:r>
    </w:p>
    <w:p w14:paraId="7D23FA2A" w14:textId="5DC0A035" w:rsidR="00A41CE6" w:rsidRDefault="00BA5DDE" w:rsidP="00A41CE6">
      <w:pPr>
        <w:rPr>
          <w:rFonts w:eastAsiaTheme="minorEastAsia"/>
        </w:rPr>
      </w:pPr>
      <w:r>
        <w:rPr>
          <w:noProof/>
        </w:rPr>
        <mc:AlternateContent>
          <mc:Choice Requires="wps">
            <w:drawing>
              <wp:anchor distT="0" distB="0" distL="114300" distR="114300" simplePos="0" relativeHeight="251662336" behindDoc="0" locked="0" layoutInCell="1" allowOverlap="1" wp14:anchorId="08595924" wp14:editId="2DF1598E">
                <wp:simplePos x="0" y="0"/>
                <wp:positionH relativeFrom="margin">
                  <wp:posOffset>2854799</wp:posOffset>
                </wp:positionH>
                <wp:positionV relativeFrom="paragraph">
                  <wp:posOffset>3417494</wp:posOffset>
                </wp:positionV>
                <wp:extent cx="241300" cy="311150"/>
                <wp:effectExtent l="19050" t="0" r="25400" b="31750"/>
                <wp:wrapNone/>
                <wp:docPr id="7" name="Arrow: Down 7"/>
                <wp:cNvGraphicFramePr/>
                <a:graphic xmlns:a="http://schemas.openxmlformats.org/drawingml/2006/main">
                  <a:graphicData uri="http://schemas.microsoft.com/office/word/2010/wordprocessingShape">
                    <wps:wsp>
                      <wps:cNvSpPr/>
                      <wps:spPr>
                        <a:xfrm>
                          <a:off x="0" y="0"/>
                          <a:ext cx="241300" cy="3111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44C82" id="Arrow: Down 7" o:spid="_x0000_s1026" type="#_x0000_t67" style="position:absolute;margin-left:224.8pt;margin-top:269.1pt;width:19pt;height:2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" adj="13224" fillcolor="#4472c4" strokecolor="#2f528f" strokeweight="1pt">
                <w10:wrap anchorx="margin"/>
              </v:shape>
            </w:pict>
          </mc:Fallback>
        </mc:AlternateContent>
      </w:r>
    </w:p>
    <w:p w14:paraId="684124BA" w14:textId="42FA88DC" w:rsidR="00A41CE6" w:rsidRDefault="00BA5DDE" w:rsidP="00A41CE6">
      <w:pPr>
        <w:rPr>
          <w:rFonts w:eastAsiaTheme="minorEastAsia"/>
          <w:lang w:eastAsia="zh-CN"/>
        </w:rPr>
      </w:pPr>
      <w:r>
        <w:rPr>
          <w:noProof/>
        </w:rPr>
        <mc:AlternateContent>
          <mc:Choice Requires="wps">
            <w:drawing>
              <wp:anchor distT="45720" distB="45720" distL="114300" distR="114300" simplePos="0" relativeHeight="251663360" behindDoc="0" locked="0" layoutInCell="1" allowOverlap="1" wp14:anchorId="6318606C" wp14:editId="2061283B">
                <wp:simplePos x="0" y="0"/>
                <wp:positionH relativeFrom="margin">
                  <wp:align>center</wp:align>
                </wp:positionH>
                <wp:positionV relativeFrom="paragraph">
                  <wp:posOffset>267060</wp:posOffset>
                </wp:positionV>
                <wp:extent cx="5890260" cy="1404620"/>
                <wp:effectExtent l="0" t="0" r="152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404620"/>
                        </a:xfrm>
                        <a:prstGeom prst="rect">
                          <a:avLst/>
                        </a:prstGeom>
                        <a:solidFill>
                          <a:sysClr val="window" lastClr="FFFFFF">
                            <a:lumMod val="95000"/>
                          </a:sysClr>
                        </a:solidFill>
                        <a:ln w="9525">
                          <a:solidFill>
                            <a:srgbClr val="000000"/>
                          </a:solidFill>
                          <a:miter lim="800000"/>
                          <a:headEnd/>
                          <a:tailEnd/>
                        </a:ln>
                      </wps:spPr>
                      <wps:txbx>
                        <w:txbxContent>
                          <w:p w14:paraId="4A45FF8D" w14:textId="77777777" w:rsidR="00A41CE6" w:rsidRPr="00786675" w:rsidRDefault="00A41CE6" w:rsidP="00A41CE6">
                            <w:pPr>
                              <w:jc w:val="center"/>
                              <w:rPr>
                                <w:b/>
                                <w:bCs/>
                                <w:color w:val="44546A" w:themeColor="text2"/>
                              </w:rPr>
                            </w:pPr>
                            <w:r>
                              <w:rPr>
                                <w:b/>
                                <w:bCs/>
                                <w:color w:val="44546A" w:themeColor="text2"/>
                              </w:rPr>
                              <w:t>Risques pour les personnes handicapées</w:t>
                            </w:r>
                          </w:p>
                          <w:p w14:paraId="7A699C43" w14:textId="77777777" w:rsidR="00A41CE6" w:rsidRDefault="00A41CE6" w:rsidP="00A41CE6">
                            <w:r>
                              <w:t>Exposition plus importante, dépistage tardif, accès limité aux traitements et aux soins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18606C" id="_x0000_s1028" type="#_x0000_t202" style="position:absolute;margin-left:0;margin-top:21.05pt;width:463.8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" fillcolor="#f2f2f2">
                <v:textbox style="mso-fit-shape-to-text:t">
                  <w:txbxContent>
                    <w:p w14:paraId="4A45FF8D" w14:textId="77777777" w:rsidR="00A41CE6" w:rsidRPr="00786675" w:rsidRDefault="00A41CE6" w:rsidP="00A41CE6">
                      <w:pPr>
                        <w:jc w:val="center"/>
                        <w:rPr>
                          <w:b/>
                          <w:bCs/>
                          <w:color w:val="44546A" w:themeColor="text2"/>
                        </w:rPr>
                      </w:pPr>
                      <w:r>
                        <w:rPr>
                          <w:b/>
                          <w:bCs/>
                          <w:color w:val="44546A" w:themeColor="text2"/>
                        </w:rPr>
                        <w:t>Risques pour les personnes handicapées</w:t>
                      </w:r>
                    </w:p>
                    <w:p w14:paraId="7A699C43" w14:textId="77777777" w:rsidR="00A41CE6" w:rsidRDefault="00A41CE6" w:rsidP="00A41CE6">
                      <w:r>
                        <w:t>Exposition plus importante, dépistage tardif, accès limité aux traitements et aux soins</w:t>
                      </w:r>
                    </w:p>
                  </w:txbxContent>
                </v:textbox>
                <w10:wrap type="square" anchorx="margin"/>
              </v:shape>
            </w:pict>
          </mc:Fallback>
        </mc:AlternateContent>
      </w:r>
    </w:p>
    <w:p w14:paraId="262ADCFF" w14:textId="77777777" w:rsidR="00426776" w:rsidRDefault="00A41CE6" w:rsidP="00A41CE6">
      <w:pPr>
        <w:rPr>
          <w:rFonts w:eastAsiaTheme="minorEastAsia"/>
        </w:rPr>
      </w:pPr>
      <w:r>
        <w:t xml:space="preserve">Les personnes handicapées courent également plus de risque de contracter la COVID-19, car elles sont dépendantes d’une aide manuelle pour les tâches quotidiennes, utilisent des surfaces tactiles pour communiquer et se déplacer, sont souvent exposées en raison de l’utilisation d’appareils de mobilité, et parce qu’il est difficile pour certaines de comprendre l’éloignement physique et la nécessité de ne pas se toucher le visage. </w:t>
      </w:r>
    </w:p>
    <w:p w14:paraId="556CEBEA" w14:textId="77777777" w:rsidR="00A41CE6" w:rsidRPr="00233463" w:rsidRDefault="00426776" w:rsidP="00A41CE6">
      <w:pPr>
        <w:rPr>
          <w:rFonts w:eastAsiaTheme="minorEastAsia"/>
        </w:rPr>
      </w:pPr>
      <w:r>
        <w:lastRenderedPageBreak/>
        <w:t>Selon les éventuels problèmes de santé sous-jacents dont elles souffrent, si elles sont infectées par le virus, les personnes handicapées peuvent courir un risque accru de développer une forme grave de la maladie</w:t>
      </w:r>
      <w:r w:rsidRPr="000C34BF">
        <w:rPr>
          <w:rStyle w:val="FootnoteReference"/>
          <w:rFonts w:eastAsiaTheme="minorEastAsia"/>
          <w:lang w:eastAsia="zh-CN"/>
        </w:rPr>
        <w:footnoteReference w:id="3"/>
      </w:r>
      <w:r>
        <w:t>. En outre, 46 % des personnes âgées de plus de 60 ans – pour qui le risque de développer une forme grave de la maladie est plus élevé – sont touchées par un handicap</w:t>
      </w:r>
      <w:r w:rsidR="00A41CE6">
        <w:rPr>
          <w:rStyle w:val="FootnoteReference"/>
          <w:rFonts w:eastAsiaTheme="minorEastAsia"/>
          <w:lang w:eastAsia="zh-CN"/>
        </w:rPr>
        <w:footnoteReference w:id="4"/>
      </w:r>
      <w:r>
        <w:t xml:space="preserve">. </w:t>
      </w:r>
    </w:p>
    <w:p w14:paraId="4EA36293" w14:textId="77777777" w:rsidR="00426776" w:rsidRDefault="00426776" w:rsidP="00A41CE6">
      <w:pPr>
        <w:rPr>
          <w:rFonts w:eastAsiaTheme="minorEastAsia"/>
          <w:b/>
          <w:bCs/>
          <w:color w:val="C00000"/>
          <w:sz w:val="24"/>
          <w:szCs w:val="24"/>
          <w:lang w:eastAsia="zh-CN"/>
        </w:rPr>
      </w:pPr>
    </w:p>
    <w:p w14:paraId="6D0970D3" w14:textId="77777777" w:rsidR="00A41CE6" w:rsidRPr="00BE76B7" w:rsidRDefault="00A41CE6" w:rsidP="00A41CE6">
      <w:pPr>
        <w:rPr>
          <w:rFonts w:eastAsiaTheme="minorEastAsia"/>
          <w:b/>
          <w:bCs/>
          <w:color w:val="C00000"/>
          <w:sz w:val="24"/>
          <w:szCs w:val="24"/>
        </w:rPr>
      </w:pPr>
      <w:r>
        <w:rPr>
          <w:b/>
          <w:bCs/>
          <w:color w:val="C00000"/>
          <w:sz w:val="24"/>
          <w:szCs w:val="24"/>
        </w:rPr>
        <w:t>Mesures clés à prendre pour lutter contre les conséquences sanitaires de la pandémie</w:t>
      </w:r>
    </w:p>
    <w:p w14:paraId="1E3A3D2D" w14:textId="77777777" w:rsidR="00A41CE6" w:rsidRPr="00CB4D53" w:rsidRDefault="00A41CE6" w:rsidP="00A41CE6">
      <w:pPr>
        <w:rPr>
          <w:b/>
          <w:bCs/>
        </w:rPr>
      </w:pPr>
      <w:r>
        <w:rPr>
          <w:b/>
          <w:bCs/>
        </w:rPr>
        <w:t>Participation</w:t>
      </w:r>
    </w:p>
    <w:p w14:paraId="3B4997D4" w14:textId="77777777" w:rsidR="00A41CE6" w:rsidRPr="00CB4D53" w:rsidRDefault="00A41CE6" w:rsidP="00A41CE6">
      <w:pPr>
        <w:pStyle w:val="ListParagraph"/>
        <w:numPr>
          <w:ilvl w:val="0"/>
          <w:numId w:val="4"/>
        </w:numPr>
        <w:spacing w:before="240"/>
        <w:rPr>
          <w:rFonts w:eastAsiaTheme="minorEastAsia"/>
        </w:rPr>
      </w:pPr>
      <w:r>
        <w:t>Inviter les personnes handicapées et les organisations qui les représentent</w:t>
      </w:r>
      <w:r>
        <w:rPr>
          <w:rStyle w:val="FootnoteReference"/>
          <w:rFonts w:eastAsiaTheme="minorEastAsia"/>
          <w:lang w:eastAsia="zh-CN"/>
        </w:rPr>
        <w:footnoteReference w:id="5"/>
      </w:r>
      <w:r>
        <w:t xml:space="preserve"> à participer à l’élaboration des plans de préparation et de riposte à l’épidémie de COVID-19, notamment grâce à l’évaluation des risques et des possibilités pour les limiter, et assurer l’accessibilité des interventions de santé publique (y compris les établissements identifiés et les systèmes d’orientation mis en place pour le dépistage, l’isolement et le traitement ainsi que la communication sur les risques et les installations d’EAH)</w:t>
      </w:r>
    </w:p>
    <w:p w14:paraId="11526780" w14:textId="77777777" w:rsidR="00A41CE6" w:rsidRPr="00CB4D53" w:rsidRDefault="00A41CE6" w:rsidP="00A41CE6">
      <w:pPr>
        <w:rPr>
          <w:b/>
          <w:bCs/>
        </w:rPr>
      </w:pPr>
      <w:r>
        <w:rPr>
          <w:b/>
          <w:bCs/>
        </w:rPr>
        <w:t>Lutter contre les obstacles</w:t>
      </w:r>
    </w:p>
    <w:p w14:paraId="215957EB" w14:textId="77777777" w:rsidR="00A41CE6" w:rsidRPr="00EC393A" w:rsidRDefault="00A41CE6" w:rsidP="00A41CE6">
      <w:pPr>
        <w:pStyle w:val="ListParagraph"/>
        <w:numPr>
          <w:ilvl w:val="0"/>
          <w:numId w:val="3"/>
        </w:numPr>
        <w:rPr>
          <w:rFonts w:eastAsiaTheme="minorEastAsia"/>
        </w:rPr>
      </w:pPr>
      <w:r>
        <w:t>Veiller à ce que toutes les installations et tous les services d’EAH, y compris les installations de lavage des mains, soient accessibles aux hommes et aux femmes, aux garçons et aux filles présentant un handicap, quel que soit leur âge ou le type de handicap dont ils souffrent. Envisager la mise à disposition de produits d’hygiène supplémentaires ou spécifiques pour les personnes handicapées afin d’améliorer le lavage des mains, et la mise à disposition d’installations d’EAH dans les foyers lorsque c’est possible</w:t>
      </w:r>
    </w:p>
    <w:p w14:paraId="7B8E919B" w14:textId="77777777" w:rsidR="00A41CE6" w:rsidRPr="000D04FC" w:rsidRDefault="00A41CE6" w:rsidP="00A41CE6">
      <w:pPr>
        <w:pStyle w:val="ListParagraph"/>
        <w:numPr>
          <w:ilvl w:val="0"/>
          <w:numId w:val="3"/>
        </w:numPr>
      </w:pPr>
      <w:r>
        <w:t>Envisager de proposer une aide ciblée aux personnes exposées à un risque plus élevé afin de leur permettre de prendre des mesures préventives (par exemple, aide au logement permettant un éloignement physique pour les personnes qui vivent dans des milieux surpeuplés, fourniture de masques</w:t>
      </w:r>
      <w:r>
        <w:rPr>
          <w:rStyle w:val="FootnoteReference"/>
          <w:rFonts w:eastAsiaTheme="minorEastAsia"/>
          <w:lang w:eastAsia="zh-CN"/>
        </w:rPr>
        <w:footnoteReference w:id="6"/>
      </w:r>
      <w:r>
        <w:t xml:space="preserve"> lorsque l’éloignement physique n’est pas possible). Veiller à ce que le panier minimal de services créé lorsque des restrictions d’accès étaient en place tienne compte des hommes et des femmes handicapés quels que soient leur âge et le type de handicap dont ils souffrent.</w:t>
      </w:r>
    </w:p>
    <w:p w14:paraId="2774F334" w14:textId="33BEC0C9" w:rsidR="00A41CE6" w:rsidRPr="0013726F" w:rsidRDefault="00A41CE6" w:rsidP="00A41CE6">
      <w:pPr>
        <w:pStyle w:val="ListParagraph"/>
        <w:numPr>
          <w:ilvl w:val="0"/>
          <w:numId w:val="3"/>
        </w:numPr>
      </w:pPr>
      <w:r>
        <w:t xml:space="preserve">Proposer des </w:t>
      </w:r>
      <w:r w:rsidR="00863647">
        <w:t xml:space="preserve">modalités </w:t>
      </w:r>
      <w:r>
        <w:t xml:space="preserve">différentes pour la distribution de produits alimentaires et non alimentaires aux foyers des personnes handicapées afin de leur permettre de pratiquer l’éloignement physique (par exemple, livraison dans le logement) </w:t>
      </w:r>
    </w:p>
    <w:p w14:paraId="4CA2CA29" w14:textId="37F69CB0" w:rsidR="00A41CE6" w:rsidRPr="00DB256F" w:rsidRDefault="00A41CE6" w:rsidP="00A41CE6">
      <w:pPr>
        <w:pStyle w:val="ListParagraph"/>
        <w:numPr>
          <w:ilvl w:val="0"/>
          <w:numId w:val="3"/>
        </w:numPr>
        <w:rPr>
          <w:rFonts w:eastAsiaTheme="minorEastAsia"/>
        </w:rPr>
      </w:pPr>
      <w:r>
        <w:t xml:space="preserve">Veiller à ce que toutes les informations soient fournies dans plusieurs formats accessibles pour </w:t>
      </w:r>
      <w:r w:rsidR="00863647">
        <w:t xml:space="preserve">atteindre </w:t>
      </w:r>
      <w:r>
        <w:t xml:space="preserve">les personnes souffrant d’une déficience visuelle, auditive ou intellectuelle. Les informations accessibles peuvent être diffusées sur tous les types de supports et être présentées en langues des signes, dans un format facile à lire et à comprendre, au format audio, </w:t>
      </w:r>
      <w:r>
        <w:lastRenderedPageBreak/>
        <w:t>sous forme de ressource sous-titrée, en braille, ou grâce à la communication améliorée et alternative. Les informations doivent également être adaptées à l’âge et présentées dans les langues utilisées par les communautés touchées</w:t>
      </w:r>
    </w:p>
    <w:p w14:paraId="1C32708C" w14:textId="0AE5D239" w:rsidR="00A41CE6" w:rsidRPr="000D04FC" w:rsidRDefault="00A41CE6" w:rsidP="00A41CE6">
      <w:pPr>
        <w:pStyle w:val="ListParagraph"/>
        <w:numPr>
          <w:ilvl w:val="0"/>
          <w:numId w:val="3"/>
        </w:numPr>
        <w:rPr>
          <w:rFonts w:eastAsiaTheme="minorEastAsia"/>
        </w:rPr>
      </w:pPr>
      <w:r>
        <w:t xml:space="preserve">Alors que la communication et la prestation de services (y compris la télémédecine) font de plus en plus appel aux nouvelles technologies, tenez compte des obstacles spécifiques auxquels sont confrontées les personnes handicapées en contexte humanitaire, y compris les personnes âgées ou les habitants des zones rurales dont l’expérience des technologies peut s’avérer plus limitée </w:t>
      </w:r>
    </w:p>
    <w:p w14:paraId="561462AE" w14:textId="15A3156B" w:rsidR="00A41CE6" w:rsidRDefault="00A41CE6" w:rsidP="00A41CE6">
      <w:pPr>
        <w:pStyle w:val="ListParagraph"/>
        <w:numPr>
          <w:ilvl w:val="0"/>
          <w:numId w:val="3"/>
        </w:numPr>
        <w:rPr>
          <w:rFonts w:eastAsiaTheme="minorEastAsia"/>
        </w:rPr>
      </w:pPr>
      <w:r>
        <w:t xml:space="preserve">Veiller à ce que les installations de dépistage, d’isolement, de traitement et les infrastructures destinées à d’autres services mises en place dans le cadre de la lutte contre la COVID-19 soient accessibles aux personnes handicapées, y compris </w:t>
      </w:r>
      <w:r w:rsidR="006F5A10">
        <w:t xml:space="preserve">à </w:t>
      </w:r>
      <w:r>
        <w:t xml:space="preserve">celles qui vivent dans des lieux reculés ou défavorisés. Il s’agit notamment d’assurer l’accessibilité des moyens de communication avec les membres d’une famille séparés et d’autres personnes apportant leur soutien </w:t>
      </w:r>
    </w:p>
    <w:p w14:paraId="671A9369" w14:textId="77777777" w:rsidR="00A41CE6" w:rsidRDefault="00A41CE6" w:rsidP="00A41CE6">
      <w:pPr>
        <w:pStyle w:val="ListParagraph"/>
        <w:numPr>
          <w:ilvl w:val="0"/>
          <w:numId w:val="3"/>
        </w:numPr>
        <w:rPr>
          <w:rFonts w:eastAsiaTheme="minorEastAsia"/>
        </w:rPr>
      </w:pPr>
      <w:r>
        <w:t>Veiller à ce que les femmes et les filles handicapées aient toujours accès aux services de santé sexuelle et procréative. Il s’agit notamment de s’assurer que les services à distance ou les services de remplacement sont accessibles</w:t>
      </w:r>
    </w:p>
    <w:p w14:paraId="01961A0F" w14:textId="77777777" w:rsidR="00A41CE6" w:rsidRPr="00EC393A" w:rsidRDefault="00A41CE6" w:rsidP="00A41CE6">
      <w:pPr>
        <w:pStyle w:val="ListParagraph"/>
        <w:numPr>
          <w:ilvl w:val="0"/>
          <w:numId w:val="3"/>
        </w:numPr>
      </w:pPr>
      <w:r>
        <w:t>Prévoir une aide personnelle au cas où la personne qui s’occupe de l’individu handicapé ou qui l’aide serait mise en quarantaine ou concernée par des mesures de confinement dues à la COVID-19</w:t>
      </w:r>
    </w:p>
    <w:p w14:paraId="76726F0A" w14:textId="77777777" w:rsidR="00A41CE6" w:rsidRDefault="00A41CE6" w:rsidP="00A41CE6">
      <w:pPr>
        <w:pStyle w:val="ListParagraph"/>
        <w:numPr>
          <w:ilvl w:val="0"/>
          <w:numId w:val="3"/>
        </w:numPr>
      </w:pPr>
      <w:r>
        <w:t>Collaborer avec les prestataires de service concernés pour assurer l’accès à des équipements de protection individuelle adaptés aux risques et aux différents types de handicaps, et pour veiller à ce que le personnel des services de protection sociale soit formé à la prévention et à la lutte contre les infections</w:t>
      </w:r>
    </w:p>
    <w:p w14:paraId="1F1AB850" w14:textId="02656B92" w:rsidR="00A41CE6" w:rsidRDefault="00A41CE6" w:rsidP="00A41CE6">
      <w:pPr>
        <w:pStyle w:val="ListParagraph"/>
        <w:numPr>
          <w:ilvl w:val="0"/>
          <w:numId w:val="3"/>
        </w:numPr>
        <w:rPr>
          <w:rFonts w:eastAsiaTheme="minorEastAsia"/>
        </w:rPr>
      </w:pPr>
      <w:r>
        <w:t xml:space="preserve">Veiller à ce que les institutions et les lieux de soin </w:t>
      </w:r>
      <w:r w:rsidR="000503FD">
        <w:t>soient inclus dans toute</w:t>
      </w:r>
      <w:r>
        <w:t xml:space="preserve"> distribution de produits d’hygiène, et s’assurer que ces produits sont adaptés aux femmes</w:t>
      </w:r>
    </w:p>
    <w:p w14:paraId="5F1DA6CF" w14:textId="77777777" w:rsidR="00A41CE6" w:rsidRPr="008C2BD9" w:rsidRDefault="00A41CE6" w:rsidP="00A41CE6">
      <w:pPr>
        <w:pStyle w:val="ListParagraph"/>
        <w:numPr>
          <w:ilvl w:val="0"/>
          <w:numId w:val="3"/>
        </w:numPr>
        <w:rPr>
          <w:rFonts w:eastAsiaTheme="minorEastAsia"/>
        </w:rPr>
      </w:pPr>
      <w:r>
        <w:t>Collaborer avec les prestataires de services pour assurer la continuité des services essentiels et la disponibilité des produits figurant sur la liste des médicaments essentiels de l’OMS</w:t>
      </w:r>
    </w:p>
    <w:p w14:paraId="0F95338F" w14:textId="77777777" w:rsidR="00A41CE6" w:rsidRDefault="00A41CE6" w:rsidP="00A41CE6">
      <w:pPr>
        <w:pStyle w:val="ListParagraph"/>
        <w:numPr>
          <w:ilvl w:val="0"/>
          <w:numId w:val="3"/>
        </w:numPr>
        <w:rPr>
          <w:rFonts w:eastAsiaTheme="minorEastAsia"/>
        </w:rPr>
      </w:pPr>
      <w:r>
        <w:t>Veiller à ce que tous les soins soient prodigués dans le respect du consentement éclairé des malades, y compris pour les personnes souffrant d’un handicap intellectuel ou psychosocial. Par exemple, fournir les informations concernant les options thérapeutiques dans des formats accessibles, y compris dans un format facile à lire</w:t>
      </w:r>
    </w:p>
    <w:p w14:paraId="69E7BF0D" w14:textId="77777777" w:rsidR="00A41CE6" w:rsidRPr="00CB4D53" w:rsidRDefault="00A41CE6" w:rsidP="00A41CE6">
      <w:pPr>
        <w:pStyle w:val="ListParagraph"/>
        <w:numPr>
          <w:ilvl w:val="0"/>
          <w:numId w:val="3"/>
        </w:numPr>
        <w:rPr>
          <w:rFonts w:eastAsiaTheme="minorEastAsia"/>
        </w:rPr>
      </w:pPr>
      <w:r>
        <w:t>Agir auprès des autorités compétentes pour que les décisions relatives au rationnement des soins de santé, notamment en cas de triage, soient prises en fonction de critères cliniques et non de critères discriminants tels que l’âge ou des préjugés concernant la qualité ou la valeur de la vie selon le handicap</w:t>
      </w:r>
    </w:p>
    <w:p w14:paraId="7A994836" w14:textId="77777777" w:rsidR="00A41CE6" w:rsidRPr="00CB4D53" w:rsidRDefault="00A41CE6" w:rsidP="00A41CE6">
      <w:pPr>
        <w:rPr>
          <w:b/>
          <w:bCs/>
        </w:rPr>
      </w:pPr>
      <w:r>
        <w:rPr>
          <w:b/>
          <w:bCs/>
        </w:rPr>
        <w:t>Autonomisation et développement des capacités</w:t>
      </w:r>
    </w:p>
    <w:p w14:paraId="65742E6F" w14:textId="77777777" w:rsidR="00A41CE6" w:rsidRDefault="00A41CE6" w:rsidP="00A41CE6">
      <w:pPr>
        <w:pStyle w:val="ListParagraph"/>
        <w:numPr>
          <w:ilvl w:val="0"/>
          <w:numId w:val="5"/>
        </w:numPr>
      </w:pPr>
      <w:r>
        <w:t xml:space="preserve">Former les agents de santé communautaires, les prestataires de services médicaux, les équipes de protection de l’enfance, le personnel enseignant et d’autres professionnels participant à la lutte contre la COVID-19 aux normes d’accessibilité et à la communication efficace avec les personnes handicapées </w:t>
      </w:r>
    </w:p>
    <w:p w14:paraId="35264B0A" w14:textId="77777777" w:rsidR="00A41CE6" w:rsidRPr="00CB4D53" w:rsidRDefault="00A41CE6" w:rsidP="00756E63">
      <w:pPr>
        <w:keepNext/>
        <w:rPr>
          <w:b/>
          <w:bCs/>
        </w:rPr>
      </w:pPr>
      <w:r>
        <w:rPr>
          <w:b/>
          <w:bCs/>
        </w:rPr>
        <w:lastRenderedPageBreak/>
        <w:t>Collecte des données et suivi</w:t>
      </w:r>
    </w:p>
    <w:p w14:paraId="19199BFF" w14:textId="77777777" w:rsidR="00A41CE6" w:rsidRDefault="00A41CE6" w:rsidP="00A41CE6">
      <w:pPr>
        <w:pStyle w:val="ListParagraph"/>
        <w:numPr>
          <w:ilvl w:val="0"/>
          <w:numId w:val="4"/>
        </w:numPr>
        <w:spacing w:before="240"/>
        <w:rPr>
          <w:rFonts w:eastAsiaTheme="minorEastAsia"/>
        </w:rPr>
      </w:pPr>
      <w:r>
        <w:t>Veiller à ce que toutes les évaluations des besoins et des risques dans le cadre de la pandémie de COVID-19 tiennent compte des facteurs de risques particuliers des hommes, femmes, garçons et filles handicapés quels que soient leur âge et leur handicap. Pour cela, une adaptation des méthodologies d’évaluation actuelles sera peut-être nécessaire afin d’assurer l’accessibilité des ressources et la mobilisation des personnes handicapées</w:t>
      </w:r>
    </w:p>
    <w:p w14:paraId="0682458E" w14:textId="07DC63DC" w:rsidR="00A41CE6" w:rsidRPr="004D7C5D" w:rsidRDefault="00A41CE6" w:rsidP="00A41CE6">
      <w:pPr>
        <w:pStyle w:val="ListParagraph"/>
        <w:numPr>
          <w:ilvl w:val="0"/>
          <w:numId w:val="4"/>
        </w:numPr>
        <w:spacing w:before="240" w:after="0"/>
        <w:rPr>
          <w:rFonts w:eastAsiaTheme="minorEastAsia"/>
          <w:b/>
          <w:bCs/>
        </w:rPr>
      </w:pPr>
      <w:r>
        <w:t xml:space="preserve">Encourager la ventilation des données de surveillance par sexe, âge et handicap. Favoriser l’analyse des données et inciter à leur utilisation pour des prises de décisions fondées sur des </w:t>
      </w:r>
      <w:r w:rsidR="00B14B24">
        <w:t>données probantes</w:t>
      </w:r>
    </w:p>
    <w:p w14:paraId="4EB309BD" w14:textId="77777777" w:rsidR="00A41CE6" w:rsidRPr="004D7C5D" w:rsidRDefault="00A41CE6" w:rsidP="00A41CE6">
      <w:pPr>
        <w:pStyle w:val="ListParagraph"/>
        <w:spacing w:before="240" w:after="0"/>
        <w:rPr>
          <w:rFonts w:eastAsiaTheme="minorEastAsia"/>
          <w:b/>
          <w:bCs/>
          <w:lang w:eastAsia="zh-CN"/>
        </w:rPr>
      </w:pPr>
    </w:p>
    <w:p w14:paraId="4589777E" w14:textId="5BF051EC" w:rsidR="00A41CE6" w:rsidRDefault="002E3957" w:rsidP="00A41CE6">
      <w:pPr>
        <w:pStyle w:val="ListParagraph"/>
        <w:numPr>
          <w:ilvl w:val="0"/>
          <w:numId w:val="2"/>
        </w:numPr>
        <w:ind w:left="284" w:hanging="284"/>
      </w:pPr>
      <w:r>
        <w:rPr>
          <w:noProof/>
        </w:rPr>
        <mc:AlternateContent>
          <mc:Choice Requires="wps">
            <w:drawing>
              <wp:anchor distT="45720" distB="45720" distL="114300" distR="114300" simplePos="0" relativeHeight="251665408" behindDoc="0" locked="0" layoutInCell="1" allowOverlap="1" wp14:anchorId="0C441686" wp14:editId="520F6450">
                <wp:simplePos x="0" y="0"/>
                <wp:positionH relativeFrom="margin">
                  <wp:align>right</wp:align>
                </wp:positionH>
                <wp:positionV relativeFrom="paragraph">
                  <wp:posOffset>552583</wp:posOffset>
                </wp:positionV>
                <wp:extent cx="5956300" cy="2722245"/>
                <wp:effectExtent l="0" t="0" r="25400"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2722729"/>
                        </a:xfrm>
                        <a:prstGeom prst="rect">
                          <a:avLst/>
                        </a:prstGeom>
                        <a:solidFill>
                          <a:srgbClr val="FFC000">
                            <a:lumMod val="20000"/>
                            <a:lumOff val="80000"/>
                          </a:srgbClr>
                        </a:solidFill>
                        <a:ln w="9525">
                          <a:solidFill>
                            <a:srgbClr val="000000"/>
                          </a:solidFill>
                          <a:miter lim="800000"/>
                          <a:headEnd/>
                          <a:tailEnd/>
                        </a:ln>
                      </wps:spPr>
                      <wps:txbx>
                        <w:txbxContent>
                          <w:p w14:paraId="53C98A36" w14:textId="77777777" w:rsidR="00A41CE6" w:rsidRPr="00C13001" w:rsidRDefault="00A41CE6" w:rsidP="00A41CE6">
                            <w:pPr>
                              <w:jc w:val="center"/>
                              <w:rPr>
                                <w:b/>
                                <w:bCs/>
                                <w:color w:val="44546A" w:themeColor="text2"/>
                              </w:rPr>
                            </w:pPr>
                            <w:r>
                              <w:rPr>
                                <w:b/>
                                <w:bCs/>
                                <w:color w:val="44546A" w:themeColor="text2"/>
                              </w:rPr>
                              <w:t>Conséquences sociales et économiques de la crise pour tous</w:t>
                            </w:r>
                          </w:p>
                          <w:p w14:paraId="75C80CC9" w14:textId="77777777" w:rsidR="00A41CE6" w:rsidRDefault="00A41CE6" w:rsidP="00A41CE6">
                            <w:pPr>
                              <w:rPr>
                                <w:rFonts w:eastAsiaTheme="minorEastAsia"/>
                              </w:rPr>
                            </w:pPr>
                            <w:r>
                              <w:t>Violence, exploitation et abus, y compris violences liées au genre, dus aux contraintes économiques plus importantes auxquelles sont confrontées les familles par ailleurs obligées de passer une période prolongée en isolement et dans des espaces confinés</w:t>
                            </w:r>
                          </w:p>
                          <w:p w14:paraId="169F6CB0" w14:textId="77777777" w:rsidR="00A41CE6" w:rsidRDefault="00A41CE6" w:rsidP="00A41CE6">
                            <w:pPr>
                              <w:rPr>
                                <w:rFonts w:eastAsiaTheme="minorEastAsia"/>
                              </w:rPr>
                            </w:pPr>
                            <w:r>
                              <w:t>Perturbation des services</w:t>
                            </w:r>
                          </w:p>
                          <w:p w14:paraId="7D19648A" w14:textId="77777777" w:rsidR="00A41CE6" w:rsidRDefault="00A41CE6" w:rsidP="00A41CE6">
                            <w:pPr>
                              <w:rPr>
                                <w:rFonts w:eastAsiaTheme="minorEastAsia"/>
                              </w:rPr>
                            </w:pPr>
                            <w:r>
                              <w:t>Fermeture des écoles et des crèches</w:t>
                            </w:r>
                          </w:p>
                          <w:p w14:paraId="523302B5" w14:textId="77777777" w:rsidR="00A41CE6" w:rsidRDefault="00A41CE6" w:rsidP="00A41CE6">
                            <w:pPr>
                              <w:rPr>
                                <w:rFonts w:eastAsiaTheme="minorEastAsia"/>
                              </w:rPr>
                            </w:pPr>
                            <w:r>
                              <w:t>Souffrance due à l’anxiété provoquée par la pandémie et l’isolement social</w:t>
                            </w:r>
                          </w:p>
                          <w:p w14:paraId="09FBCE45" w14:textId="77777777" w:rsidR="00A41CE6" w:rsidRDefault="00A41CE6" w:rsidP="00A41CE6">
                            <w:pPr>
                              <w:rPr>
                                <w:rFonts w:eastAsiaTheme="minorEastAsia"/>
                              </w:rPr>
                            </w:pPr>
                            <w:r>
                              <w:t>Difficultés financières liées à la réduction des sources de revenus, au fait que le chef de famille est malade et/ou à l’obligation de « rester chez soi » (avec des conséquences importantes sur les acteurs de l’économie informelle)</w:t>
                            </w:r>
                          </w:p>
                          <w:p w14:paraId="1C24F1DA" w14:textId="77777777" w:rsidR="00A41CE6" w:rsidRDefault="00A41CE6" w:rsidP="00A41CE6">
                            <w:pPr>
                              <w:rPr>
                                <w:rFonts w:eastAsiaTheme="minorEastAsia"/>
                              </w:rPr>
                            </w:pPr>
                            <w:r>
                              <w:t>Stigmatisation des individus touchés par la maladie</w:t>
                            </w:r>
                          </w:p>
                          <w:p w14:paraId="505F084B" w14:textId="77777777" w:rsidR="00A41CE6" w:rsidRDefault="00A41CE6" w:rsidP="00A41C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41686" id="_x0000_s1029" type="#_x0000_t202" style="position:absolute;left:0;text-align:left;margin-left:417.8pt;margin-top:43.5pt;width:469pt;height:214.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" fillcolor="#fff2cc">
                <v:textbox>
                  <w:txbxContent>
                    <w:p w14:paraId="53C98A36" w14:textId="77777777" w:rsidR="00A41CE6" w:rsidRPr="00C13001" w:rsidRDefault="00A41CE6" w:rsidP="00A41CE6">
                      <w:pPr>
                        <w:jc w:val="center"/>
                        <w:rPr>
                          <w:b/>
                          <w:bCs/>
                          <w:color w:val="44546A" w:themeColor="text2"/>
                        </w:rPr>
                      </w:pPr>
                      <w:r>
                        <w:rPr>
                          <w:b/>
                          <w:bCs/>
                          <w:color w:val="44546A" w:themeColor="text2"/>
                        </w:rPr>
                        <w:t>Conséquences sociales et économiques de la crise pour tous</w:t>
                      </w:r>
                    </w:p>
                    <w:p w14:paraId="75C80CC9" w14:textId="77777777" w:rsidR="00A41CE6" w:rsidRDefault="00A41CE6" w:rsidP="00A41CE6">
                      <w:pPr>
                        <w:rPr>
                          <w:rFonts w:eastAsiaTheme="minorEastAsia"/>
                        </w:rPr>
                      </w:pPr>
                      <w:r>
                        <w:t>Violence, exploitation et abus, y compris violences liées au genre, dus aux contraintes économiques plus importantes auxquelles sont confrontées les familles par ailleurs obligées de passer une période prolongée en isolement et dans des espaces confinés</w:t>
                      </w:r>
                    </w:p>
                    <w:p w14:paraId="169F6CB0" w14:textId="77777777" w:rsidR="00A41CE6" w:rsidRDefault="00A41CE6" w:rsidP="00A41CE6">
                      <w:pPr>
                        <w:rPr>
                          <w:rFonts w:eastAsiaTheme="minorEastAsia"/>
                        </w:rPr>
                      </w:pPr>
                      <w:r>
                        <w:t>Perturbation des services</w:t>
                      </w:r>
                    </w:p>
                    <w:p w14:paraId="7D19648A" w14:textId="77777777" w:rsidR="00A41CE6" w:rsidRDefault="00A41CE6" w:rsidP="00A41CE6">
                      <w:pPr>
                        <w:rPr>
                          <w:rFonts w:eastAsiaTheme="minorEastAsia"/>
                        </w:rPr>
                      </w:pPr>
                      <w:r>
                        <w:t>Fermeture des écoles et des crèches</w:t>
                      </w:r>
                    </w:p>
                    <w:p w14:paraId="523302B5" w14:textId="77777777" w:rsidR="00A41CE6" w:rsidRDefault="00A41CE6" w:rsidP="00A41CE6">
                      <w:pPr>
                        <w:rPr>
                          <w:rFonts w:eastAsiaTheme="minorEastAsia"/>
                        </w:rPr>
                      </w:pPr>
                      <w:r>
                        <w:t>Souffrance due à l’anxiété provoquée par la pandémie et l’isolement social</w:t>
                      </w:r>
                    </w:p>
                    <w:p w14:paraId="09FBCE45" w14:textId="77777777" w:rsidR="00A41CE6" w:rsidRDefault="00A41CE6" w:rsidP="00A41CE6">
                      <w:pPr>
                        <w:rPr>
                          <w:rFonts w:eastAsiaTheme="minorEastAsia"/>
                        </w:rPr>
                      </w:pPr>
                      <w:r>
                        <w:t>Difficultés financières liées à la réduction des sources de revenus, au fait que le chef de famille est malade et/ou à l’obligation de « rester chez soi » (avec des conséquences importantes sur les acteurs de l’économie informelle)</w:t>
                      </w:r>
                    </w:p>
                    <w:p w14:paraId="1C24F1DA" w14:textId="77777777" w:rsidR="00A41CE6" w:rsidRDefault="00A41CE6" w:rsidP="00A41CE6">
                      <w:pPr>
                        <w:rPr>
                          <w:rFonts w:eastAsiaTheme="minorEastAsia"/>
                        </w:rPr>
                      </w:pPr>
                      <w:r>
                        <w:t>Stigmatisation des individus touchés par la maladie</w:t>
                      </w:r>
                    </w:p>
                    <w:p w14:paraId="505F084B" w14:textId="77777777" w:rsidR="00A41CE6" w:rsidRDefault="00A41CE6" w:rsidP="00A41CE6"/>
                  </w:txbxContent>
                </v:textbox>
                <w10:wrap type="square" anchorx="margin"/>
              </v:shape>
            </w:pict>
          </mc:Fallback>
        </mc:AlternateContent>
      </w:r>
      <w:r w:rsidR="00A41CE6">
        <w:rPr>
          <w:b/>
          <w:bCs/>
          <w:sz w:val="28"/>
          <w:szCs w:val="28"/>
        </w:rPr>
        <w:t>Quelles sont les conséquences sociales et économiques de la pandémie sur les personnes handicapées ?</w:t>
      </w:r>
    </w:p>
    <w:p w14:paraId="45BA02D3" w14:textId="2D83B13D" w:rsidR="00A41CE6" w:rsidRDefault="002E3957">
      <w:r>
        <w:rPr>
          <w:noProof/>
        </w:rPr>
        <mc:AlternateContent>
          <mc:Choice Requires="wps">
            <w:drawing>
              <wp:anchor distT="0" distB="0" distL="114300" distR="114300" simplePos="0" relativeHeight="251667456" behindDoc="0" locked="0" layoutInCell="1" allowOverlap="1" wp14:anchorId="34CF4337" wp14:editId="3DED897A">
                <wp:simplePos x="0" y="0"/>
                <wp:positionH relativeFrom="margin">
                  <wp:posOffset>2721771</wp:posOffset>
                </wp:positionH>
                <wp:positionV relativeFrom="paragraph">
                  <wp:posOffset>3061857</wp:posOffset>
                </wp:positionV>
                <wp:extent cx="241300" cy="311150"/>
                <wp:effectExtent l="19050" t="0" r="25400" b="31750"/>
                <wp:wrapSquare wrapText="bothSides"/>
                <wp:docPr id="1" name="Arrow: Down 1"/>
                <wp:cNvGraphicFramePr/>
                <a:graphic xmlns:a="http://schemas.openxmlformats.org/drawingml/2006/main">
                  <a:graphicData uri="http://schemas.microsoft.com/office/word/2010/wordprocessingShape">
                    <wps:wsp>
                      <wps:cNvSpPr/>
                      <wps:spPr>
                        <a:xfrm>
                          <a:off x="0" y="0"/>
                          <a:ext cx="241300" cy="3111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C2B9F" id="Arrow: Down 1" o:spid="_x0000_s1026" type="#_x0000_t67" style="position:absolute;margin-left:214.3pt;margin-top:241.1pt;width:19pt;height:2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" adj="13224" fillcolor="#4472c4" strokecolor="#2f528f" strokeweight="1pt">
                <w10:wrap type="square" anchorx="margin"/>
              </v:shape>
            </w:pict>
          </mc:Fallback>
        </mc:AlternateContent>
      </w:r>
    </w:p>
    <w:p w14:paraId="0C0B41A1" w14:textId="7F055369" w:rsidR="00A41CE6" w:rsidRDefault="00CA2C0A">
      <w:r>
        <w:rPr>
          <w:noProof/>
        </w:rPr>
        <w:lastRenderedPageBreak/>
        <mc:AlternateContent>
          <mc:Choice Requires="wps">
            <w:drawing>
              <wp:anchor distT="45720" distB="45720" distL="114300" distR="114300" simplePos="0" relativeHeight="251678720" behindDoc="1" locked="0" layoutInCell="1" allowOverlap="1" wp14:anchorId="24365481" wp14:editId="507BE258">
                <wp:simplePos x="0" y="0"/>
                <wp:positionH relativeFrom="margin">
                  <wp:posOffset>-61595</wp:posOffset>
                </wp:positionH>
                <wp:positionV relativeFrom="paragraph">
                  <wp:posOffset>0</wp:posOffset>
                </wp:positionV>
                <wp:extent cx="5905500" cy="4892675"/>
                <wp:effectExtent l="0" t="0" r="19050" b="22225"/>
                <wp:wrapTight wrapText="bothSides">
                  <wp:wrapPolygon edited="0">
                    <wp:start x="0" y="0"/>
                    <wp:lineTo x="0" y="21614"/>
                    <wp:lineTo x="21600" y="21614"/>
                    <wp:lineTo x="2160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892675"/>
                        </a:xfrm>
                        <a:prstGeom prst="rect">
                          <a:avLst/>
                        </a:prstGeom>
                        <a:solidFill>
                          <a:srgbClr val="44546A">
                            <a:lumMod val="20000"/>
                            <a:lumOff val="80000"/>
                          </a:srgbClr>
                        </a:solidFill>
                        <a:ln w="9525">
                          <a:solidFill>
                            <a:srgbClr val="000000"/>
                          </a:solidFill>
                          <a:miter lim="800000"/>
                          <a:headEnd/>
                          <a:tailEnd/>
                        </a:ln>
                      </wps:spPr>
                      <wps:txbx>
                        <w:txbxContent>
                          <w:p w14:paraId="42BF9527" w14:textId="77777777" w:rsidR="00A41CE6" w:rsidRPr="001F5152" w:rsidRDefault="00A41CE6" w:rsidP="00A41CE6">
                            <w:pPr>
                              <w:jc w:val="center"/>
                              <w:rPr>
                                <w:b/>
                                <w:bCs/>
                                <w:color w:val="44546A" w:themeColor="text2"/>
                              </w:rPr>
                            </w:pPr>
                            <w:r>
                              <w:rPr>
                                <w:b/>
                                <w:bCs/>
                                <w:color w:val="44546A" w:themeColor="text2"/>
                              </w:rPr>
                              <w:t>Exacerbées pour les personnes handicapées</w:t>
                            </w:r>
                          </w:p>
                          <w:p w14:paraId="4AC9E36A" w14:textId="77777777" w:rsidR="00A41CE6" w:rsidRDefault="00A41CE6" w:rsidP="00A41CE6">
                            <w:pPr>
                              <w:rPr>
                                <w:b/>
                                <w:bCs/>
                              </w:rPr>
                            </w:pPr>
                            <w:r>
                              <w:rPr>
                                <w:b/>
                                <w:bCs/>
                              </w:rPr>
                              <w:t>Obstacles environnementaux</w:t>
                            </w:r>
                          </w:p>
                          <w:p w14:paraId="3E264914" w14:textId="77777777" w:rsidR="00A41CE6" w:rsidRDefault="00A41CE6" w:rsidP="00A41CE6">
                            <w:r>
                              <w:t>Inaccessibilité des services de prévention et de lutte contre la violence liée au genre (par exemple, information sur les services disponibles, mécanismes de signalement tels que les numéros d’urgence)</w:t>
                            </w:r>
                          </w:p>
                          <w:p w14:paraId="5DCE497F" w14:textId="77777777" w:rsidR="00A41CE6" w:rsidRDefault="00A41CE6" w:rsidP="00A41CE6">
                            <w:r>
                              <w:t>Les technologies utilisées pour la prestation de services à distance (par exemple, services de santé mentale et aide psychosociale en ligne) sont parfois inaccessibles aux personnes handicapées, notamment en contexte humanitaire où l’accès à ces technologies est déjà plus limité</w:t>
                            </w:r>
                          </w:p>
                          <w:p w14:paraId="4DE6870B" w14:textId="77777777" w:rsidR="00A41CE6" w:rsidRPr="001F5152" w:rsidRDefault="00A41CE6" w:rsidP="00A41CE6">
                            <w:r>
                              <w:t>L’enseignement à distance et les programmes de retour à l’école ne tiennent pas toujours compte des enfants handicapés et ne sont pas toujours accessibles</w:t>
                            </w:r>
                          </w:p>
                          <w:p w14:paraId="1FD79F25" w14:textId="77777777" w:rsidR="00A41CE6" w:rsidRDefault="00A41CE6" w:rsidP="00A41CE6">
                            <w:pPr>
                              <w:rPr>
                                <w:b/>
                                <w:bCs/>
                              </w:rPr>
                            </w:pPr>
                            <w:r>
                              <w:rPr>
                                <w:b/>
                                <w:bCs/>
                              </w:rPr>
                              <w:t>Obstacles comportementaux</w:t>
                            </w:r>
                          </w:p>
                          <w:p w14:paraId="2E01025E" w14:textId="20F4463F" w:rsidR="00A41CE6" w:rsidRDefault="00A41CE6" w:rsidP="00A41CE6">
                            <w:r>
                              <w:t xml:space="preserve">Croyances infondées </w:t>
                            </w:r>
                            <w:r w:rsidR="00320D07">
                              <w:t xml:space="preserve">selon lesquelles </w:t>
                            </w:r>
                            <w:r>
                              <w:t>les femmes et les filles handicapées seraient moins exposées au risque de violence sexuelle et de violence liée au genre</w:t>
                            </w:r>
                          </w:p>
                          <w:p w14:paraId="77C4A544" w14:textId="77777777" w:rsidR="00A41CE6" w:rsidRPr="00B366B4" w:rsidRDefault="00A41CE6" w:rsidP="00A41CE6">
                            <w:r>
                              <w:t>Conviction que les personnes handicapées ne peuvent pas prendre de décisions concernant leurs soins de santé et d’autres sujets, ou ne peuvent pas contribuer à la lutte contre la COVID-19</w:t>
                            </w:r>
                          </w:p>
                          <w:p w14:paraId="4E0508BB" w14:textId="77777777" w:rsidR="00A41CE6" w:rsidRDefault="00A41CE6" w:rsidP="00A41CE6">
                            <w:pPr>
                              <w:rPr>
                                <w:b/>
                                <w:bCs/>
                              </w:rPr>
                            </w:pPr>
                            <w:r>
                              <w:rPr>
                                <w:b/>
                                <w:bCs/>
                              </w:rPr>
                              <w:t>Obstacles institutionnels</w:t>
                            </w:r>
                          </w:p>
                          <w:p w14:paraId="322CBE7C" w14:textId="77777777" w:rsidR="00A41CE6" w:rsidRDefault="00A41CE6" w:rsidP="00A41CE6">
                            <w:r>
                              <w:t>Absence de priorité accordée aux personnes handicapées pour l’accès aux services lorsque les ressources sont rationnées et réorientées vers la lutte contre la COVID-19</w:t>
                            </w:r>
                          </w:p>
                          <w:p w14:paraId="799458A2" w14:textId="77777777" w:rsidR="00A41CE6" w:rsidRPr="00B366B4" w:rsidRDefault="00A41CE6" w:rsidP="00A41CE6">
                            <w:r>
                              <w:t xml:space="preserve">Inégalités structurelles qui augmentent les risques pour les personnes handicapées et leur famille de vivre dans la pauvreté </w:t>
                            </w:r>
                          </w:p>
                          <w:p w14:paraId="4B194AE4" w14:textId="77777777" w:rsidR="00A41CE6" w:rsidRDefault="00A41CE6" w:rsidP="00A41CE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65481" id="_x0000_t202" coordsize="21600,21600" o:spt="202" path="m,l,21600r21600,l21600,xe">
                <v:stroke joinstyle="miter"/>
                <v:path gradientshapeok="t" o:connecttype="rect"/>
              </v:shapetype>
              <v:shape id="_x0000_s1030" type="#_x0000_t202" style="position:absolute;margin-left:-4.85pt;margin-top:0;width:465pt;height:385.2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" fillcolor="#d6dce5">
                <v:textbox>
                  <w:txbxContent>
                    <w:p w14:paraId="42BF9527" w14:textId="77777777" w:rsidR="00A41CE6" w:rsidRPr="001F5152" w:rsidRDefault="00A41CE6" w:rsidP="00A41CE6">
                      <w:pPr>
                        <w:jc w:val="center"/>
                        <w:rPr>
                          <w:b/>
                          <w:bCs/>
                          <w:color w:val="44546A" w:themeColor="text2"/>
                        </w:rPr>
                      </w:pPr>
                      <w:r>
                        <w:rPr>
                          <w:b/>
                          <w:bCs/>
                          <w:color w:val="44546A" w:themeColor="text2"/>
                        </w:rPr>
                        <w:t>Exacerbées pour les personnes handicapées</w:t>
                      </w:r>
                    </w:p>
                    <w:p w14:paraId="4AC9E36A" w14:textId="77777777" w:rsidR="00A41CE6" w:rsidRDefault="00A41CE6" w:rsidP="00A41CE6">
                      <w:pPr>
                        <w:rPr>
                          <w:b/>
                          <w:bCs/>
                        </w:rPr>
                      </w:pPr>
                      <w:r>
                        <w:rPr>
                          <w:b/>
                          <w:bCs/>
                        </w:rPr>
                        <w:t>Obstacles environnementaux</w:t>
                      </w:r>
                    </w:p>
                    <w:p w14:paraId="3E264914" w14:textId="77777777" w:rsidR="00A41CE6" w:rsidRDefault="00A41CE6" w:rsidP="00A41CE6">
                      <w:r>
                        <w:t>Inaccessibilité des services de prévention et de lutte contre la violence liée au genre (par exemple, information sur les services disponibles, mécanismes de signalement tels que les numéros d’urgence)</w:t>
                      </w:r>
                    </w:p>
                    <w:p w14:paraId="5DCE497F" w14:textId="77777777" w:rsidR="00A41CE6" w:rsidRDefault="00A41CE6" w:rsidP="00A41CE6">
                      <w:r>
                        <w:t>Les technologies utilisées pour la prestation de services à distance (par exemple, services de santé mentale et aide psychosociale en ligne) sont parfois inaccessibles aux personnes handicapées, notamment en contexte humanitaire où l’accès à ces technologies est déjà plus limité</w:t>
                      </w:r>
                    </w:p>
                    <w:p w14:paraId="4DE6870B" w14:textId="77777777" w:rsidR="00A41CE6" w:rsidRPr="001F5152" w:rsidRDefault="00A41CE6" w:rsidP="00A41CE6">
                      <w:r>
                        <w:t>L’enseignement à distance et les programmes de retour à l’école ne tiennent pas toujours compte des enfants handicapés et ne sont pas toujours accessibles</w:t>
                      </w:r>
                    </w:p>
                    <w:p w14:paraId="1FD79F25" w14:textId="77777777" w:rsidR="00A41CE6" w:rsidRDefault="00A41CE6" w:rsidP="00A41CE6">
                      <w:pPr>
                        <w:rPr>
                          <w:b/>
                          <w:bCs/>
                        </w:rPr>
                      </w:pPr>
                      <w:r>
                        <w:rPr>
                          <w:b/>
                          <w:bCs/>
                        </w:rPr>
                        <w:t>Obstacles comportementaux</w:t>
                      </w:r>
                    </w:p>
                    <w:p w14:paraId="2E01025E" w14:textId="20F4463F" w:rsidR="00A41CE6" w:rsidRDefault="00A41CE6" w:rsidP="00A41CE6">
                      <w:r>
                        <w:t xml:space="preserve">Croyances infondées </w:t>
                      </w:r>
                      <w:r w:rsidR="00320D07">
                        <w:t xml:space="preserve">selon lesquelles </w:t>
                      </w:r>
                      <w:r>
                        <w:t>les femmes et les filles handicapées seraient moins exposées au risque de violence sexuelle et de violence liée au genre</w:t>
                      </w:r>
                    </w:p>
                    <w:p w14:paraId="77C4A544" w14:textId="77777777" w:rsidR="00A41CE6" w:rsidRPr="00B366B4" w:rsidRDefault="00A41CE6" w:rsidP="00A41CE6">
                      <w:r>
                        <w:t>Conviction que les personnes handicapées ne peuvent pas prendre de décisions concernant leurs soins de santé et d’autres sujets, ou ne peuvent pas contribuer à la lutte contre la COVID-19</w:t>
                      </w:r>
                    </w:p>
                    <w:p w14:paraId="4E0508BB" w14:textId="77777777" w:rsidR="00A41CE6" w:rsidRDefault="00A41CE6" w:rsidP="00A41CE6">
                      <w:pPr>
                        <w:rPr>
                          <w:b/>
                          <w:bCs/>
                        </w:rPr>
                      </w:pPr>
                      <w:r>
                        <w:rPr>
                          <w:b/>
                          <w:bCs/>
                        </w:rPr>
                        <w:t>Obstacles institutionnels</w:t>
                      </w:r>
                    </w:p>
                    <w:p w14:paraId="322CBE7C" w14:textId="77777777" w:rsidR="00A41CE6" w:rsidRDefault="00A41CE6" w:rsidP="00A41CE6">
                      <w:r>
                        <w:t>Absence de priorité accordée aux personnes handicapées pour l’accès aux services lorsque les ressources sont rationnées et réorientées vers la lutte contre la COVID-19</w:t>
                      </w:r>
                    </w:p>
                    <w:p w14:paraId="799458A2" w14:textId="77777777" w:rsidR="00A41CE6" w:rsidRPr="00B366B4" w:rsidRDefault="00A41CE6" w:rsidP="00A41CE6">
                      <w:r>
                        <w:t xml:space="preserve">Inégalités structurelles qui augmentent les risques pour les personnes handicapées et leur famille de vivre dans la pauvreté </w:t>
                      </w:r>
                    </w:p>
                    <w:p w14:paraId="4B194AE4" w14:textId="77777777" w:rsidR="00A41CE6" w:rsidRDefault="00A41CE6" w:rsidP="00A41CE6">
                      <w:pPr>
                        <w:jc w:val="center"/>
                      </w:pPr>
                    </w:p>
                  </w:txbxContent>
                </v:textbox>
                <w10:wrap type="tight" anchorx="margin"/>
              </v:shape>
            </w:pict>
          </mc:Fallback>
        </mc:AlternateContent>
      </w:r>
      <w:r>
        <w:rPr>
          <w:noProof/>
        </w:rPr>
        <mc:AlternateContent>
          <mc:Choice Requires="wps">
            <w:drawing>
              <wp:anchor distT="0" distB="0" distL="114300" distR="114300" simplePos="0" relativeHeight="251673600" behindDoc="0" locked="0" layoutInCell="1" allowOverlap="1" wp14:anchorId="72F3D996" wp14:editId="6BCA5D41">
                <wp:simplePos x="0" y="0"/>
                <wp:positionH relativeFrom="margin">
                  <wp:posOffset>2774476</wp:posOffset>
                </wp:positionH>
                <wp:positionV relativeFrom="paragraph">
                  <wp:posOffset>5335014</wp:posOffset>
                </wp:positionV>
                <wp:extent cx="241300" cy="311150"/>
                <wp:effectExtent l="19050" t="0" r="25400" b="31750"/>
                <wp:wrapSquare wrapText="bothSides"/>
                <wp:docPr id="2" name="Arrow: Down 2"/>
                <wp:cNvGraphicFramePr/>
                <a:graphic xmlns:a="http://schemas.openxmlformats.org/drawingml/2006/main">
                  <a:graphicData uri="http://schemas.microsoft.com/office/word/2010/wordprocessingShape">
                    <wps:wsp>
                      <wps:cNvSpPr/>
                      <wps:spPr>
                        <a:xfrm>
                          <a:off x="0" y="0"/>
                          <a:ext cx="241300" cy="3111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843CA" id="Arrow: Down 2" o:spid="_x0000_s1026" type="#_x0000_t67" style="position:absolute;margin-left:218.45pt;margin-top:420.1pt;width:19pt;height:2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" adj="13224" fillcolor="#4472c4" strokecolor="#2f528f" strokeweight="1pt">
                <w10:wrap type="square" anchorx="margin"/>
              </v:shape>
            </w:pict>
          </mc:Fallback>
        </mc:AlternateContent>
      </w:r>
    </w:p>
    <w:p w14:paraId="26E18353" w14:textId="466BAD40" w:rsidR="00A41CE6" w:rsidRDefault="002E3957">
      <w:r>
        <w:rPr>
          <w:noProof/>
        </w:rPr>
        <w:lastRenderedPageBreak/>
        <mc:AlternateContent>
          <mc:Choice Requires="wps">
            <w:drawing>
              <wp:anchor distT="45720" distB="45720" distL="114300" distR="114300" simplePos="0" relativeHeight="251675648" behindDoc="1" locked="0" layoutInCell="1" allowOverlap="1" wp14:anchorId="56EB43B3" wp14:editId="73D06BC6">
                <wp:simplePos x="0" y="0"/>
                <wp:positionH relativeFrom="margin">
                  <wp:align>right</wp:align>
                </wp:positionH>
                <wp:positionV relativeFrom="paragraph">
                  <wp:posOffset>13070</wp:posOffset>
                </wp:positionV>
                <wp:extent cx="5899150" cy="1404620"/>
                <wp:effectExtent l="0" t="0" r="25400" b="15875"/>
                <wp:wrapTight wrapText="bothSides">
                  <wp:wrapPolygon edited="0">
                    <wp:start x="0" y="0"/>
                    <wp:lineTo x="0" y="21580"/>
                    <wp:lineTo x="21623" y="21580"/>
                    <wp:lineTo x="21623"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404620"/>
                        </a:xfrm>
                        <a:prstGeom prst="rect">
                          <a:avLst/>
                        </a:prstGeom>
                        <a:solidFill>
                          <a:sysClr val="window" lastClr="FFFFFF">
                            <a:lumMod val="95000"/>
                          </a:sysClr>
                        </a:solidFill>
                        <a:ln w="9525">
                          <a:solidFill>
                            <a:srgbClr val="000000"/>
                          </a:solidFill>
                          <a:miter lim="800000"/>
                          <a:headEnd/>
                          <a:tailEnd/>
                        </a:ln>
                      </wps:spPr>
                      <wps:txbx>
                        <w:txbxContent>
                          <w:p w14:paraId="324DD7A1" w14:textId="77777777" w:rsidR="00A41CE6" w:rsidRPr="000D4BD7" w:rsidRDefault="00A41CE6" w:rsidP="00A41CE6">
                            <w:pPr>
                              <w:jc w:val="center"/>
                              <w:rPr>
                                <w:b/>
                                <w:bCs/>
                                <w:color w:val="44546A" w:themeColor="text2"/>
                              </w:rPr>
                            </w:pPr>
                            <w:r>
                              <w:rPr>
                                <w:b/>
                                <w:bCs/>
                                <w:color w:val="44546A" w:themeColor="text2"/>
                              </w:rPr>
                              <w:t>Risques pour les personnes handicapées</w:t>
                            </w:r>
                          </w:p>
                          <w:p w14:paraId="6F560464" w14:textId="77777777" w:rsidR="00A41CE6" w:rsidRDefault="00A41CE6" w:rsidP="00A41CE6">
                            <w:r>
                              <w:t>Augmentation du risque de violence, d’exploitation et d’abus, y compris de violence sexuelle et de violence liée au genre, de négligence et d’abandon</w:t>
                            </w:r>
                          </w:p>
                          <w:p w14:paraId="51F3666A" w14:textId="77777777" w:rsidR="00A41CE6" w:rsidRDefault="00A41CE6" w:rsidP="00A41CE6">
                            <w:r>
                              <w:t>Exclusion de l’éducation</w:t>
                            </w:r>
                          </w:p>
                          <w:p w14:paraId="01ACD48B" w14:textId="77777777" w:rsidR="00A41CE6" w:rsidRDefault="00A41CE6" w:rsidP="00A41CE6">
                            <w:r>
                              <w:t>Non-participation aux activités économiques et aux activités génératrices de revenus</w:t>
                            </w:r>
                          </w:p>
                          <w:p w14:paraId="5E62786A" w14:textId="77777777" w:rsidR="00A41CE6" w:rsidRDefault="00A41CE6" w:rsidP="00A41CE6">
                            <w:pPr>
                              <w:rPr>
                                <w:rFonts w:eastAsiaTheme="minorEastAsia"/>
                              </w:rPr>
                            </w:pPr>
                            <w:r>
                              <w:t xml:space="preserve">Absence d’accès aux services nécessaires pour vivre correctement et en bonne santé, y compris à une aide pour les tâches de la vie quotidienne, les médicaments, les aliments et produits spécialisés </w:t>
                            </w:r>
                          </w:p>
                          <w:p w14:paraId="02B262E4" w14:textId="77777777" w:rsidR="00A41CE6" w:rsidRDefault="00A41CE6" w:rsidP="00A41CE6">
                            <w:pPr>
                              <w:rPr>
                                <w:rFonts w:eastAsiaTheme="minorEastAsia"/>
                              </w:rPr>
                            </w:pPr>
                            <w:r>
                              <w:t>Absence des moyens financiers nécessaires pour s’approvisionner en nourriture, en médicaments et autres produits essentiels</w:t>
                            </w:r>
                          </w:p>
                          <w:p w14:paraId="108869EC" w14:textId="77777777" w:rsidR="00A41CE6" w:rsidRDefault="00A41CE6" w:rsidP="00A41CE6">
                            <w:pPr>
                              <w:rPr>
                                <w:rFonts w:eastAsiaTheme="minorEastAsia"/>
                              </w:rPr>
                            </w:pPr>
                            <w:r>
                              <w:t>Les enfants et les adultes souffrant d’un handicap intellectuel ou psychosocial, y compris les personnes présentant un trouble du spectre autistique et les personnes atteintes de démence, peuvent être particulièrement perturbées par une modification de leurs habitudes</w:t>
                            </w:r>
                          </w:p>
                          <w:p w14:paraId="5C5432D7" w14:textId="77777777" w:rsidR="00A41CE6" w:rsidRDefault="00A41CE6" w:rsidP="00A41CE6">
                            <w:r>
                              <w:t>Exacerbation de la stigmatisation en tant que groupe plus exposé et susceptible de souffrir de complications graves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B43B3" id="_x0000_s1031" type="#_x0000_t202" style="position:absolute;margin-left:413.3pt;margin-top:1.05pt;width:464.5pt;height:110.6pt;z-index:-2516408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" fillcolor="#f2f2f2">
                <v:textbox style="mso-fit-shape-to-text:t">
                  <w:txbxContent>
                    <w:p w14:paraId="324DD7A1" w14:textId="77777777" w:rsidR="00A41CE6" w:rsidRPr="000D4BD7" w:rsidRDefault="00A41CE6" w:rsidP="00A41CE6">
                      <w:pPr>
                        <w:jc w:val="center"/>
                        <w:rPr>
                          <w:b/>
                          <w:bCs/>
                          <w:color w:val="44546A" w:themeColor="text2"/>
                        </w:rPr>
                      </w:pPr>
                      <w:r>
                        <w:rPr>
                          <w:b/>
                          <w:bCs/>
                          <w:color w:val="44546A" w:themeColor="text2"/>
                        </w:rPr>
                        <w:t>Risques pour les personnes handicapées</w:t>
                      </w:r>
                    </w:p>
                    <w:p w14:paraId="6F560464" w14:textId="77777777" w:rsidR="00A41CE6" w:rsidRDefault="00A41CE6" w:rsidP="00A41CE6">
                      <w:r>
                        <w:t>Augmentation du risque de violence, d’exploitation et d’abus, y compris de violence sexuelle et de violence liée au genre, de négligence et d’abandon</w:t>
                      </w:r>
                    </w:p>
                    <w:p w14:paraId="51F3666A" w14:textId="77777777" w:rsidR="00A41CE6" w:rsidRDefault="00A41CE6" w:rsidP="00A41CE6">
                      <w:r>
                        <w:t>Exclusion de l’éducation</w:t>
                      </w:r>
                    </w:p>
                    <w:p w14:paraId="01ACD48B" w14:textId="77777777" w:rsidR="00A41CE6" w:rsidRDefault="00A41CE6" w:rsidP="00A41CE6">
                      <w:r>
                        <w:t>Non-participation aux activités économiques et aux activités génératrices de revenus</w:t>
                      </w:r>
                    </w:p>
                    <w:p w14:paraId="5E62786A" w14:textId="77777777" w:rsidR="00A41CE6" w:rsidRDefault="00A41CE6" w:rsidP="00A41CE6">
                      <w:pPr>
                        <w:rPr>
                          <w:rFonts w:eastAsiaTheme="minorEastAsia"/>
                        </w:rPr>
                      </w:pPr>
                      <w:r>
                        <w:t xml:space="preserve">Absence d’accès aux services nécessaires pour vivre correctement et en bonne santé, y compris à une aide pour les tâches de la vie quotidienne, les médicaments, les aliments et produits spécialisés </w:t>
                      </w:r>
                    </w:p>
                    <w:p w14:paraId="02B262E4" w14:textId="77777777" w:rsidR="00A41CE6" w:rsidRDefault="00A41CE6" w:rsidP="00A41CE6">
                      <w:pPr>
                        <w:rPr>
                          <w:rFonts w:eastAsiaTheme="minorEastAsia"/>
                        </w:rPr>
                      </w:pPr>
                      <w:r>
                        <w:t>Absence des moyens financiers nécessaires pour s’approvisionner en nourriture, en médicaments et autres produits essentiels</w:t>
                      </w:r>
                    </w:p>
                    <w:p w14:paraId="108869EC" w14:textId="77777777" w:rsidR="00A41CE6" w:rsidRDefault="00A41CE6" w:rsidP="00A41CE6">
                      <w:pPr>
                        <w:rPr>
                          <w:rFonts w:eastAsiaTheme="minorEastAsia"/>
                        </w:rPr>
                      </w:pPr>
                      <w:r>
                        <w:t>Les enfants et les adultes souffrant d’un handicap intellectuel ou psychosocial, y compris les personnes présentant un trouble du spectre autistique et les personnes atteintes de démence, peuvent être particulièrement perturbées par une modification de leurs habitudes</w:t>
                      </w:r>
                    </w:p>
                    <w:p w14:paraId="5C5432D7" w14:textId="77777777" w:rsidR="00A41CE6" w:rsidRDefault="00A41CE6" w:rsidP="00A41CE6">
                      <w:r>
                        <w:t>Exacerbation de la stigmatisation en tant que groupe plus exposé et susceptible de souffrir de complications graves</w:t>
                      </w:r>
                    </w:p>
                  </w:txbxContent>
                </v:textbox>
                <w10:wrap type="tight" anchorx="margin"/>
              </v:shape>
            </w:pict>
          </mc:Fallback>
        </mc:AlternateContent>
      </w:r>
    </w:p>
    <w:p w14:paraId="3477C5B8" w14:textId="693BE822" w:rsidR="00A41CE6" w:rsidRPr="008C2BD9" w:rsidRDefault="002E3957" w:rsidP="00A41CE6">
      <w:pPr>
        <w:rPr>
          <w:rFonts w:eastAsiaTheme="minorEastAsia"/>
        </w:rPr>
      </w:pPr>
      <w:r>
        <w:rPr>
          <w:noProof/>
        </w:rPr>
        <mc:AlternateContent>
          <mc:Choice Requires="wps">
            <w:drawing>
              <wp:anchor distT="45720" distB="45720" distL="114300" distR="114300" simplePos="0" relativeHeight="251677696" behindDoc="1" locked="0" layoutInCell="1" allowOverlap="1" wp14:anchorId="695E622B" wp14:editId="505DC574">
                <wp:simplePos x="0" y="0"/>
                <wp:positionH relativeFrom="margin">
                  <wp:posOffset>-41275</wp:posOffset>
                </wp:positionH>
                <wp:positionV relativeFrom="paragraph">
                  <wp:posOffset>302260</wp:posOffset>
                </wp:positionV>
                <wp:extent cx="5909945" cy="3507105"/>
                <wp:effectExtent l="0" t="0" r="14605" b="17145"/>
                <wp:wrapTight wrapText="bothSides">
                  <wp:wrapPolygon edited="0">
                    <wp:start x="0" y="0"/>
                    <wp:lineTo x="0" y="21588"/>
                    <wp:lineTo x="21584" y="21588"/>
                    <wp:lineTo x="21584"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3507105"/>
                        </a:xfrm>
                        <a:prstGeom prst="rect">
                          <a:avLst/>
                        </a:prstGeom>
                        <a:solidFill>
                          <a:srgbClr val="FFFFFF"/>
                        </a:solidFill>
                        <a:ln w="9525">
                          <a:solidFill>
                            <a:srgbClr val="000000"/>
                          </a:solidFill>
                          <a:miter lim="800000"/>
                          <a:headEnd/>
                          <a:tailEnd/>
                        </a:ln>
                      </wps:spPr>
                      <wps:txbx>
                        <w:txbxContent>
                          <w:p w14:paraId="511E9F76" w14:textId="77777777" w:rsidR="00A41CE6" w:rsidRPr="001F5152" w:rsidRDefault="00A41CE6" w:rsidP="00A41CE6">
                            <w:pPr>
                              <w:rPr>
                                <w:rFonts w:eastAsiaTheme="minorEastAsia"/>
                                <w:b/>
                                <w:bCs/>
                              </w:rPr>
                            </w:pPr>
                            <w:r>
                              <w:rPr>
                                <w:b/>
                                <w:bCs/>
                              </w:rPr>
                              <w:t>Violence, exploitation et abus dans le contexte de la COVID-19</w:t>
                            </w:r>
                          </w:p>
                          <w:p w14:paraId="1ED850CE" w14:textId="77777777" w:rsidR="00A41CE6" w:rsidRDefault="00A41CE6" w:rsidP="00A41CE6">
                            <w:pPr>
                              <w:rPr>
                                <w:rFonts w:eastAsiaTheme="minorEastAsia"/>
                              </w:rPr>
                            </w:pPr>
                            <w:r>
                              <w:t>Pour les personnes handicapées, notamment les femmes et les filles, le risque de violence, d’exploitation et d’abus, y compris de violence liée au genre, est disproportionné. Ces risques sont exacerbés par la pandémie, et ce, pour plusieurs raisons :</w:t>
                            </w:r>
                          </w:p>
                          <w:p w14:paraId="6BA0A7A1" w14:textId="77777777" w:rsidR="00A41CE6" w:rsidRPr="00FC39E6" w:rsidRDefault="00A41CE6" w:rsidP="00A41CE6">
                            <w:pPr>
                              <w:pStyle w:val="ListParagraph"/>
                              <w:numPr>
                                <w:ilvl w:val="0"/>
                                <w:numId w:val="6"/>
                              </w:numPr>
                              <w:rPr>
                                <w:rFonts w:eastAsiaTheme="minorEastAsia"/>
                                <w:b/>
                                <w:bCs/>
                                <w:sz w:val="28"/>
                                <w:szCs w:val="28"/>
                              </w:rPr>
                            </w:pPr>
                            <w:r>
                              <w:t>Lorsque les services d’aide habituels ne sont plus fournis, les personnes handicapées sont parfois obligées de demander de l’aide aux membres de leur famille ou de leur foyer pour les tâches quotidiennes, y compris pour bénéficier d’une aide personnelle</w:t>
                            </w:r>
                          </w:p>
                          <w:p w14:paraId="0D4BBF8E" w14:textId="5637B068" w:rsidR="00A41CE6" w:rsidRPr="00FC39E6" w:rsidRDefault="00A41CE6" w:rsidP="00A41CE6">
                            <w:pPr>
                              <w:pStyle w:val="ListParagraph"/>
                              <w:numPr>
                                <w:ilvl w:val="0"/>
                                <w:numId w:val="6"/>
                              </w:numPr>
                              <w:rPr>
                                <w:rFonts w:eastAsiaTheme="minorEastAsia"/>
                                <w:b/>
                                <w:bCs/>
                                <w:sz w:val="28"/>
                                <w:szCs w:val="28"/>
                              </w:rPr>
                            </w:pPr>
                            <w:r>
                              <w:t xml:space="preserve">Les enfants et les adultes handicapés courent un plus grand risque au sein de leur foyer lorsque les familles sont confrontées à un stress accru et isolées des réseaux d’entraide communautaires en raison des mesures d’éloignement physique. Il arrive que des personnes handicapées soient confinées dans le même espace que leur </w:t>
                            </w:r>
                            <w:r w:rsidR="002E3E29">
                              <w:t>agresseur</w:t>
                            </w:r>
                          </w:p>
                          <w:p w14:paraId="2E006C00" w14:textId="77777777" w:rsidR="00A41CE6" w:rsidRPr="00FC39E6" w:rsidRDefault="00A41CE6" w:rsidP="00A41CE6">
                            <w:pPr>
                              <w:pStyle w:val="ListParagraph"/>
                              <w:numPr>
                                <w:ilvl w:val="0"/>
                                <w:numId w:val="6"/>
                              </w:numPr>
                              <w:rPr>
                                <w:rFonts w:eastAsiaTheme="minorEastAsia"/>
                                <w:b/>
                                <w:bCs/>
                                <w:sz w:val="28"/>
                                <w:szCs w:val="28"/>
                              </w:rPr>
                            </w:pPr>
                            <w:r>
                              <w:t>Les personnes handicapées qui vivent en institution (établissements spécialisés ou lieu de détention, par exemple) sont encore plus isolées de leur famille et des réseaux d’entraide protecteurs lorsque les visites sont limitées. Les risques peuvent s’avérer encore plus élevés en cas de manque de personnel dû à la COVID-19</w:t>
                            </w:r>
                          </w:p>
                          <w:p w14:paraId="613C056E" w14:textId="77777777" w:rsidR="00A41CE6" w:rsidRDefault="00A41CE6" w:rsidP="00A41C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E622B" id="_x0000_s1032" type="#_x0000_t202" style="position:absolute;margin-left:-3.25pt;margin-top:23.8pt;width:465.35pt;height:276.1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">
                <v:textbox>
                  <w:txbxContent>
                    <w:p w14:paraId="511E9F76" w14:textId="77777777" w:rsidR="00A41CE6" w:rsidRPr="001F5152" w:rsidRDefault="00A41CE6" w:rsidP="00A41CE6">
                      <w:pPr>
                        <w:rPr>
                          <w:rFonts w:eastAsiaTheme="minorEastAsia"/>
                          <w:b/>
                          <w:bCs/>
                        </w:rPr>
                      </w:pPr>
                      <w:r>
                        <w:rPr>
                          <w:b/>
                          <w:bCs/>
                        </w:rPr>
                        <w:t>Violence, exploitation et abus dans le contexte de la COVID-19</w:t>
                      </w:r>
                    </w:p>
                    <w:p w14:paraId="1ED850CE" w14:textId="77777777" w:rsidR="00A41CE6" w:rsidRDefault="00A41CE6" w:rsidP="00A41CE6">
                      <w:pPr>
                        <w:rPr>
                          <w:rFonts w:eastAsiaTheme="minorEastAsia"/>
                        </w:rPr>
                      </w:pPr>
                      <w:r>
                        <w:t>Pour les personnes handicapées, notamment les femmes et les filles, le risque de violence, d’exploitation et d’abus, y compris de violence liée au genre, est disproportionné. Ces risques sont exacerbés par la pandémie, et ce, pour plusieurs raisons :</w:t>
                      </w:r>
                    </w:p>
                    <w:p w14:paraId="6BA0A7A1" w14:textId="77777777" w:rsidR="00A41CE6" w:rsidRPr="00FC39E6" w:rsidRDefault="00A41CE6" w:rsidP="00A41CE6">
                      <w:pPr>
                        <w:pStyle w:val="ListParagraph"/>
                        <w:numPr>
                          <w:ilvl w:val="0"/>
                          <w:numId w:val="6"/>
                        </w:numPr>
                        <w:rPr>
                          <w:rFonts w:eastAsiaTheme="minorEastAsia"/>
                          <w:b/>
                          <w:bCs/>
                          <w:sz w:val="28"/>
                          <w:szCs w:val="28"/>
                        </w:rPr>
                      </w:pPr>
                      <w:r>
                        <w:t>Lorsque les services d’aide habituels ne sont plus fournis, les personnes handicapées sont parfois obligées de demander de l’aide aux membres de leur famille ou de leur foyer pour les tâches quotidiennes, y compris pour bénéficier d’une aide personnelle</w:t>
                      </w:r>
                    </w:p>
                    <w:p w14:paraId="0D4BBF8E" w14:textId="5637B068" w:rsidR="00A41CE6" w:rsidRPr="00FC39E6" w:rsidRDefault="00A41CE6" w:rsidP="00A41CE6">
                      <w:pPr>
                        <w:pStyle w:val="ListParagraph"/>
                        <w:numPr>
                          <w:ilvl w:val="0"/>
                          <w:numId w:val="6"/>
                        </w:numPr>
                        <w:rPr>
                          <w:rFonts w:eastAsiaTheme="minorEastAsia"/>
                          <w:b/>
                          <w:bCs/>
                          <w:sz w:val="28"/>
                          <w:szCs w:val="28"/>
                        </w:rPr>
                      </w:pPr>
                      <w:r>
                        <w:t xml:space="preserve">Les enfants et les adultes handicapés courent un plus grand risque au sein de leur foyer lorsque les familles sont confrontées à un stress accru et isolées des réseaux d’entraide communautaires en raison des mesures d’éloignement physique. Il arrive que des personnes handicapées soient confinées dans le même espace que leur </w:t>
                      </w:r>
                      <w:r w:rsidR="002E3E29">
                        <w:t>agresseur</w:t>
                      </w:r>
                    </w:p>
                    <w:p w14:paraId="2E006C00" w14:textId="77777777" w:rsidR="00A41CE6" w:rsidRPr="00FC39E6" w:rsidRDefault="00A41CE6" w:rsidP="00A41CE6">
                      <w:pPr>
                        <w:pStyle w:val="ListParagraph"/>
                        <w:numPr>
                          <w:ilvl w:val="0"/>
                          <w:numId w:val="6"/>
                        </w:numPr>
                        <w:rPr>
                          <w:rFonts w:eastAsiaTheme="minorEastAsia"/>
                          <w:b/>
                          <w:bCs/>
                          <w:sz w:val="28"/>
                          <w:szCs w:val="28"/>
                        </w:rPr>
                      </w:pPr>
                      <w:r>
                        <w:t>Les personnes handicapées qui vivent en institution (établissements spécialisés ou lieu de détention, par exemple) sont encore plus isolées de leur famille et des réseaux d’entraide protecteurs lorsque les visites sont limitées. Les risques peuvent s’avérer encore plus élevés en cas de manque de personnel dû à la COVID-19</w:t>
                      </w:r>
                    </w:p>
                    <w:p w14:paraId="613C056E" w14:textId="77777777" w:rsidR="00A41CE6" w:rsidRDefault="00A41CE6" w:rsidP="00A41CE6"/>
                  </w:txbxContent>
                </v:textbox>
                <w10:wrap type="tight" anchorx="margin"/>
              </v:shape>
            </w:pict>
          </mc:Fallback>
        </mc:AlternateContent>
      </w:r>
      <w:r>
        <w:rPr>
          <w:b/>
          <w:bCs/>
          <w:color w:val="C00000"/>
          <w:sz w:val="24"/>
          <w:szCs w:val="24"/>
        </w:rPr>
        <w:br w:type="page"/>
      </w:r>
      <w:r w:rsidR="00A41CE6">
        <w:rPr>
          <w:b/>
          <w:bCs/>
          <w:color w:val="C00000"/>
          <w:sz w:val="24"/>
          <w:szCs w:val="24"/>
        </w:rPr>
        <w:lastRenderedPageBreak/>
        <w:t>Mesures clés à prendre pour lutter contre les conséquences sociales et économiques de la pandémie</w:t>
      </w:r>
    </w:p>
    <w:p w14:paraId="71E8F104" w14:textId="50E4B4E5" w:rsidR="00A41CE6" w:rsidRPr="004A55DD" w:rsidRDefault="00A41CE6" w:rsidP="00A41CE6">
      <w:pPr>
        <w:rPr>
          <w:b/>
          <w:bCs/>
        </w:rPr>
      </w:pPr>
      <w:r>
        <w:rPr>
          <w:b/>
          <w:bCs/>
        </w:rPr>
        <w:t>Participation</w:t>
      </w:r>
    </w:p>
    <w:p w14:paraId="10732A1B" w14:textId="64CED425" w:rsidR="00A41CE6" w:rsidRDefault="00A41CE6" w:rsidP="00A41CE6">
      <w:pPr>
        <w:numPr>
          <w:ilvl w:val="0"/>
          <w:numId w:val="8"/>
        </w:numPr>
        <w:contextualSpacing/>
      </w:pPr>
      <w:r>
        <w:t>Inviter les personnes handicapées et les organisations qui les représentent à évaluer les conséquences sociales et économiques ainsi qu’à élaborer et à adapter les plans de riposte. Veiller à ce que les personnes handicapées soient représentées dans toute leur diversité, notamment en termes d’âge, de genre et de type de handicap</w:t>
      </w:r>
    </w:p>
    <w:p w14:paraId="2D2306D5" w14:textId="74DEA6DB" w:rsidR="00A41CE6" w:rsidRPr="004A55DD" w:rsidRDefault="00A41CE6" w:rsidP="00A41CE6">
      <w:pPr>
        <w:ind w:left="720"/>
        <w:contextualSpacing/>
      </w:pPr>
    </w:p>
    <w:p w14:paraId="33C9D59F" w14:textId="55E39279" w:rsidR="00A41CE6" w:rsidRPr="004A55DD" w:rsidRDefault="00A41CE6" w:rsidP="00A41CE6">
      <w:pPr>
        <w:rPr>
          <w:b/>
          <w:bCs/>
        </w:rPr>
      </w:pPr>
      <w:r>
        <w:rPr>
          <w:b/>
          <w:bCs/>
        </w:rPr>
        <w:t>Lutter contre les obstacles</w:t>
      </w:r>
    </w:p>
    <w:p w14:paraId="61151019" w14:textId="7F33575B" w:rsidR="00A41CE6" w:rsidRPr="004A55DD" w:rsidRDefault="00A41CE6" w:rsidP="00A41CE6">
      <w:pPr>
        <w:numPr>
          <w:ilvl w:val="0"/>
          <w:numId w:val="7"/>
        </w:numPr>
        <w:contextualSpacing/>
        <w:rPr>
          <w:b/>
          <w:bCs/>
        </w:rPr>
      </w:pPr>
      <w:r>
        <w:t xml:space="preserve">Veiller à ce que les services de prévention et de lutte contre la violence liée au genre soient accessibles et accordent la priorité aux enfants et aux adultes handicapés, notamment grâce à une aide à la prise en charge </w:t>
      </w:r>
      <w:r w:rsidR="00107910">
        <w:t xml:space="preserve">à distance </w:t>
      </w:r>
      <w:r>
        <w:t>de ces violences et à des numéros d’urgence accessibles. Veiller à ce que les informations concernant l’existence de services accessibles et confidentiels parviennent aux personnes handicapées</w:t>
      </w:r>
    </w:p>
    <w:p w14:paraId="00177909" w14:textId="77777777" w:rsidR="00A41CE6" w:rsidRPr="004A55DD" w:rsidRDefault="00A41CE6" w:rsidP="00A41CE6">
      <w:pPr>
        <w:numPr>
          <w:ilvl w:val="0"/>
          <w:numId w:val="7"/>
        </w:numPr>
        <w:spacing w:line="256" w:lineRule="auto"/>
        <w:contextualSpacing/>
      </w:pPr>
      <w:r>
        <w:t>Envisager des visites régulières d’agents de santé communautaires pour les foyers nécessitant une aide accrue, lorsque la situation le permet</w:t>
      </w:r>
    </w:p>
    <w:p w14:paraId="1F8AFB9A" w14:textId="77777777" w:rsidR="00A41CE6" w:rsidRPr="004A55DD" w:rsidRDefault="00A41CE6" w:rsidP="00A41CE6">
      <w:pPr>
        <w:numPr>
          <w:ilvl w:val="0"/>
          <w:numId w:val="7"/>
        </w:numPr>
        <w:contextualSpacing/>
        <w:rPr>
          <w:rFonts w:eastAsiaTheme="minorEastAsia"/>
          <w:b/>
          <w:bCs/>
        </w:rPr>
      </w:pPr>
      <w:r>
        <w:t xml:space="preserve">Collaborer avec les acteurs du monde de l’éducation pour veiller à ce que l’enseignement à distance et les programmes de retour à l’école tiennent compte des enfants, des adolescents et des jeunes handicapés et soient accessibles, par exemple grâce à la modification des supports pédagogiques et à la </w:t>
      </w:r>
      <w:bookmarkStart w:id="0" w:name="_Hlk42619082"/>
      <w:r>
        <w:t xml:space="preserve">mise en place de programmes de rattrapage permettant d’éviter l’exacerbation des inégalités d’apprentissage </w:t>
      </w:r>
      <w:bookmarkEnd w:id="0"/>
    </w:p>
    <w:p w14:paraId="31E318AA" w14:textId="77777777" w:rsidR="00A41CE6" w:rsidRPr="004A55DD" w:rsidRDefault="00A41CE6" w:rsidP="00A41CE6">
      <w:pPr>
        <w:numPr>
          <w:ilvl w:val="0"/>
          <w:numId w:val="7"/>
        </w:numPr>
        <w:contextualSpacing/>
        <w:rPr>
          <w:rFonts w:eastAsiaTheme="minorEastAsia"/>
        </w:rPr>
      </w:pPr>
      <w:r>
        <w:t>Veiller à la continuité des services de santé mentale et d’aide psychosociale (par exemple, par téléphone), et faire en sorte que les services mis en place dans le cadre de la lutte contre la COVID-19 ne reproduisent pas les discriminations, soient accessibles aux personnes handicapées et tiennent compte de celles-ci</w:t>
      </w:r>
      <w:r w:rsidRPr="004A55DD">
        <w:rPr>
          <w:rFonts w:eastAsiaTheme="minorEastAsia"/>
          <w:vertAlign w:val="superscript"/>
          <w:lang w:eastAsia="zh-CN"/>
        </w:rPr>
        <w:footnoteReference w:id="7"/>
      </w:r>
    </w:p>
    <w:p w14:paraId="70361170" w14:textId="00F600A1" w:rsidR="00A41CE6" w:rsidRPr="004A55DD" w:rsidRDefault="00A41CE6" w:rsidP="00A41CE6">
      <w:pPr>
        <w:numPr>
          <w:ilvl w:val="0"/>
          <w:numId w:val="7"/>
        </w:numPr>
        <w:contextualSpacing/>
        <w:rPr>
          <w:rFonts w:eastAsiaTheme="minorEastAsia"/>
        </w:rPr>
      </w:pPr>
      <w:r>
        <w:t xml:space="preserve">Veiller à ce que les </w:t>
      </w:r>
      <w:r w:rsidR="0012514E">
        <w:t xml:space="preserve">modalités de substitution </w:t>
      </w:r>
      <w:r>
        <w:t xml:space="preserve">pour la distribution des produits alimentaires et non alimentaires (par exemple, des </w:t>
      </w:r>
      <w:r w:rsidR="00684D92">
        <w:t>remplaçants pour la collecte</w:t>
      </w:r>
      <w:r>
        <w:t xml:space="preserve">) tiennent compte des besoins d’accessibilité des personnes handicapées ainsi que des risques accrus </w:t>
      </w:r>
      <w:r w:rsidR="00A743A9">
        <w:t xml:space="preserve">que celles-ci </w:t>
      </w:r>
      <w:r>
        <w:t>courent</w:t>
      </w:r>
    </w:p>
    <w:p w14:paraId="6547F42A" w14:textId="77777777" w:rsidR="00A41CE6" w:rsidRPr="004A55DD" w:rsidRDefault="00A41CE6" w:rsidP="00A41CE6">
      <w:pPr>
        <w:numPr>
          <w:ilvl w:val="0"/>
          <w:numId w:val="7"/>
        </w:numPr>
        <w:contextualSpacing/>
        <w:rPr>
          <w:rFonts w:eastAsiaTheme="minorEastAsia"/>
        </w:rPr>
      </w:pPr>
      <w:r>
        <w:t xml:space="preserve">Veiller à ce que les programmes d’aide alimentaire, en espèces ou sous forme de bons, tiennent compte des handicaps, de l’âge et du genre, notamment en ce qui concerne la conception des méthodologies de ciblage et la sélection des mécanismes de distribution </w:t>
      </w:r>
    </w:p>
    <w:p w14:paraId="146EE07A" w14:textId="77777777" w:rsidR="00A41CE6" w:rsidRPr="004A55DD" w:rsidRDefault="00A41CE6" w:rsidP="00A41CE6">
      <w:pPr>
        <w:numPr>
          <w:ilvl w:val="0"/>
          <w:numId w:val="7"/>
        </w:numPr>
        <w:contextualSpacing/>
      </w:pPr>
      <w:r>
        <w:t>Alors que la prestation de services à distance (y compris l’enseignement, la santé mentale et l’aide psychosociale) fait de plus en plus appel aux nouvelles technologies, tenez compte des obstacles spécifiques auxquels sont confrontées les personnes handicapées, y compris les personnes âgées ou les habitants des zones rurales qui connaissent parfois moins ces technologies</w:t>
      </w:r>
    </w:p>
    <w:p w14:paraId="7CA66D67" w14:textId="77777777" w:rsidR="00A41CE6" w:rsidRPr="004A55DD" w:rsidRDefault="00A41CE6" w:rsidP="00A41CE6">
      <w:pPr>
        <w:numPr>
          <w:ilvl w:val="0"/>
          <w:numId w:val="7"/>
        </w:numPr>
        <w:contextualSpacing/>
        <w:rPr>
          <w:rFonts w:eastAsiaTheme="minorEastAsia"/>
        </w:rPr>
      </w:pPr>
      <w:r>
        <w:t xml:space="preserve">En matière de communication sur les risques, éviter de stigmatiser les personnes handicapées, par exemple en établissant par mégarde un lien entre une augmentation des infections et l’application de mesures de restriction pour les personnes handicapées. Veiller à ce que les messages évitent toute stigmatisation, par exemple en insistant sur le fait que la COVID-19 peut </w:t>
      </w:r>
      <w:r>
        <w:lastRenderedPageBreak/>
        <w:t>toucher tout le monde, sans montrer du doigt des groupes spécifiques. Décrivez les personnes handicapées comme des atouts et des acteurs de la riposte, et pas comme bénéficiaires de la charité</w:t>
      </w:r>
    </w:p>
    <w:p w14:paraId="17BFF464" w14:textId="77777777" w:rsidR="00A41CE6" w:rsidRPr="004A55DD" w:rsidRDefault="00A41CE6" w:rsidP="00A41CE6">
      <w:pPr>
        <w:numPr>
          <w:ilvl w:val="0"/>
          <w:numId w:val="7"/>
        </w:numPr>
        <w:contextualSpacing/>
        <w:rPr>
          <w:rFonts w:eastAsiaTheme="minorEastAsia"/>
        </w:rPr>
      </w:pPr>
      <w:r>
        <w:t>Collaborer avec les autorités compétentes pour veiller à ce que la réorientation des ressources vers la lutte contre la COVID-19 ne nuise pas de manière disproportionnée aux personnes handicapées (ainsi, il convient d’éviter une réorientation des ressources auparavant allouées aux services pour les personnes handicapées, par exemple à l’achat, à la réparation et à l’entretien de technologies d’assistance)</w:t>
      </w:r>
    </w:p>
    <w:p w14:paraId="3A0F706D" w14:textId="77777777" w:rsidR="00A41CE6" w:rsidRPr="004A55DD" w:rsidRDefault="00A41CE6" w:rsidP="00A41CE6">
      <w:pPr>
        <w:numPr>
          <w:ilvl w:val="0"/>
          <w:numId w:val="7"/>
        </w:numPr>
        <w:contextualSpacing/>
        <w:rPr>
          <w:rFonts w:eastAsiaTheme="minorEastAsia"/>
        </w:rPr>
      </w:pPr>
      <w:bookmarkStart w:id="1" w:name="_Hlk35956710"/>
      <w:r>
        <w:t xml:space="preserve">Établir des mécanismes de protection des personnes handicapées vivant en institution, quels que soient leur âge et leur handicap, par exemple un transfert dans la famille ou vers un établissement de la communauté où les individus bénéficient d’une aide adéquate. </w:t>
      </w:r>
      <w:bookmarkEnd w:id="1"/>
      <w:r>
        <w:t>Mettre en place des moyens accessibles pour que les membres de la famille et d’autres individus de confiance puissent rester en contact avec les personnes handicapées vivant en institution</w:t>
      </w:r>
    </w:p>
    <w:p w14:paraId="7D58E61A" w14:textId="77777777" w:rsidR="00A41CE6" w:rsidRDefault="00A41CE6" w:rsidP="00A41CE6">
      <w:pPr>
        <w:spacing w:after="0" w:line="256" w:lineRule="auto"/>
        <w:rPr>
          <w:rFonts w:eastAsiaTheme="minorEastAsia"/>
          <w:b/>
          <w:bCs/>
          <w:lang w:eastAsia="zh-CN"/>
        </w:rPr>
      </w:pPr>
    </w:p>
    <w:p w14:paraId="568071D9" w14:textId="77777777" w:rsidR="00A41CE6" w:rsidRPr="004A55DD" w:rsidRDefault="00A41CE6" w:rsidP="00A41CE6">
      <w:pPr>
        <w:spacing w:line="256" w:lineRule="auto"/>
        <w:rPr>
          <w:rFonts w:eastAsiaTheme="minorEastAsia"/>
          <w:b/>
          <w:bCs/>
        </w:rPr>
      </w:pPr>
      <w:r>
        <w:rPr>
          <w:b/>
          <w:bCs/>
        </w:rPr>
        <w:t>Autonomisation et développement des capacités</w:t>
      </w:r>
    </w:p>
    <w:p w14:paraId="189C7C28" w14:textId="77777777" w:rsidR="00A41CE6" w:rsidRPr="004A55DD" w:rsidRDefault="00A41CE6" w:rsidP="00A41CE6">
      <w:pPr>
        <w:numPr>
          <w:ilvl w:val="0"/>
          <w:numId w:val="7"/>
        </w:numPr>
        <w:spacing w:line="256" w:lineRule="auto"/>
        <w:contextualSpacing/>
        <w:rPr>
          <w:rFonts w:eastAsiaTheme="minorEastAsia"/>
          <w:b/>
          <w:bCs/>
        </w:rPr>
      </w:pPr>
      <w:r>
        <w:t>Collaborer avec les prestataires de service pour élaborer des systèmes innovants de prestation de services, par exemple un accompagnement à distance pour une réadaptation à domicile</w:t>
      </w:r>
    </w:p>
    <w:p w14:paraId="4653DAB4" w14:textId="77777777" w:rsidR="00A41CE6" w:rsidRPr="004A55DD" w:rsidRDefault="00A41CE6" w:rsidP="00A41CE6">
      <w:pPr>
        <w:numPr>
          <w:ilvl w:val="0"/>
          <w:numId w:val="7"/>
        </w:numPr>
        <w:spacing w:line="256" w:lineRule="auto"/>
        <w:contextualSpacing/>
        <w:rPr>
          <w:rFonts w:eastAsiaTheme="minorEastAsia"/>
        </w:rPr>
      </w:pPr>
      <w:r>
        <w:t>Prendre des dispositions pour aider les parents et les personnes ayant la charge d’un enfant handicapé, y compris pour des services généralement fournis à l’école, par exemple, le renforcement des comportements positifs, les séances d’orthophonie et de kinésithérapie (trousses à outils présentant des activités simples pour les parents/personnes prenant en charge l’enfant, ou aide d’un enseignant à distance)</w:t>
      </w:r>
    </w:p>
    <w:p w14:paraId="19FA12DF" w14:textId="77777777" w:rsidR="00A41CE6" w:rsidRPr="004A55DD" w:rsidRDefault="00A41CE6" w:rsidP="00A41CE6">
      <w:pPr>
        <w:numPr>
          <w:ilvl w:val="0"/>
          <w:numId w:val="7"/>
        </w:numPr>
        <w:spacing w:line="256" w:lineRule="auto"/>
        <w:contextualSpacing/>
        <w:rPr>
          <w:rFonts w:eastAsiaTheme="minorEastAsia"/>
          <w:b/>
          <w:bCs/>
        </w:rPr>
      </w:pPr>
      <w:r>
        <w:t>Former les agents de santé communautaires à la détection des signes de violence à l’égard des enfants et des adultes, y compris des personnes âgées et handicapées</w:t>
      </w:r>
    </w:p>
    <w:p w14:paraId="29B2A292" w14:textId="77777777" w:rsidR="00A41CE6" w:rsidRPr="004A55DD" w:rsidRDefault="009E1A7E" w:rsidP="00A41CE6">
      <w:pPr>
        <w:numPr>
          <w:ilvl w:val="0"/>
          <w:numId w:val="7"/>
        </w:numPr>
        <w:spacing w:line="256" w:lineRule="auto"/>
        <w:contextualSpacing/>
        <w:rPr>
          <w:rFonts w:eastAsiaTheme="minorEastAsia"/>
          <w:b/>
          <w:bCs/>
        </w:rPr>
      </w:pPr>
      <w:sdt>
        <w:sdtPr>
          <w:rPr>
            <w:rFonts w:eastAsiaTheme="minorEastAsia"/>
          </w:rPr>
          <w:tag w:val="goog_rdk_45"/>
          <w:id w:val="218568324"/>
        </w:sdtPr>
        <w:sdtEndPr/>
        <w:sdtContent>
          <w:r w:rsidR="007F0841">
            <w:t>Veiller à ce que le consentement libre et éclairé demeure une priorité pour les services de lutte contre la violence liée au genre dans le cadre de la riposte à la COVID-19</w:t>
          </w:r>
        </w:sdtContent>
      </w:sdt>
    </w:p>
    <w:p w14:paraId="45137F4C" w14:textId="77777777" w:rsidR="00A41CE6" w:rsidRDefault="00A41CE6" w:rsidP="00A41CE6">
      <w:pPr>
        <w:spacing w:after="0" w:line="256" w:lineRule="auto"/>
        <w:rPr>
          <w:rFonts w:eastAsiaTheme="minorEastAsia"/>
          <w:b/>
          <w:bCs/>
          <w:lang w:eastAsia="zh-CN"/>
        </w:rPr>
      </w:pPr>
    </w:p>
    <w:p w14:paraId="180772A9" w14:textId="77777777" w:rsidR="00A41CE6" w:rsidRPr="004A55DD" w:rsidRDefault="00A41CE6" w:rsidP="00A41CE6">
      <w:pPr>
        <w:spacing w:line="256" w:lineRule="auto"/>
        <w:rPr>
          <w:rFonts w:eastAsiaTheme="minorEastAsia"/>
          <w:b/>
          <w:bCs/>
        </w:rPr>
      </w:pPr>
      <w:r>
        <w:rPr>
          <w:b/>
          <w:bCs/>
        </w:rPr>
        <w:t>Données et suivi</w:t>
      </w:r>
    </w:p>
    <w:p w14:paraId="70C66E05" w14:textId="14B666AE" w:rsidR="00A41CE6" w:rsidRPr="0067703C" w:rsidRDefault="00A41CE6" w:rsidP="00A41CE6">
      <w:pPr>
        <w:numPr>
          <w:ilvl w:val="0"/>
          <w:numId w:val="9"/>
        </w:numPr>
        <w:contextualSpacing/>
        <w:rPr>
          <w:rFonts w:eastAsiaTheme="minorEastAsia"/>
        </w:rPr>
      </w:pPr>
      <w:r>
        <w:t>Encourager la ventilation des données relatives aux conséquences sociales et économiques (notamment des données concernant la violence liée au genre</w:t>
      </w:r>
      <w:r w:rsidR="0082552A">
        <w:t xml:space="preserve"> ou </w:t>
      </w:r>
      <w:r w:rsidR="00D56F04">
        <w:t>l’exploitation et les abus sexuels</w:t>
      </w:r>
      <w:r>
        <w:t>) par âge, sexe et handicap</w:t>
      </w:r>
    </w:p>
    <w:p w14:paraId="0777B19A" w14:textId="0DAB30C4" w:rsidR="00A41CE6" w:rsidRPr="0067703C" w:rsidRDefault="00A41CE6" w:rsidP="00A41CE6">
      <w:pPr>
        <w:numPr>
          <w:ilvl w:val="0"/>
          <w:numId w:val="9"/>
        </w:numPr>
        <w:contextualSpacing/>
        <w:rPr>
          <w:rFonts w:eastAsiaTheme="minorEastAsia"/>
        </w:rPr>
      </w:pPr>
      <w:r>
        <w:t xml:space="preserve">Encourager une analyse des données et la production de rapports tenant compte des handicaps, ainsi que l’utilisation des résultats pour des prises de décision et des programmes fondés sur des </w:t>
      </w:r>
      <w:r w:rsidR="00D218FB">
        <w:t>données probantes</w:t>
      </w:r>
    </w:p>
    <w:p w14:paraId="15E5171F" w14:textId="77777777" w:rsidR="00A41CE6" w:rsidRDefault="00A41CE6" w:rsidP="00A41CE6"/>
    <w:p w14:paraId="10B4C041" w14:textId="77777777" w:rsidR="00A41CE6" w:rsidRDefault="00A41CE6" w:rsidP="00A41CE6"/>
    <w:p w14:paraId="014035BD" w14:textId="77777777" w:rsidR="00464106" w:rsidRDefault="00464106" w:rsidP="00FE4DC9">
      <w:pPr>
        <w:spacing w:after="0" w:line="240" w:lineRule="auto"/>
        <w:ind w:left="720"/>
        <w:rPr>
          <w:rFonts w:eastAsia="Times New Roman"/>
          <w:highlight w:val="yellow"/>
        </w:rPr>
      </w:pPr>
      <w:r>
        <w:rPr>
          <w:b/>
          <w:bCs/>
          <w:highlight w:val="yellow"/>
        </w:rPr>
        <w:t>« La présente traduction/adaptation n’est pas l’œuvre du Comité permanent interorganisations (CPI). Le CPI n’est pas responsable du contenu ou de l’exactitude de cette traduction. L’édition originale du Comité permanent interorganisations : [INSÉRER LE TITRE DU DOCUMENT] fait foi. »</w:t>
      </w:r>
    </w:p>
    <w:p w14:paraId="175A4903" w14:textId="77777777" w:rsidR="00A41CE6" w:rsidRDefault="00A41CE6"/>
    <w:sectPr w:rsidR="00A41CE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B9B5C" w14:textId="77777777" w:rsidR="009E1A7E" w:rsidRDefault="009E1A7E" w:rsidP="00A41CE6">
      <w:pPr>
        <w:spacing w:after="0" w:line="240" w:lineRule="auto"/>
      </w:pPr>
      <w:r>
        <w:separator/>
      </w:r>
    </w:p>
  </w:endnote>
  <w:endnote w:type="continuationSeparator" w:id="0">
    <w:p w14:paraId="720BDCA8" w14:textId="77777777" w:rsidR="009E1A7E" w:rsidRDefault="009E1A7E" w:rsidP="00A4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733488"/>
      <w:docPartObj>
        <w:docPartGallery w:val="Page Numbers (Bottom of Page)"/>
        <w:docPartUnique/>
      </w:docPartObj>
    </w:sdtPr>
    <w:sdtEndPr>
      <w:rPr>
        <w:noProof/>
      </w:rPr>
    </w:sdtEndPr>
    <w:sdtContent>
      <w:p w14:paraId="62E75873" w14:textId="77777777" w:rsidR="00426776" w:rsidRDefault="00426776">
        <w:pPr>
          <w:pStyle w:val="Footer"/>
        </w:pPr>
        <w:r>
          <w:fldChar w:fldCharType="begin"/>
        </w:r>
        <w:r>
          <w:instrText xml:space="preserve"> PAGE   \* MERGEFORMAT </w:instrText>
        </w:r>
        <w:r>
          <w:fldChar w:fldCharType="separate"/>
        </w:r>
        <w:r>
          <w:t>2</w:t>
        </w:r>
        <w:r>
          <w:fldChar w:fldCharType="end"/>
        </w:r>
      </w:p>
    </w:sdtContent>
  </w:sdt>
  <w:p w14:paraId="6039303B" w14:textId="77777777" w:rsidR="00426776" w:rsidRDefault="00426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F028A" w14:textId="77777777" w:rsidR="009E1A7E" w:rsidRDefault="009E1A7E" w:rsidP="00A41CE6">
      <w:pPr>
        <w:spacing w:after="0" w:line="240" w:lineRule="auto"/>
      </w:pPr>
      <w:r>
        <w:separator/>
      </w:r>
    </w:p>
  </w:footnote>
  <w:footnote w:type="continuationSeparator" w:id="0">
    <w:p w14:paraId="46C293C0" w14:textId="77777777" w:rsidR="009E1A7E" w:rsidRDefault="009E1A7E" w:rsidP="00A41CE6">
      <w:pPr>
        <w:spacing w:after="0" w:line="240" w:lineRule="auto"/>
      </w:pPr>
      <w:r>
        <w:continuationSeparator/>
      </w:r>
    </w:p>
  </w:footnote>
  <w:footnote w:id="1">
    <w:p w14:paraId="5EE0AD5D" w14:textId="7B7A9149" w:rsidR="00A41CE6" w:rsidRPr="00756E63" w:rsidRDefault="00A41CE6" w:rsidP="00A41CE6">
      <w:pPr>
        <w:spacing w:after="0" w:line="240" w:lineRule="auto"/>
        <w:rPr>
          <w:rFonts w:ascii="Times New Roman" w:eastAsiaTheme="minorEastAsia" w:hAnsi="Times New Roman" w:cs="Times New Roman"/>
          <w:sz w:val="16"/>
          <w:szCs w:val="16"/>
        </w:rPr>
      </w:pPr>
      <w:r w:rsidRPr="00756E63">
        <w:rPr>
          <w:rStyle w:val="FootnoteReference"/>
          <w:sz w:val="16"/>
          <w:szCs w:val="16"/>
        </w:rPr>
        <w:footnoteRef/>
      </w:r>
      <w:r w:rsidRPr="00756E63">
        <w:rPr>
          <w:sz w:val="16"/>
          <w:szCs w:val="16"/>
        </w:rPr>
        <w:t xml:space="preserve"> </w:t>
      </w:r>
      <w:r w:rsidRPr="00756E63">
        <w:rPr>
          <w:rFonts w:ascii="Times New Roman" w:hAnsi="Times New Roman"/>
          <w:sz w:val="16"/>
          <w:szCs w:val="16"/>
        </w:rPr>
        <w:t xml:space="preserve">Consultez les lignes directrices du CPI pour des recommandations plus détaillées sur l’inclusion des personnes handicapées dans l’action humanitaire, notamment pour obtenir des éléments transversaux et </w:t>
      </w:r>
      <w:r w:rsidR="00355C4D">
        <w:rPr>
          <w:rFonts w:ascii="Times New Roman" w:hAnsi="Times New Roman"/>
          <w:sz w:val="16"/>
          <w:szCs w:val="16"/>
        </w:rPr>
        <w:t>propres</w:t>
      </w:r>
      <w:r w:rsidR="00355C4D" w:rsidRPr="00756E63">
        <w:rPr>
          <w:rFonts w:ascii="Times New Roman" w:hAnsi="Times New Roman"/>
          <w:sz w:val="16"/>
          <w:szCs w:val="16"/>
        </w:rPr>
        <w:t xml:space="preserve"> </w:t>
      </w:r>
      <w:r w:rsidRPr="00756E63">
        <w:rPr>
          <w:rFonts w:ascii="Times New Roman" w:hAnsi="Times New Roman"/>
          <w:sz w:val="16"/>
          <w:szCs w:val="16"/>
        </w:rPr>
        <w:t xml:space="preserve">à certains secteurs, pour savoir comment donner des moyens d’action aux organisations de personnes handicapées et pour connaître les rôles et les responsabilités des principales parties prenantes. </w:t>
      </w:r>
    </w:p>
  </w:footnote>
  <w:footnote w:id="2">
    <w:p w14:paraId="6C67AB2A" w14:textId="77777777" w:rsidR="00A41CE6" w:rsidRPr="00756E63" w:rsidRDefault="00A41CE6" w:rsidP="00A41CE6">
      <w:pPr>
        <w:pStyle w:val="FootnoteText"/>
        <w:rPr>
          <w:sz w:val="16"/>
          <w:szCs w:val="16"/>
        </w:rPr>
      </w:pPr>
      <w:r w:rsidRPr="00756E63">
        <w:rPr>
          <w:rStyle w:val="FootnoteReference"/>
          <w:sz w:val="16"/>
          <w:szCs w:val="16"/>
        </w:rPr>
        <w:footnoteRef/>
      </w:r>
      <w:r w:rsidRPr="00756E63">
        <w:rPr>
          <w:sz w:val="16"/>
          <w:szCs w:val="16"/>
        </w:rPr>
        <w:t xml:space="preserve"> La présente note s’appuie également sur les recommandations de l’Organisation mondiale de la Santé (OMS) figurant dans les </w:t>
      </w:r>
      <w:hyperlink r:id="rId1" w:history="1">
        <w:r w:rsidRPr="00756E63">
          <w:rPr>
            <w:rStyle w:val="Hyperlink"/>
            <w:sz w:val="16"/>
            <w:szCs w:val="16"/>
          </w:rPr>
          <w:t>Considérations relatives aux personnes handicapées à prendre en compte dans le cadre de la flambée de COVID-19</w:t>
        </w:r>
      </w:hyperlink>
      <w:r w:rsidRPr="00756E63">
        <w:rPr>
          <w:sz w:val="16"/>
          <w:szCs w:val="16"/>
        </w:rPr>
        <w:t xml:space="preserve"> et applique ces recommandations aux contextes humanitaires.</w:t>
      </w:r>
    </w:p>
  </w:footnote>
  <w:footnote w:id="3">
    <w:p w14:paraId="601E570D" w14:textId="77777777" w:rsidR="00426776" w:rsidRPr="00756E63" w:rsidRDefault="00426776">
      <w:pPr>
        <w:pStyle w:val="FootnoteText"/>
        <w:rPr>
          <w:sz w:val="16"/>
          <w:szCs w:val="16"/>
        </w:rPr>
      </w:pPr>
      <w:r w:rsidRPr="00756E63">
        <w:rPr>
          <w:rStyle w:val="FootnoteReference"/>
          <w:sz w:val="16"/>
          <w:szCs w:val="16"/>
        </w:rPr>
        <w:footnoteRef/>
      </w:r>
      <w:r w:rsidRPr="00756E63">
        <w:rPr>
          <w:sz w:val="16"/>
          <w:szCs w:val="16"/>
        </w:rPr>
        <w:t xml:space="preserve"> Organisation mondiale de la Santé (2020), </w:t>
      </w:r>
      <w:r w:rsidRPr="00756E63">
        <w:rPr>
          <w:i/>
          <w:iCs/>
          <w:sz w:val="16"/>
          <w:szCs w:val="16"/>
        </w:rPr>
        <w:t>Considérations relatives aux personnes handicapées à prendre en compte dans le cadre de la flambée de COVID-19</w:t>
      </w:r>
      <w:r w:rsidRPr="00756E63">
        <w:rPr>
          <w:sz w:val="16"/>
          <w:szCs w:val="16"/>
        </w:rPr>
        <w:t xml:space="preserve"> </w:t>
      </w:r>
    </w:p>
  </w:footnote>
  <w:footnote w:id="4">
    <w:p w14:paraId="06FE840A" w14:textId="77777777" w:rsidR="00A41CE6" w:rsidRPr="00756E63" w:rsidRDefault="00A41CE6" w:rsidP="00A41CE6">
      <w:pPr>
        <w:pStyle w:val="FootnoteText"/>
        <w:rPr>
          <w:sz w:val="16"/>
          <w:szCs w:val="16"/>
        </w:rPr>
      </w:pPr>
      <w:r w:rsidRPr="00756E63">
        <w:rPr>
          <w:rStyle w:val="FootnoteReference"/>
          <w:sz w:val="16"/>
          <w:szCs w:val="16"/>
        </w:rPr>
        <w:footnoteRef/>
      </w:r>
      <w:r w:rsidRPr="00756E63">
        <w:rPr>
          <w:sz w:val="16"/>
          <w:szCs w:val="16"/>
        </w:rPr>
        <w:t xml:space="preserve"> </w:t>
      </w:r>
      <w:hyperlink r:id="rId2" w:history="1">
        <w:r w:rsidRPr="00756E63">
          <w:rPr>
            <w:rStyle w:val="Hyperlink"/>
            <w:sz w:val="16"/>
            <w:szCs w:val="16"/>
          </w:rPr>
          <w:t>https://www.un.org/development/desa/disabilities/disability-and-ageing.html</w:t>
        </w:r>
      </w:hyperlink>
      <w:r w:rsidRPr="00756E63">
        <w:rPr>
          <w:sz w:val="16"/>
          <w:szCs w:val="16"/>
        </w:rPr>
        <w:t xml:space="preserve"> </w:t>
      </w:r>
    </w:p>
  </w:footnote>
  <w:footnote w:id="5">
    <w:p w14:paraId="6D1C1FD7" w14:textId="77777777" w:rsidR="00A41CE6" w:rsidRPr="00756E63" w:rsidRDefault="00A41CE6" w:rsidP="00A41CE6">
      <w:pPr>
        <w:pStyle w:val="FootnoteText"/>
        <w:rPr>
          <w:sz w:val="16"/>
          <w:szCs w:val="16"/>
        </w:rPr>
      </w:pPr>
      <w:r w:rsidRPr="00756E63">
        <w:rPr>
          <w:rStyle w:val="FootnoteReference"/>
          <w:sz w:val="16"/>
          <w:szCs w:val="16"/>
        </w:rPr>
        <w:footnoteRef/>
      </w:r>
      <w:r w:rsidRPr="00756E63">
        <w:rPr>
          <w:sz w:val="16"/>
          <w:szCs w:val="16"/>
        </w:rPr>
        <w:t xml:space="preserve"> Le cas échéant, des personnes de confiance peuvent également participer. Toutefois, les personnes handicapées doivent rester au centre de l’intervention.</w:t>
      </w:r>
    </w:p>
  </w:footnote>
  <w:footnote w:id="6">
    <w:p w14:paraId="6AFE5B63" w14:textId="2B72E685" w:rsidR="00A41CE6" w:rsidRPr="00293260" w:rsidRDefault="00A41CE6" w:rsidP="00A41CE6">
      <w:pPr>
        <w:pStyle w:val="FootnoteText"/>
      </w:pPr>
      <w:r w:rsidRPr="00756E63">
        <w:rPr>
          <w:rStyle w:val="FootnoteReference"/>
          <w:sz w:val="16"/>
          <w:szCs w:val="16"/>
        </w:rPr>
        <w:footnoteRef/>
      </w:r>
      <w:r w:rsidRPr="00756E63">
        <w:rPr>
          <w:sz w:val="16"/>
          <w:szCs w:val="16"/>
        </w:rPr>
        <w:t xml:space="preserve"> Conformément aux conseils de l’OMS sur l’utilisation du masque dans le contexte de la COVID-19</w:t>
      </w:r>
      <w:r w:rsidR="00863647">
        <w:rPr>
          <w:sz w:val="16"/>
          <w:szCs w:val="16"/>
        </w:rPr>
        <w:t>, voir :</w:t>
      </w:r>
      <w:r w:rsidRPr="00756E63">
        <w:rPr>
          <w:sz w:val="16"/>
          <w:szCs w:val="16"/>
        </w:rPr>
        <w:t xml:space="preserve"> </w:t>
      </w:r>
      <w:hyperlink r:id="rId3" w:history="1">
        <w:r w:rsidRPr="00756E63">
          <w:rPr>
            <w:rStyle w:val="Hyperlink"/>
            <w:sz w:val="16"/>
            <w:szCs w:val="16"/>
          </w:rPr>
          <w:t>https://www.who.int/publications-detail/advice-on-the-use-of-masks-in-the-community-during-home-care-and-in-healthcare-settings-in-the-context-of-the-novel-coronavirus-(2019-ncov)-outbreak</w:t>
        </w:r>
      </w:hyperlink>
    </w:p>
  </w:footnote>
  <w:footnote w:id="7">
    <w:p w14:paraId="3B04CE8A" w14:textId="77777777" w:rsidR="00A41CE6" w:rsidRPr="00756E63" w:rsidRDefault="00A41CE6" w:rsidP="00A41CE6">
      <w:pPr>
        <w:pStyle w:val="FootnoteText"/>
        <w:rPr>
          <w:sz w:val="16"/>
          <w:szCs w:val="16"/>
        </w:rPr>
      </w:pPr>
      <w:r w:rsidRPr="00756E63">
        <w:rPr>
          <w:rStyle w:val="FootnoteReference"/>
          <w:sz w:val="16"/>
          <w:szCs w:val="16"/>
        </w:rPr>
        <w:footnoteRef/>
      </w:r>
      <w:r w:rsidRPr="00756E63">
        <w:rPr>
          <w:sz w:val="16"/>
          <w:szCs w:val="16"/>
        </w:rPr>
        <w:t xml:space="preserve"> Voir la </w:t>
      </w:r>
      <w:hyperlink r:id="rId4" w:history="1">
        <w:r w:rsidRPr="00756E63">
          <w:rPr>
            <w:rStyle w:val="Hyperlink"/>
            <w:sz w:val="16"/>
            <w:szCs w:val="16"/>
          </w:rPr>
          <w:t>Note d’information provisoire sur la prise en compte des aspects psychosociaux et de santé mentale de l’épidémie COVID-19</w:t>
        </w:r>
      </w:hyperlink>
      <w:r w:rsidRPr="00756E63">
        <w:rPr>
          <w:sz w:val="16"/>
          <w:szCs w:val="16"/>
        </w:rPr>
        <w:t xml:space="preserve"> du CPI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C7AF9" w14:textId="757BD879" w:rsidR="0011395A" w:rsidRPr="0011395A" w:rsidRDefault="0011395A" w:rsidP="0011395A">
    <w:pPr>
      <w:rPr>
        <w:b/>
        <w:bCs/>
        <w:sz w:val="24"/>
        <w:szCs w:val="24"/>
      </w:rPr>
    </w:pPr>
    <w:r>
      <w:rPr>
        <w:b/>
        <w:bCs/>
        <w:sz w:val="24"/>
        <w:szCs w:val="24"/>
      </w:rPr>
      <w:t>Translation by UNICEF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30F8F"/>
    <w:multiLevelType w:val="hybridMultilevel"/>
    <w:tmpl w:val="0D06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E5E94"/>
    <w:multiLevelType w:val="hybridMultilevel"/>
    <w:tmpl w:val="DBE8DB4A"/>
    <w:lvl w:ilvl="0" w:tplc="419699BE">
      <w:start w:val="1"/>
      <w:numFmt w:val="upperRoman"/>
      <w:lvlText w:val="%1."/>
      <w:lvlJc w:val="left"/>
      <w:pPr>
        <w:ind w:left="1080" w:hanging="72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A1D88"/>
    <w:multiLevelType w:val="multilevel"/>
    <w:tmpl w:val="4EE04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22C11"/>
    <w:multiLevelType w:val="hybridMultilevel"/>
    <w:tmpl w:val="7D8031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52CEF"/>
    <w:multiLevelType w:val="hybridMultilevel"/>
    <w:tmpl w:val="F95AA3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93E31"/>
    <w:multiLevelType w:val="hybridMultilevel"/>
    <w:tmpl w:val="306E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86868"/>
    <w:multiLevelType w:val="hybridMultilevel"/>
    <w:tmpl w:val="7AF4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51311"/>
    <w:multiLevelType w:val="hybridMultilevel"/>
    <w:tmpl w:val="6C94F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57FB2"/>
    <w:multiLevelType w:val="hybridMultilevel"/>
    <w:tmpl w:val="2E18AD6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64BE4"/>
    <w:multiLevelType w:val="hybridMultilevel"/>
    <w:tmpl w:val="61E05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5"/>
  </w:num>
  <w:num w:numId="5">
    <w:abstractNumId w:val="0"/>
  </w:num>
  <w:num w:numId="6">
    <w:abstractNumId w:val="7"/>
  </w:num>
  <w:num w:numId="7">
    <w:abstractNumId w:val="8"/>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64"/>
    <w:rsid w:val="0001486E"/>
    <w:rsid w:val="000503FD"/>
    <w:rsid w:val="000C34BF"/>
    <w:rsid w:val="000C6460"/>
    <w:rsid w:val="00107910"/>
    <w:rsid w:val="0011395A"/>
    <w:rsid w:val="0012514E"/>
    <w:rsid w:val="00141050"/>
    <w:rsid w:val="001A5AD0"/>
    <w:rsid w:val="00286014"/>
    <w:rsid w:val="002E3957"/>
    <w:rsid w:val="002E3E29"/>
    <w:rsid w:val="00320D07"/>
    <w:rsid w:val="00345854"/>
    <w:rsid w:val="00355C4D"/>
    <w:rsid w:val="003B5804"/>
    <w:rsid w:val="003F5A64"/>
    <w:rsid w:val="00426776"/>
    <w:rsid w:val="00464106"/>
    <w:rsid w:val="00684D92"/>
    <w:rsid w:val="006909D5"/>
    <w:rsid w:val="006B36C5"/>
    <w:rsid w:val="006F5A10"/>
    <w:rsid w:val="00745395"/>
    <w:rsid w:val="007470A0"/>
    <w:rsid w:val="00756E63"/>
    <w:rsid w:val="007F0841"/>
    <w:rsid w:val="0082552A"/>
    <w:rsid w:val="00863647"/>
    <w:rsid w:val="00873647"/>
    <w:rsid w:val="00965A6D"/>
    <w:rsid w:val="009E1A7E"/>
    <w:rsid w:val="00A41CE6"/>
    <w:rsid w:val="00A743A9"/>
    <w:rsid w:val="00AA438F"/>
    <w:rsid w:val="00B14B24"/>
    <w:rsid w:val="00B85C3C"/>
    <w:rsid w:val="00BA5DDE"/>
    <w:rsid w:val="00BF47BF"/>
    <w:rsid w:val="00C65F8C"/>
    <w:rsid w:val="00CA2C0A"/>
    <w:rsid w:val="00D218FB"/>
    <w:rsid w:val="00D56F04"/>
    <w:rsid w:val="00E30D5B"/>
    <w:rsid w:val="00FA2AF6"/>
    <w:rsid w:val="00FC1317"/>
    <w:rsid w:val="00FE4D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9D6E"/>
  <w15:chartTrackingRefBased/>
  <w15:docId w15:val="{7D32D555-24EC-4817-9ECB-B7B3B33A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1CE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A41CE6"/>
    <w:rPr>
      <w:rFonts w:ascii="Times New Roman" w:eastAsia="Times New Roman" w:hAnsi="Times New Roman" w:cs="Times New Roman"/>
      <w:sz w:val="20"/>
      <w:szCs w:val="20"/>
      <w:lang w:val="fr-FR" w:eastAsia="en-GB"/>
    </w:rPr>
  </w:style>
  <w:style w:type="character" w:styleId="FootnoteReference">
    <w:name w:val="footnote reference"/>
    <w:basedOn w:val="DefaultParagraphFont"/>
    <w:uiPriority w:val="99"/>
    <w:semiHidden/>
    <w:unhideWhenUsed/>
    <w:rsid w:val="00A41CE6"/>
    <w:rPr>
      <w:vertAlign w:val="superscript"/>
    </w:rPr>
  </w:style>
  <w:style w:type="character" w:styleId="Hyperlink">
    <w:name w:val="Hyperlink"/>
    <w:basedOn w:val="DefaultParagraphFont"/>
    <w:uiPriority w:val="99"/>
    <w:unhideWhenUsed/>
    <w:rsid w:val="00A41CE6"/>
    <w:rPr>
      <w:color w:val="0000FF"/>
      <w:u w:val="single"/>
    </w:rPr>
  </w:style>
  <w:style w:type="paragraph" w:styleId="ListParagraph">
    <w:name w:val="List Paragraph"/>
    <w:basedOn w:val="Normal"/>
    <w:uiPriority w:val="34"/>
    <w:qFormat/>
    <w:rsid w:val="00A41CE6"/>
    <w:pPr>
      <w:ind w:left="720"/>
      <w:contextualSpacing/>
    </w:pPr>
  </w:style>
  <w:style w:type="paragraph" w:styleId="BalloonText">
    <w:name w:val="Balloon Text"/>
    <w:basedOn w:val="Normal"/>
    <w:link w:val="BalloonTextChar"/>
    <w:uiPriority w:val="99"/>
    <w:semiHidden/>
    <w:unhideWhenUsed/>
    <w:rsid w:val="00426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776"/>
    <w:rPr>
      <w:rFonts w:ascii="Segoe UI" w:hAnsi="Segoe UI" w:cs="Segoe UI"/>
      <w:sz w:val="18"/>
      <w:szCs w:val="18"/>
    </w:rPr>
  </w:style>
  <w:style w:type="character" w:styleId="UnresolvedMention">
    <w:name w:val="Unresolved Mention"/>
    <w:basedOn w:val="DefaultParagraphFont"/>
    <w:uiPriority w:val="99"/>
    <w:semiHidden/>
    <w:unhideWhenUsed/>
    <w:rsid w:val="00426776"/>
    <w:rPr>
      <w:color w:val="605E5C"/>
      <w:shd w:val="clear" w:color="auto" w:fill="E1DFDD"/>
    </w:rPr>
  </w:style>
  <w:style w:type="paragraph" w:styleId="Header">
    <w:name w:val="header"/>
    <w:basedOn w:val="Normal"/>
    <w:link w:val="HeaderChar"/>
    <w:uiPriority w:val="99"/>
    <w:unhideWhenUsed/>
    <w:rsid w:val="00426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776"/>
  </w:style>
  <w:style w:type="paragraph" w:styleId="Footer">
    <w:name w:val="footer"/>
    <w:basedOn w:val="Normal"/>
    <w:link w:val="FooterChar"/>
    <w:uiPriority w:val="99"/>
    <w:unhideWhenUsed/>
    <w:rsid w:val="00426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776"/>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86364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F47BF"/>
    <w:rPr>
      <w:b/>
      <w:bCs/>
    </w:rPr>
  </w:style>
  <w:style w:type="character" w:customStyle="1" w:styleId="CommentTextChar">
    <w:name w:val="Comment Text Char"/>
    <w:basedOn w:val="DefaultParagraphFont"/>
    <w:link w:val="CommentText"/>
    <w:uiPriority w:val="99"/>
    <w:semiHidden/>
    <w:rsid w:val="00BF47BF"/>
    <w:rPr>
      <w:sz w:val="20"/>
      <w:szCs w:val="20"/>
    </w:rPr>
  </w:style>
  <w:style w:type="character" w:customStyle="1" w:styleId="CommentSubjectChar">
    <w:name w:val="Comment Subject Char"/>
    <w:basedOn w:val="CommentTextChar"/>
    <w:link w:val="CommentSubject"/>
    <w:uiPriority w:val="99"/>
    <w:semiHidden/>
    <w:rsid w:val="00BF47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agencystandingcommittee.org/iasc-task-team-inclusion-persons-disabilities-humanitarian-action/documents/iasc-guidelin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publications-detail/advice-on-the-use-of-masks-in-the-community-during-home-care-and-in-healthcare-settings-in-the-context-of-the-novel-coronavirus-(2019-ncov)-outbreak" TargetMode="External"/><Relationship Id="rId2" Type="http://schemas.openxmlformats.org/officeDocument/2006/relationships/hyperlink" Target="https://www.un.org/development/desa/disabilities/disability-and-ageing.html" TargetMode="External"/><Relationship Id="rId1" Type="http://schemas.openxmlformats.org/officeDocument/2006/relationships/hyperlink" Target="https://www.who.int/who-documents-detail/disability-considerations-during-the-covid-19-outbreak" TargetMode="External"/><Relationship Id="rId4" Type="http://schemas.openxmlformats.org/officeDocument/2006/relationships/hyperlink" Target="https://interagencystandingcommittee.org/iasc-reference-group-mental-health-and-psychosocial-support-emergency-settings/interim-brief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F008C75054E743B1CB9C7CC1987E1C" ma:contentTypeVersion="13" ma:contentTypeDescription="Create a new document." ma:contentTypeScope="" ma:versionID="e0ddb177cbe11c9c6d99e658ee090e7d">
  <xsd:schema xmlns:xsd="http://www.w3.org/2001/XMLSchema" xmlns:xs="http://www.w3.org/2001/XMLSchema" xmlns:p="http://schemas.microsoft.com/office/2006/metadata/properties" xmlns:ns3="d585b67a-a9a1-4bec-bbf7-fa8570651180" xmlns:ns4="3565d785-7a2d-46b8-b0fd-4f1af21f9e10" targetNamespace="http://schemas.microsoft.com/office/2006/metadata/properties" ma:root="true" ma:fieldsID="e521a7dae88ab02ad1c310c82d3cbd5e" ns3:_="" ns4:_="">
    <xsd:import namespace="d585b67a-a9a1-4bec-bbf7-fa8570651180"/>
    <xsd:import namespace="3565d785-7a2d-46b8-b0fd-4f1af21f9e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5b67a-a9a1-4bec-bbf7-fa85706511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5d785-7a2d-46b8-b0fd-4f1af21f9e1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133942-EE93-4D19-8BE0-5A2A9C8C7F14}">
  <ds:schemaRefs>
    <ds:schemaRef ds:uri="http://schemas.microsoft.com/sharepoint/v3/contenttype/forms"/>
  </ds:schemaRefs>
</ds:datastoreItem>
</file>

<file path=customXml/itemProps2.xml><?xml version="1.0" encoding="utf-8"?>
<ds:datastoreItem xmlns:ds="http://schemas.openxmlformats.org/officeDocument/2006/customXml" ds:itemID="{D404A05B-20E9-460C-8F4D-4B16FF719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5b67a-a9a1-4bec-bbf7-fa8570651180"/>
    <ds:schemaRef ds:uri="3565d785-7a2d-46b8-b0fd-4f1af21f9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14C35-AA8D-487C-83A2-9C1DAC237422}">
  <ds:schemaRefs>
    <ds:schemaRef ds:uri="http://schemas.openxmlformats.org/officeDocument/2006/bibliography"/>
  </ds:schemaRefs>
</ds:datastoreItem>
</file>

<file path=customXml/itemProps4.xml><?xml version="1.0" encoding="utf-8"?>
<ds:datastoreItem xmlns:ds="http://schemas.openxmlformats.org/officeDocument/2006/customXml" ds:itemID="{811A823C-B858-4EF4-B976-1A579BD81D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Lange</dc:creator>
  <cp:keywords/>
  <dc:description/>
  <cp:lastModifiedBy>Talin Avades</cp:lastModifiedBy>
  <cp:revision>24</cp:revision>
  <dcterms:created xsi:type="dcterms:W3CDTF">2020-09-01T13:51:00Z</dcterms:created>
  <dcterms:modified xsi:type="dcterms:W3CDTF">2020-09-02T11:36:00Z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0x01010053F008C75054E743B1CB9C7CC1987E1C</vt:lpwstr>
  </property>
</Properties>
</file>