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F3473" w14:textId="05AD47E1" w:rsidR="00F9342C" w:rsidRPr="00D47073" w:rsidRDefault="00F9342C" w:rsidP="00D47073">
      <w:pPr>
        <w:jc w:val="center"/>
        <w:rPr>
          <w:rFonts w:ascii="Verdana" w:hAnsi="Verdana"/>
          <w:b/>
          <w:sz w:val="22"/>
          <w:szCs w:val="22"/>
        </w:rPr>
      </w:pPr>
      <w:r w:rsidRPr="00D47073">
        <w:rPr>
          <w:rFonts w:ascii="Verdana" w:hAnsi="Verdana"/>
          <w:b/>
          <w:sz w:val="22"/>
          <w:szCs w:val="22"/>
        </w:rPr>
        <w:t>The Role of Citizens in Data Collection and Accountability toward the HLPF</w:t>
      </w:r>
    </w:p>
    <w:p w14:paraId="588BC910" w14:textId="3E00A839" w:rsidR="00F9342C" w:rsidRPr="00D47073" w:rsidRDefault="00A031DF" w:rsidP="00D47073">
      <w:pPr>
        <w:jc w:val="center"/>
        <w:rPr>
          <w:rFonts w:ascii="Verdana" w:hAnsi="Verdana"/>
          <w:sz w:val="22"/>
          <w:szCs w:val="22"/>
        </w:rPr>
      </w:pPr>
      <w:r w:rsidRPr="00D47073">
        <w:rPr>
          <w:rFonts w:ascii="Verdana" w:hAnsi="Verdana"/>
          <w:sz w:val="22"/>
          <w:szCs w:val="22"/>
        </w:rPr>
        <w:t>c</w:t>
      </w:r>
      <w:r w:rsidR="00F9342C" w:rsidRPr="00D47073">
        <w:rPr>
          <w:rFonts w:ascii="Verdana" w:hAnsi="Verdana"/>
          <w:sz w:val="22"/>
          <w:szCs w:val="22"/>
        </w:rPr>
        <w:t>ombined with</w:t>
      </w:r>
    </w:p>
    <w:p w14:paraId="63AB26C7" w14:textId="47A88395" w:rsidR="00F9342C" w:rsidRPr="00D47073" w:rsidRDefault="00F9342C" w:rsidP="00D47073">
      <w:pPr>
        <w:jc w:val="center"/>
        <w:rPr>
          <w:rFonts w:ascii="Verdana" w:hAnsi="Verdana"/>
          <w:b/>
          <w:sz w:val="22"/>
          <w:szCs w:val="22"/>
        </w:rPr>
      </w:pPr>
      <w:r w:rsidRPr="00D47073">
        <w:rPr>
          <w:rFonts w:ascii="Verdana" w:hAnsi="Verdana"/>
          <w:b/>
          <w:sz w:val="22"/>
          <w:szCs w:val="22"/>
        </w:rPr>
        <w:t>EVERYONE COUNTS: Using Citizen-generated data to monitor progress against the SDGs</w:t>
      </w:r>
    </w:p>
    <w:p w14:paraId="000B3B01" w14:textId="77777777" w:rsidR="00F9342C" w:rsidRPr="00D47073" w:rsidRDefault="00F9342C" w:rsidP="00D47073">
      <w:pPr>
        <w:jc w:val="center"/>
        <w:rPr>
          <w:rFonts w:ascii="Verdana" w:hAnsi="Verdana"/>
          <w:b/>
          <w:sz w:val="22"/>
          <w:szCs w:val="22"/>
        </w:rPr>
      </w:pPr>
    </w:p>
    <w:p w14:paraId="49E345B1" w14:textId="50F0355B" w:rsidR="00F9342C" w:rsidRPr="00D47073" w:rsidRDefault="00F9342C" w:rsidP="00D47073">
      <w:pPr>
        <w:jc w:val="center"/>
        <w:rPr>
          <w:rFonts w:ascii="Verdana" w:hAnsi="Verdana"/>
          <w:sz w:val="22"/>
          <w:szCs w:val="22"/>
        </w:rPr>
      </w:pPr>
      <w:r w:rsidRPr="00D47073">
        <w:rPr>
          <w:rFonts w:ascii="Verdana" w:hAnsi="Verdana"/>
          <w:sz w:val="22"/>
          <w:szCs w:val="22"/>
        </w:rPr>
        <w:t>Room E, 1:15 – 2:30pm</w:t>
      </w:r>
    </w:p>
    <w:p w14:paraId="3EE052F5" w14:textId="41512C69" w:rsidR="00F9342C" w:rsidRPr="00D47073" w:rsidRDefault="00F9342C" w:rsidP="00D47073">
      <w:pPr>
        <w:jc w:val="center"/>
        <w:rPr>
          <w:rFonts w:ascii="Verdana" w:hAnsi="Verdana"/>
          <w:sz w:val="22"/>
          <w:szCs w:val="22"/>
        </w:rPr>
      </w:pPr>
      <w:r w:rsidRPr="00D47073">
        <w:rPr>
          <w:rFonts w:ascii="Verdana" w:hAnsi="Verdana"/>
          <w:sz w:val="22"/>
          <w:szCs w:val="22"/>
        </w:rPr>
        <w:t>Thursday, July 14</w:t>
      </w:r>
      <w:r w:rsidRPr="00D47073">
        <w:rPr>
          <w:rFonts w:ascii="Verdana" w:hAnsi="Verdana"/>
          <w:sz w:val="22"/>
          <w:szCs w:val="22"/>
          <w:vertAlign w:val="superscript"/>
        </w:rPr>
        <w:t>th</w:t>
      </w:r>
    </w:p>
    <w:p w14:paraId="18479FFB" w14:textId="77777777" w:rsidR="00815186" w:rsidRPr="00D47073" w:rsidRDefault="00815186" w:rsidP="00D47073">
      <w:pPr>
        <w:jc w:val="center"/>
        <w:rPr>
          <w:rFonts w:ascii="Verdana" w:hAnsi="Verdana"/>
          <w:b/>
          <w:sz w:val="22"/>
          <w:szCs w:val="22"/>
        </w:rPr>
      </w:pPr>
    </w:p>
    <w:p w14:paraId="7216EB7A" w14:textId="20315535" w:rsidR="00037AF4" w:rsidRPr="00D47073" w:rsidRDefault="0017329F" w:rsidP="00D47073">
      <w:pPr>
        <w:jc w:val="center"/>
        <w:rPr>
          <w:rFonts w:ascii="Verdana" w:hAnsi="Verdana"/>
          <w:b/>
          <w:sz w:val="22"/>
          <w:szCs w:val="22"/>
        </w:rPr>
      </w:pPr>
      <w:r w:rsidRPr="00D47073">
        <w:rPr>
          <w:rFonts w:ascii="Verdana" w:hAnsi="Verdana"/>
          <w:b/>
          <w:sz w:val="22"/>
          <w:szCs w:val="22"/>
        </w:rPr>
        <w:t xml:space="preserve">Example on how to </w:t>
      </w:r>
      <w:r w:rsidR="00037AF4" w:rsidRPr="00D47073">
        <w:rPr>
          <w:rFonts w:ascii="Verdana" w:hAnsi="Verdana"/>
          <w:b/>
          <w:sz w:val="22"/>
          <w:szCs w:val="22"/>
        </w:rPr>
        <w:t>Disaggregate SDG Indicators by Disability</w:t>
      </w:r>
      <w:r w:rsidR="00A031DF" w:rsidRPr="00D47073">
        <w:rPr>
          <w:rFonts w:ascii="Verdana" w:hAnsi="Verdana"/>
          <w:b/>
          <w:sz w:val="22"/>
          <w:szCs w:val="22"/>
        </w:rPr>
        <w:t xml:space="preserve"> at</w:t>
      </w:r>
      <w:r w:rsidRPr="00D47073">
        <w:rPr>
          <w:rFonts w:ascii="Verdana" w:hAnsi="Verdana"/>
          <w:b/>
          <w:sz w:val="22"/>
          <w:szCs w:val="22"/>
        </w:rPr>
        <w:t xml:space="preserve"> the national level</w:t>
      </w:r>
    </w:p>
    <w:p w14:paraId="74549EC1" w14:textId="77777777" w:rsidR="00037AF4" w:rsidRPr="00D47073" w:rsidRDefault="00037AF4" w:rsidP="00D47073">
      <w:pPr>
        <w:jc w:val="both"/>
        <w:rPr>
          <w:rFonts w:ascii="Verdana" w:hAnsi="Verdana"/>
          <w:b/>
          <w:sz w:val="22"/>
          <w:szCs w:val="22"/>
        </w:rPr>
      </w:pPr>
    </w:p>
    <w:p w14:paraId="25FC7657" w14:textId="77777777" w:rsidR="0017329F" w:rsidRPr="00D47073" w:rsidRDefault="0017329F" w:rsidP="00D47073">
      <w:pPr>
        <w:jc w:val="both"/>
        <w:rPr>
          <w:rFonts w:ascii="Verdana" w:hAnsi="Verdana"/>
          <w:b/>
          <w:sz w:val="22"/>
          <w:szCs w:val="22"/>
        </w:rPr>
      </w:pPr>
    </w:p>
    <w:p w14:paraId="05ED48FE" w14:textId="57D1FE0D" w:rsidR="00692683" w:rsidRPr="00D47073" w:rsidRDefault="00692683" w:rsidP="00D47073">
      <w:pPr>
        <w:pStyle w:val="ListParagraph"/>
        <w:numPr>
          <w:ilvl w:val="0"/>
          <w:numId w:val="2"/>
        </w:numPr>
        <w:jc w:val="both"/>
        <w:rPr>
          <w:rFonts w:ascii="Verdana" w:hAnsi="Verdana"/>
          <w:sz w:val="22"/>
          <w:szCs w:val="22"/>
        </w:rPr>
      </w:pPr>
      <w:r w:rsidRPr="00D47073">
        <w:rPr>
          <w:rFonts w:ascii="Verdana" w:hAnsi="Verdana"/>
          <w:sz w:val="22"/>
          <w:szCs w:val="22"/>
        </w:rPr>
        <w:t xml:space="preserve">The overriding principle of the 2030 Agenda and the Sustainable Development Goals (SDGs) is to ensure that no one is left behind. To that end, </w:t>
      </w:r>
      <w:r w:rsidR="00283093" w:rsidRPr="00D47073">
        <w:rPr>
          <w:rFonts w:ascii="Verdana" w:hAnsi="Verdana"/>
          <w:sz w:val="22"/>
          <w:szCs w:val="22"/>
        </w:rPr>
        <w:t xml:space="preserve">the </w:t>
      </w:r>
      <w:r w:rsidR="0017329F" w:rsidRPr="00D47073">
        <w:rPr>
          <w:rFonts w:ascii="Verdana" w:hAnsi="Verdana"/>
          <w:sz w:val="22"/>
          <w:szCs w:val="22"/>
        </w:rPr>
        <w:t>SDGs recommend</w:t>
      </w:r>
      <w:r w:rsidR="00283093" w:rsidRPr="00D47073">
        <w:rPr>
          <w:rFonts w:ascii="Verdana" w:hAnsi="Verdana"/>
          <w:sz w:val="22"/>
          <w:szCs w:val="22"/>
        </w:rPr>
        <w:t xml:space="preserve"> that Member States</w:t>
      </w:r>
      <w:r w:rsidR="0017329F" w:rsidRPr="00D47073">
        <w:rPr>
          <w:rFonts w:ascii="Verdana" w:hAnsi="Verdana"/>
          <w:sz w:val="22"/>
          <w:szCs w:val="22"/>
        </w:rPr>
        <w:t xml:space="preserve"> disaggregate data by disability and in addition</w:t>
      </w:r>
      <w:r w:rsidRPr="00D47073">
        <w:rPr>
          <w:rFonts w:ascii="Verdana" w:hAnsi="Verdana"/>
          <w:sz w:val="22"/>
          <w:szCs w:val="22"/>
        </w:rPr>
        <w:t xml:space="preserve"> </w:t>
      </w:r>
      <w:r w:rsidR="0017329F" w:rsidRPr="00D47073">
        <w:rPr>
          <w:rFonts w:ascii="Verdana" w:hAnsi="Verdana"/>
          <w:sz w:val="22"/>
          <w:szCs w:val="22"/>
        </w:rPr>
        <w:t>t</w:t>
      </w:r>
      <w:r w:rsidR="000902BD" w:rsidRPr="00D47073">
        <w:rPr>
          <w:rFonts w:ascii="Verdana" w:hAnsi="Verdana"/>
          <w:sz w:val="22"/>
          <w:szCs w:val="22"/>
        </w:rPr>
        <w:t>he</w:t>
      </w:r>
      <w:r w:rsidR="0017329F" w:rsidRPr="00D47073">
        <w:rPr>
          <w:rFonts w:ascii="Verdana" w:hAnsi="Verdana"/>
          <w:sz w:val="22"/>
          <w:szCs w:val="22"/>
        </w:rPr>
        <w:t xml:space="preserve"> global indicator framework</w:t>
      </w:r>
      <w:r w:rsidR="000902BD" w:rsidRPr="00D47073">
        <w:rPr>
          <w:rFonts w:ascii="Verdana" w:hAnsi="Verdana"/>
          <w:sz w:val="22"/>
          <w:szCs w:val="22"/>
        </w:rPr>
        <w:t xml:space="preserve"> for the</w:t>
      </w:r>
      <w:r w:rsidR="00283093" w:rsidRPr="00D47073">
        <w:rPr>
          <w:rFonts w:ascii="Verdana" w:hAnsi="Verdana"/>
          <w:sz w:val="22"/>
          <w:szCs w:val="22"/>
        </w:rPr>
        <w:t xml:space="preserve"> SDGs</w:t>
      </w:r>
      <w:r w:rsidR="000902BD" w:rsidRPr="00D47073">
        <w:rPr>
          <w:rFonts w:ascii="Verdana" w:hAnsi="Verdana"/>
          <w:sz w:val="22"/>
          <w:szCs w:val="22"/>
        </w:rPr>
        <w:t xml:space="preserve"> </w:t>
      </w:r>
      <w:r w:rsidRPr="00D47073">
        <w:rPr>
          <w:rFonts w:ascii="Verdana" w:hAnsi="Verdana"/>
          <w:sz w:val="22"/>
          <w:szCs w:val="22"/>
        </w:rPr>
        <w:t xml:space="preserve">include a number of specific indicators related to disability. Without disaggregation by disability status, it is not possible to monitor </w:t>
      </w:r>
      <w:r w:rsidR="00283093" w:rsidRPr="00D47073">
        <w:rPr>
          <w:rFonts w:ascii="Verdana" w:hAnsi="Verdana"/>
          <w:sz w:val="22"/>
          <w:szCs w:val="22"/>
        </w:rPr>
        <w:t>the outcomes of 2030 A</w:t>
      </w:r>
      <w:r w:rsidRPr="00D47073">
        <w:rPr>
          <w:rFonts w:ascii="Verdana" w:hAnsi="Verdana"/>
          <w:sz w:val="22"/>
          <w:szCs w:val="22"/>
        </w:rPr>
        <w:t xml:space="preserve">genda activities </w:t>
      </w:r>
      <w:r w:rsidR="000902BD" w:rsidRPr="00D47073">
        <w:rPr>
          <w:rFonts w:ascii="Verdana" w:hAnsi="Verdana"/>
          <w:sz w:val="22"/>
          <w:szCs w:val="22"/>
        </w:rPr>
        <w:t>in a way that documents</w:t>
      </w:r>
      <w:r w:rsidRPr="00D47073">
        <w:rPr>
          <w:rFonts w:ascii="Verdana" w:hAnsi="Verdana"/>
          <w:sz w:val="22"/>
          <w:szCs w:val="22"/>
        </w:rPr>
        <w:t xml:space="preserve"> if people with disabilities are indeed being left behind or not.</w:t>
      </w:r>
    </w:p>
    <w:p w14:paraId="7B15DF62" w14:textId="77777777" w:rsidR="00692683" w:rsidRPr="00D47073" w:rsidRDefault="00692683" w:rsidP="00D47073">
      <w:pPr>
        <w:jc w:val="both"/>
        <w:rPr>
          <w:rFonts w:ascii="Verdana" w:hAnsi="Verdana"/>
          <w:sz w:val="22"/>
          <w:szCs w:val="22"/>
        </w:rPr>
      </w:pPr>
    </w:p>
    <w:p w14:paraId="5860451E" w14:textId="77777777" w:rsidR="0017329F" w:rsidRPr="00D47073" w:rsidRDefault="00A40D06" w:rsidP="00D47073">
      <w:pPr>
        <w:pStyle w:val="ListParagraph"/>
        <w:numPr>
          <w:ilvl w:val="0"/>
          <w:numId w:val="2"/>
        </w:numPr>
        <w:jc w:val="both"/>
        <w:rPr>
          <w:rFonts w:ascii="Verdana" w:hAnsi="Verdana"/>
          <w:sz w:val="22"/>
          <w:szCs w:val="22"/>
        </w:rPr>
      </w:pPr>
      <w:r w:rsidRPr="00D47073">
        <w:rPr>
          <w:rFonts w:ascii="Verdana" w:hAnsi="Verdana"/>
          <w:sz w:val="22"/>
          <w:szCs w:val="22"/>
        </w:rPr>
        <w:t xml:space="preserve">The Washington Group on Disability Statistics (WG) thus undertook an investigation to assess the current </w:t>
      </w:r>
      <w:r w:rsidR="0017329F" w:rsidRPr="00D47073">
        <w:rPr>
          <w:rFonts w:ascii="Verdana" w:hAnsi="Verdana"/>
          <w:sz w:val="22"/>
          <w:szCs w:val="22"/>
        </w:rPr>
        <w:t>whether</w:t>
      </w:r>
      <w:r w:rsidRPr="00D47073">
        <w:rPr>
          <w:rFonts w:ascii="Verdana" w:hAnsi="Verdana"/>
          <w:sz w:val="22"/>
          <w:szCs w:val="22"/>
        </w:rPr>
        <w:t xml:space="preserve"> </w:t>
      </w:r>
      <w:r w:rsidR="0017329F" w:rsidRPr="00D47073">
        <w:rPr>
          <w:rFonts w:ascii="Verdana" w:hAnsi="Verdana"/>
          <w:sz w:val="22"/>
          <w:szCs w:val="22"/>
        </w:rPr>
        <w:t>the</w:t>
      </w:r>
      <w:r w:rsidRPr="00D47073">
        <w:rPr>
          <w:rFonts w:ascii="Verdana" w:hAnsi="Verdana"/>
          <w:sz w:val="22"/>
          <w:szCs w:val="22"/>
        </w:rPr>
        <w:t xml:space="preserve"> national statistical offices </w:t>
      </w:r>
      <w:r w:rsidR="0017329F" w:rsidRPr="00D47073">
        <w:rPr>
          <w:rFonts w:ascii="Verdana" w:hAnsi="Verdana"/>
          <w:sz w:val="22"/>
          <w:szCs w:val="22"/>
        </w:rPr>
        <w:t xml:space="preserve">are capable </w:t>
      </w:r>
      <w:r w:rsidRPr="00D47073">
        <w:rPr>
          <w:rFonts w:ascii="Verdana" w:hAnsi="Verdana"/>
          <w:sz w:val="22"/>
          <w:szCs w:val="22"/>
        </w:rPr>
        <w:t xml:space="preserve">to disaggregate the SDG indicators by disability status. </w:t>
      </w:r>
      <w:r w:rsidR="0017329F" w:rsidRPr="00D47073">
        <w:rPr>
          <w:rFonts w:ascii="Verdana" w:hAnsi="Verdana"/>
          <w:sz w:val="22"/>
          <w:szCs w:val="22"/>
        </w:rPr>
        <w:t>(</w:t>
      </w:r>
      <w:r w:rsidRPr="00D47073">
        <w:rPr>
          <w:rFonts w:ascii="Verdana" w:hAnsi="Verdana"/>
          <w:sz w:val="22"/>
          <w:szCs w:val="22"/>
        </w:rPr>
        <w:t>The WG is a city group established by the UN Statistical Commission in 2001 to promote and coordinate international cooperation in the area of statistics focusing on disability measures suitable for censuses and national surveys. It is composed of national statistics offices (NSOs). In the past 15 years, over 135 countries have had representation in the WG.</w:t>
      </w:r>
      <w:r w:rsidR="0017329F" w:rsidRPr="00D47073">
        <w:rPr>
          <w:rFonts w:ascii="Verdana" w:hAnsi="Verdana"/>
          <w:sz w:val="22"/>
          <w:szCs w:val="22"/>
        </w:rPr>
        <w:t>)</w:t>
      </w:r>
    </w:p>
    <w:p w14:paraId="757D6449" w14:textId="77777777" w:rsidR="0017329F" w:rsidRPr="00D47073" w:rsidRDefault="0017329F" w:rsidP="00D47073">
      <w:pPr>
        <w:jc w:val="both"/>
        <w:rPr>
          <w:rFonts w:ascii="Verdana" w:hAnsi="Verdana"/>
          <w:sz w:val="22"/>
          <w:szCs w:val="22"/>
        </w:rPr>
      </w:pPr>
    </w:p>
    <w:p w14:paraId="001FE20F" w14:textId="77777777" w:rsidR="0017329F" w:rsidRPr="00D47073" w:rsidRDefault="0017329F" w:rsidP="00D47073">
      <w:pPr>
        <w:pStyle w:val="ListParagraph"/>
        <w:numPr>
          <w:ilvl w:val="0"/>
          <w:numId w:val="2"/>
        </w:numPr>
        <w:jc w:val="both"/>
        <w:rPr>
          <w:rFonts w:ascii="Verdana" w:hAnsi="Verdana"/>
          <w:sz w:val="22"/>
          <w:szCs w:val="22"/>
        </w:rPr>
      </w:pPr>
      <w:r w:rsidRPr="00D47073">
        <w:rPr>
          <w:rFonts w:ascii="Verdana" w:hAnsi="Verdana"/>
          <w:sz w:val="22"/>
          <w:szCs w:val="22"/>
        </w:rPr>
        <w:t>The</w:t>
      </w:r>
      <w:r w:rsidR="00692683" w:rsidRPr="00D47073">
        <w:rPr>
          <w:rFonts w:ascii="Verdana" w:hAnsi="Verdana"/>
          <w:sz w:val="22"/>
          <w:szCs w:val="22"/>
        </w:rPr>
        <w:t xml:space="preserve"> disaggregation</w:t>
      </w:r>
      <w:r w:rsidR="00862F3C" w:rsidRPr="00D47073">
        <w:rPr>
          <w:rFonts w:ascii="Verdana" w:hAnsi="Verdana"/>
          <w:sz w:val="22"/>
          <w:szCs w:val="22"/>
        </w:rPr>
        <w:t xml:space="preserve"> </w:t>
      </w:r>
      <w:r w:rsidR="00A40D06" w:rsidRPr="00D47073">
        <w:rPr>
          <w:rFonts w:ascii="Verdana" w:hAnsi="Verdana"/>
          <w:sz w:val="22"/>
          <w:szCs w:val="22"/>
        </w:rPr>
        <w:t xml:space="preserve">of SDG indicators </w:t>
      </w:r>
      <w:r w:rsidR="00862F3C" w:rsidRPr="00D47073">
        <w:rPr>
          <w:rFonts w:ascii="Verdana" w:hAnsi="Verdana"/>
          <w:sz w:val="22"/>
          <w:szCs w:val="22"/>
        </w:rPr>
        <w:t>by disability status</w:t>
      </w:r>
      <w:r w:rsidR="00692683" w:rsidRPr="00D47073">
        <w:rPr>
          <w:rFonts w:ascii="Verdana" w:hAnsi="Verdana"/>
          <w:sz w:val="22"/>
          <w:szCs w:val="22"/>
        </w:rPr>
        <w:t xml:space="preserve"> is feasible with </w:t>
      </w:r>
      <w:r w:rsidR="00862F3C" w:rsidRPr="00D47073">
        <w:rPr>
          <w:rFonts w:ascii="Verdana" w:hAnsi="Verdana"/>
          <w:sz w:val="22"/>
          <w:szCs w:val="22"/>
        </w:rPr>
        <w:t xml:space="preserve">the </w:t>
      </w:r>
      <w:r w:rsidR="00692683" w:rsidRPr="00D47073">
        <w:rPr>
          <w:rFonts w:ascii="Verdana" w:hAnsi="Verdana"/>
          <w:sz w:val="22"/>
          <w:szCs w:val="22"/>
        </w:rPr>
        <w:t xml:space="preserve">existing data instruments </w:t>
      </w:r>
      <w:r w:rsidR="00862F3C" w:rsidRPr="00D47073">
        <w:rPr>
          <w:rFonts w:ascii="Verdana" w:hAnsi="Verdana"/>
          <w:sz w:val="22"/>
          <w:szCs w:val="22"/>
        </w:rPr>
        <w:t xml:space="preserve">that will most likely be used for reporting on </w:t>
      </w:r>
      <w:r w:rsidR="00A40D06" w:rsidRPr="00D47073">
        <w:rPr>
          <w:rFonts w:ascii="Verdana" w:hAnsi="Verdana"/>
          <w:sz w:val="22"/>
          <w:szCs w:val="22"/>
        </w:rPr>
        <w:t xml:space="preserve">those </w:t>
      </w:r>
      <w:r w:rsidR="00862F3C" w:rsidRPr="00D47073">
        <w:rPr>
          <w:rFonts w:ascii="Verdana" w:hAnsi="Verdana"/>
          <w:sz w:val="22"/>
          <w:szCs w:val="22"/>
        </w:rPr>
        <w:t xml:space="preserve">indicators. To that end, the WG asked its member </w:t>
      </w:r>
      <w:r w:rsidR="00A830E3" w:rsidRPr="00D47073">
        <w:rPr>
          <w:rFonts w:ascii="Verdana" w:hAnsi="Verdana"/>
          <w:sz w:val="22"/>
          <w:szCs w:val="22"/>
        </w:rPr>
        <w:t>NSOs to report on 65</w:t>
      </w:r>
      <w:r w:rsidR="000902BD" w:rsidRPr="00D47073">
        <w:rPr>
          <w:rFonts w:ascii="Verdana" w:hAnsi="Verdana"/>
          <w:sz w:val="22"/>
          <w:szCs w:val="22"/>
        </w:rPr>
        <w:t xml:space="preserve"> indicators identified as being either specific</w:t>
      </w:r>
      <w:r w:rsidR="00862F3C" w:rsidRPr="00D47073">
        <w:rPr>
          <w:rFonts w:ascii="Verdana" w:hAnsi="Verdana"/>
          <w:sz w:val="22"/>
          <w:szCs w:val="22"/>
        </w:rPr>
        <w:t xml:space="preserve">ally related </w:t>
      </w:r>
      <w:r w:rsidR="000902BD" w:rsidRPr="00D47073">
        <w:rPr>
          <w:rFonts w:ascii="Verdana" w:hAnsi="Verdana"/>
          <w:sz w:val="22"/>
          <w:szCs w:val="22"/>
        </w:rPr>
        <w:t xml:space="preserve">or suitable for disaggregation by disability. </w:t>
      </w:r>
    </w:p>
    <w:p w14:paraId="6A219E1C" w14:textId="77777777" w:rsidR="0017329F" w:rsidRPr="00D47073" w:rsidRDefault="0017329F" w:rsidP="00D47073">
      <w:pPr>
        <w:jc w:val="both"/>
        <w:rPr>
          <w:rFonts w:ascii="Verdana" w:hAnsi="Verdana"/>
          <w:sz w:val="22"/>
          <w:szCs w:val="22"/>
        </w:rPr>
      </w:pPr>
    </w:p>
    <w:p w14:paraId="493033FF" w14:textId="3D58F942" w:rsidR="0017329F" w:rsidRPr="00D47073" w:rsidRDefault="00283093" w:rsidP="00D47073">
      <w:pPr>
        <w:pStyle w:val="ListParagraph"/>
        <w:numPr>
          <w:ilvl w:val="0"/>
          <w:numId w:val="2"/>
        </w:numPr>
        <w:jc w:val="both"/>
        <w:rPr>
          <w:rFonts w:ascii="Verdana" w:hAnsi="Verdana"/>
          <w:sz w:val="22"/>
          <w:szCs w:val="22"/>
        </w:rPr>
      </w:pPr>
      <w:r w:rsidRPr="00D47073">
        <w:rPr>
          <w:rFonts w:ascii="Verdana" w:hAnsi="Verdana"/>
          <w:sz w:val="22"/>
          <w:szCs w:val="22"/>
        </w:rPr>
        <w:t>I</w:t>
      </w:r>
      <w:r w:rsidR="00862F3C" w:rsidRPr="00D47073">
        <w:rPr>
          <w:rFonts w:ascii="Verdana" w:hAnsi="Verdana"/>
          <w:sz w:val="22"/>
          <w:szCs w:val="22"/>
        </w:rPr>
        <w:t xml:space="preserve">n general, the results are very promising. A number of countries are </w:t>
      </w:r>
      <w:r w:rsidR="00C2529B" w:rsidRPr="00D47073">
        <w:rPr>
          <w:rFonts w:ascii="Verdana" w:hAnsi="Verdana"/>
          <w:sz w:val="22"/>
          <w:szCs w:val="22"/>
        </w:rPr>
        <w:t>currently capable of such dis</w:t>
      </w:r>
      <w:r w:rsidR="00A40D06" w:rsidRPr="00D47073">
        <w:rPr>
          <w:rFonts w:ascii="Verdana" w:hAnsi="Verdana"/>
          <w:sz w:val="22"/>
          <w:szCs w:val="22"/>
        </w:rPr>
        <w:t>aggregation for many</w:t>
      </w:r>
      <w:r w:rsidR="00375927" w:rsidRPr="00D47073">
        <w:rPr>
          <w:rFonts w:ascii="Verdana" w:hAnsi="Verdana"/>
          <w:sz w:val="22"/>
          <w:szCs w:val="22"/>
        </w:rPr>
        <w:t xml:space="preserve"> of the</w:t>
      </w:r>
      <w:r w:rsidR="00A40D06" w:rsidRPr="00D47073">
        <w:rPr>
          <w:rFonts w:ascii="Verdana" w:hAnsi="Verdana"/>
          <w:sz w:val="22"/>
          <w:szCs w:val="22"/>
        </w:rPr>
        <w:t xml:space="preserve"> indicators. Often</w:t>
      </w:r>
      <w:r w:rsidR="00C2529B" w:rsidRPr="00D47073">
        <w:rPr>
          <w:rFonts w:ascii="Verdana" w:hAnsi="Verdana"/>
          <w:sz w:val="22"/>
          <w:szCs w:val="22"/>
        </w:rPr>
        <w:t xml:space="preserve"> countries can disaggregate some indicators but not others because disabil</w:t>
      </w:r>
      <w:r w:rsidR="00375927" w:rsidRPr="00D47073">
        <w:rPr>
          <w:rFonts w:ascii="Verdana" w:hAnsi="Verdana"/>
          <w:sz w:val="22"/>
          <w:szCs w:val="22"/>
        </w:rPr>
        <w:t>ity questions are not included i</w:t>
      </w:r>
      <w:r w:rsidR="00C2529B" w:rsidRPr="00D47073">
        <w:rPr>
          <w:rFonts w:ascii="Verdana" w:hAnsi="Verdana"/>
          <w:sz w:val="22"/>
          <w:szCs w:val="22"/>
        </w:rPr>
        <w:t>n all of their data instruments. However, as they already have experience using good disability questions on some data instruments it would require a minor effort to expand their capacity for disaggregation by simply using those questions on other already existing instruments.</w:t>
      </w:r>
      <w:r w:rsidR="00375927" w:rsidRPr="00D47073">
        <w:rPr>
          <w:rFonts w:ascii="Verdana" w:hAnsi="Verdana"/>
          <w:sz w:val="22"/>
          <w:szCs w:val="22"/>
        </w:rPr>
        <w:t xml:space="preserve"> For example, questions can be added to any ongoing data collections and c</w:t>
      </w:r>
      <w:r w:rsidR="00375927" w:rsidRPr="00D47073">
        <w:rPr>
          <w:rFonts w:ascii="Verdana" w:hAnsi="Verdana"/>
          <w:sz w:val="22"/>
          <w:szCs w:val="22"/>
        </w:rPr>
        <w:t xml:space="preserve">an be </w:t>
      </w:r>
      <w:r w:rsidR="00375927" w:rsidRPr="00D47073">
        <w:rPr>
          <w:rFonts w:ascii="Verdana" w:hAnsi="Verdana"/>
          <w:sz w:val="22"/>
          <w:szCs w:val="22"/>
        </w:rPr>
        <w:lastRenderedPageBreak/>
        <w:t>used in any national or subnational survey (health, labor force, income &amp; expenditure, DHS, MICS</w:t>
      </w:r>
      <w:r w:rsidR="00BB57EC" w:rsidRPr="00D47073">
        <w:rPr>
          <w:rFonts w:ascii="Verdana" w:hAnsi="Verdana"/>
          <w:sz w:val="22"/>
          <w:szCs w:val="22"/>
        </w:rPr>
        <w:t>,</w:t>
      </w:r>
      <w:r w:rsidR="00375927" w:rsidRPr="00D47073">
        <w:rPr>
          <w:rFonts w:ascii="Verdana" w:hAnsi="Verdana"/>
          <w:sz w:val="22"/>
          <w:szCs w:val="22"/>
        </w:rPr>
        <w:t xml:space="preserve"> etc.)</w:t>
      </w:r>
      <w:r w:rsidR="00375927" w:rsidRPr="00D47073">
        <w:rPr>
          <w:rFonts w:ascii="Verdana" w:hAnsi="Verdana"/>
          <w:sz w:val="22"/>
          <w:szCs w:val="22"/>
        </w:rPr>
        <w:t>. For</w:t>
      </w:r>
      <w:r w:rsidR="00C2529B" w:rsidRPr="00D47073">
        <w:rPr>
          <w:rFonts w:ascii="Verdana" w:hAnsi="Verdana"/>
          <w:sz w:val="22"/>
          <w:szCs w:val="22"/>
        </w:rPr>
        <w:t xml:space="preserve"> countries currently using poor quality questions on disability, the cost of replacing </w:t>
      </w:r>
      <w:r w:rsidR="00A40D06" w:rsidRPr="00D47073">
        <w:rPr>
          <w:rFonts w:ascii="Verdana" w:hAnsi="Verdana"/>
          <w:sz w:val="22"/>
          <w:szCs w:val="22"/>
        </w:rPr>
        <w:t>those questions</w:t>
      </w:r>
      <w:r w:rsidR="00C2529B" w:rsidRPr="00D47073">
        <w:rPr>
          <w:rFonts w:ascii="Verdana" w:hAnsi="Verdana"/>
          <w:sz w:val="22"/>
          <w:szCs w:val="22"/>
        </w:rPr>
        <w:t xml:space="preserve"> with the WG questions would be minimal.</w:t>
      </w:r>
      <w:r w:rsidR="00375927" w:rsidRPr="00D47073">
        <w:rPr>
          <w:rFonts w:ascii="Verdana" w:hAnsi="Verdana"/>
          <w:sz w:val="22"/>
          <w:szCs w:val="22"/>
        </w:rPr>
        <w:t xml:space="preserve"> </w:t>
      </w:r>
    </w:p>
    <w:p w14:paraId="2C795EC0" w14:textId="77777777" w:rsidR="0017329F" w:rsidRPr="00D47073" w:rsidRDefault="0017329F" w:rsidP="00D47073">
      <w:pPr>
        <w:jc w:val="both"/>
        <w:rPr>
          <w:rFonts w:ascii="Verdana" w:hAnsi="Verdana"/>
          <w:sz w:val="22"/>
          <w:szCs w:val="22"/>
        </w:rPr>
      </w:pPr>
    </w:p>
    <w:p w14:paraId="690D46D4" w14:textId="1E89015C" w:rsidR="00375927" w:rsidRPr="00D47073" w:rsidRDefault="00C2529B" w:rsidP="00D47073">
      <w:pPr>
        <w:pStyle w:val="ListParagraph"/>
        <w:numPr>
          <w:ilvl w:val="0"/>
          <w:numId w:val="2"/>
        </w:numPr>
        <w:jc w:val="both"/>
        <w:rPr>
          <w:rFonts w:ascii="Verdana" w:hAnsi="Verdana"/>
          <w:sz w:val="22"/>
          <w:szCs w:val="22"/>
        </w:rPr>
      </w:pPr>
      <w:r w:rsidRPr="00D47073">
        <w:rPr>
          <w:rFonts w:ascii="Verdana" w:hAnsi="Verdana"/>
          <w:sz w:val="22"/>
          <w:szCs w:val="22"/>
        </w:rPr>
        <w:t xml:space="preserve">The results of general testing of the WG questions, and their current use by a variety of high, middle, and low-income countries, suggests that disaggregating SDG indicators by disability status is highly feasible. </w:t>
      </w:r>
      <w:r w:rsidR="00375927" w:rsidRPr="00D47073">
        <w:rPr>
          <w:rFonts w:ascii="Verdana" w:hAnsi="Verdana"/>
          <w:sz w:val="22"/>
          <w:szCs w:val="22"/>
        </w:rPr>
        <w:t>And, on</w:t>
      </w:r>
      <w:r w:rsidR="00375927" w:rsidRPr="00D47073">
        <w:rPr>
          <w:rFonts w:ascii="Verdana" w:hAnsi="Verdana"/>
          <w:sz w:val="22"/>
          <w:szCs w:val="22"/>
        </w:rPr>
        <w:t>ce the questions become integrated into core statistical systems (e.g., the systems used to produce the SDG indicators) – disaggregating outcomes (education, employment etc.) by disability status becomes routine</w:t>
      </w:r>
      <w:r w:rsidR="00375927" w:rsidRPr="00D47073">
        <w:rPr>
          <w:rFonts w:ascii="Verdana" w:hAnsi="Verdana"/>
          <w:sz w:val="22"/>
          <w:szCs w:val="22"/>
        </w:rPr>
        <w:t>.</w:t>
      </w:r>
      <w:r w:rsidR="00375927" w:rsidRPr="00D47073">
        <w:rPr>
          <w:rFonts w:ascii="Verdana" w:hAnsi="Verdana"/>
          <w:sz w:val="22"/>
          <w:szCs w:val="22"/>
        </w:rPr>
        <w:t xml:space="preserve"> </w:t>
      </w:r>
    </w:p>
    <w:p w14:paraId="3209F450" w14:textId="098FB487" w:rsidR="00C2529B" w:rsidRPr="00D47073" w:rsidRDefault="00C2529B" w:rsidP="00D47073">
      <w:pPr>
        <w:pStyle w:val="ListParagraph"/>
        <w:jc w:val="both"/>
        <w:rPr>
          <w:rFonts w:ascii="Verdana" w:hAnsi="Verdana"/>
          <w:b/>
          <w:sz w:val="22"/>
          <w:szCs w:val="22"/>
        </w:rPr>
      </w:pPr>
    </w:p>
    <w:p w14:paraId="7A166F2F" w14:textId="77777777" w:rsidR="0017329F" w:rsidRPr="00D47073" w:rsidRDefault="0017329F" w:rsidP="00D47073">
      <w:pPr>
        <w:jc w:val="both"/>
        <w:rPr>
          <w:rFonts w:ascii="Verdana" w:hAnsi="Verdana"/>
          <w:b/>
          <w:sz w:val="22"/>
          <w:szCs w:val="22"/>
          <w:u w:val="single"/>
        </w:rPr>
      </w:pPr>
    </w:p>
    <w:p w14:paraId="49B45D61" w14:textId="276F1D18" w:rsidR="0017329F" w:rsidRPr="00D47073" w:rsidRDefault="0017329F" w:rsidP="00D47073">
      <w:pPr>
        <w:jc w:val="both"/>
        <w:rPr>
          <w:rFonts w:ascii="Verdana" w:hAnsi="Verdana"/>
          <w:b/>
          <w:sz w:val="22"/>
          <w:szCs w:val="22"/>
          <w:u w:val="single"/>
        </w:rPr>
      </w:pPr>
      <w:r w:rsidRPr="00D47073">
        <w:rPr>
          <w:rFonts w:ascii="Verdana" w:hAnsi="Verdana"/>
          <w:b/>
          <w:sz w:val="22"/>
          <w:szCs w:val="22"/>
          <w:u w:val="single"/>
        </w:rPr>
        <w:t>Background:</w:t>
      </w:r>
    </w:p>
    <w:p w14:paraId="50C2CF0A" w14:textId="77777777" w:rsidR="00C2529B" w:rsidRPr="00D47073" w:rsidRDefault="00A40D06" w:rsidP="00D47073">
      <w:pPr>
        <w:jc w:val="both"/>
        <w:rPr>
          <w:rFonts w:ascii="Verdana" w:hAnsi="Verdana"/>
          <w:sz w:val="22"/>
          <w:szCs w:val="22"/>
        </w:rPr>
      </w:pPr>
      <w:r w:rsidRPr="00D47073">
        <w:rPr>
          <w:rFonts w:ascii="Verdana" w:hAnsi="Verdana"/>
          <w:b/>
          <w:sz w:val="22"/>
          <w:szCs w:val="22"/>
        </w:rPr>
        <w:t>Methodology.</w:t>
      </w:r>
      <w:r w:rsidRPr="00D47073">
        <w:rPr>
          <w:rFonts w:ascii="Verdana" w:hAnsi="Verdana"/>
          <w:sz w:val="22"/>
          <w:szCs w:val="22"/>
        </w:rPr>
        <w:t xml:space="preserve"> NSOs that have at one time participated in WG meetings or activities were asked to categorize their cap</w:t>
      </w:r>
      <w:r w:rsidR="00A830E3" w:rsidRPr="00D47073">
        <w:rPr>
          <w:rFonts w:ascii="Verdana" w:hAnsi="Verdana"/>
          <w:sz w:val="22"/>
          <w:szCs w:val="22"/>
        </w:rPr>
        <w:t>ability for producing each of 65</w:t>
      </w:r>
      <w:r w:rsidRPr="00D47073">
        <w:rPr>
          <w:rFonts w:ascii="Verdana" w:hAnsi="Verdana"/>
          <w:sz w:val="22"/>
          <w:szCs w:val="22"/>
        </w:rPr>
        <w:t xml:space="preserve"> indicators identified as being either disability specific indicators or suitable for disaggregation by disability.  These were in the areas of poverty, hunger, health, education, gender, water and sanitation, energy, employment, inequality, cities, climate, and justice.</w:t>
      </w:r>
    </w:p>
    <w:p w14:paraId="5C8D929D" w14:textId="77777777" w:rsidR="00A40D06" w:rsidRPr="00D47073" w:rsidRDefault="00A40D06" w:rsidP="00D47073">
      <w:pPr>
        <w:jc w:val="both"/>
        <w:rPr>
          <w:rFonts w:ascii="Verdana" w:hAnsi="Verdana"/>
          <w:sz w:val="22"/>
          <w:szCs w:val="22"/>
        </w:rPr>
      </w:pPr>
    </w:p>
    <w:p w14:paraId="3E3E8506" w14:textId="77777777" w:rsidR="00A40D06" w:rsidRPr="00D47073" w:rsidRDefault="00A40D06" w:rsidP="00D47073">
      <w:pPr>
        <w:jc w:val="both"/>
        <w:rPr>
          <w:rFonts w:ascii="Verdana" w:hAnsi="Verdana"/>
          <w:sz w:val="22"/>
          <w:szCs w:val="22"/>
        </w:rPr>
      </w:pPr>
      <w:r w:rsidRPr="00D47073">
        <w:rPr>
          <w:rFonts w:ascii="Verdana" w:hAnsi="Verdana"/>
          <w:sz w:val="22"/>
          <w:szCs w:val="22"/>
        </w:rPr>
        <w:t xml:space="preserve">The four categories for each indicator were: </w:t>
      </w:r>
    </w:p>
    <w:p w14:paraId="7F8217E9" w14:textId="77777777" w:rsidR="00A40D06" w:rsidRPr="00D47073" w:rsidRDefault="00A40D06" w:rsidP="00D47073">
      <w:pPr>
        <w:jc w:val="both"/>
        <w:rPr>
          <w:rFonts w:ascii="Verdana" w:hAnsi="Verdana"/>
          <w:sz w:val="22"/>
          <w:szCs w:val="22"/>
        </w:rPr>
      </w:pPr>
    </w:p>
    <w:p w14:paraId="3CDC3297" w14:textId="77777777" w:rsidR="00A40D06" w:rsidRPr="00D47073" w:rsidRDefault="00A40D06" w:rsidP="00D47073">
      <w:pPr>
        <w:pStyle w:val="ListParagraph"/>
        <w:numPr>
          <w:ilvl w:val="0"/>
          <w:numId w:val="1"/>
        </w:numPr>
        <w:jc w:val="both"/>
        <w:rPr>
          <w:rFonts w:ascii="Verdana" w:hAnsi="Verdana"/>
          <w:sz w:val="22"/>
          <w:szCs w:val="22"/>
        </w:rPr>
      </w:pPr>
      <w:r w:rsidRPr="00D47073">
        <w:rPr>
          <w:rFonts w:ascii="Verdana" w:hAnsi="Verdana"/>
          <w:sz w:val="22"/>
          <w:szCs w:val="22"/>
        </w:rPr>
        <w:t>Can be produced and disaggregated by disability</w:t>
      </w:r>
    </w:p>
    <w:p w14:paraId="668DA8E3" w14:textId="77777777" w:rsidR="00A40D06" w:rsidRPr="00D47073" w:rsidRDefault="00A40D06" w:rsidP="00D47073">
      <w:pPr>
        <w:pStyle w:val="ListParagraph"/>
        <w:numPr>
          <w:ilvl w:val="0"/>
          <w:numId w:val="1"/>
        </w:numPr>
        <w:jc w:val="both"/>
        <w:rPr>
          <w:rFonts w:ascii="Verdana" w:hAnsi="Verdana"/>
          <w:sz w:val="22"/>
          <w:szCs w:val="22"/>
        </w:rPr>
      </w:pPr>
      <w:r w:rsidRPr="00D47073">
        <w:rPr>
          <w:rFonts w:ascii="Verdana" w:hAnsi="Verdana"/>
          <w:sz w:val="22"/>
          <w:szCs w:val="22"/>
        </w:rPr>
        <w:t>Can be produced for the general population, but not disaggregated by disability</w:t>
      </w:r>
    </w:p>
    <w:p w14:paraId="63950B18" w14:textId="77777777" w:rsidR="00A40D06" w:rsidRPr="00D47073" w:rsidRDefault="00A40D06" w:rsidP="00D47073">
      <w:pPr>
        <w:pStyle w:val="ListParagraph"/>
        <w:numPr>
          <w:ilvl w:val="0"/>
          <w:numId w:val="1"/>
        </w:numPr>
        <w:jc w:val="both"/>
        <w:rPr>
          <w:rFonts w:ascii="Verdana" w:hAnsi="Verdana"/>
          <w:sz w:val="22"/>
          <w:szCs w:val="22"/>
        </w:rPr>
      </w:pPr>
      <w:r w:rsidRPr="00D47073">
        <w:rPr>
          <w:rFonts w:ascii="Verdana" w:hAnsi="Verdana"/>
          <w:sz w:val="22"/>
          <w:szCs w:val="22"/>
        </w:rPr>
        <w:t>Cannot be produced, even for the general population</w:t>
      </w:r>
    </w:p>
    <w:p w14:paraId="67D77082" w14:textId="77777777" w:rsidR="00A40D06" w:rsidRPr="00D47073" w:rsidRDefault="00A40D06" w:rsidP="00D47073">
      <w:pPr>
        <w:pStyle w:val="ListParagraph"/>
        <w:numPr>
          <w:ilvl w:val="0"/>
          <w:numId w:val="1"/>
        </w:numPr>
        <w:jc w:val="both"/>
        <w:rPr>
          <w:rFonts w:ascii="Verdana" w:hAnsi="Verdana"/>
          <w:sz w:val="22"/>
          <w:szCs w:val="22"/>
        </w:rPr>
      </w:pPr>
      <w:r w:rsidRPr="00D47073">
        <w:rPr>
          <w:rFonts w:ascii="Verdana" w:hAnsi="Verdana"/>
          <w:sz w:val="22"/>
          <w:szCs w:val="22"/>
        </w:rPr>
        <w:t>Uncertain about whether it can be produced</w:t>
      </w:r>
    </w:p>
    <w:p w14:paraId="4F040E6E" w14:textId="77777777" w:rsidR="00A40D06" w:rsidRPr="00D47073" w:rsidRDefault="00A40D06" w:rsidP="00D47073">
      <w:pPr>
        <w:jc w:val="both"/>
        <w:rPr>
          <w:rFonts w:ascii="Verdana" w:hAnsi="Verdana"/>
          <w:sz w:val="22"/>
          <w:szCs w:val="22"/>
        </w:rPr>
      </w:pPr>
    </w:p>
    <w:p w14:paraId="69AA7EAE" w14:textId="77777777" w:rsidR="00A40D06" w:rsidRPr="00D47073" w:rsidRDefault="00A40D06" w:rsidP="00D47073">
      <w:pPr>
        <w:jc w:val="both"/>
        <w:rPr>
          <w:rFonts w:ascii="Verdana" w:hAnsi="Verdana"/>
          <w:sz w:val="22"/>
          <w:szCs w:val="22"/>
        </w:rPr>
      </w:pPr>
      <w:r w:rsidRPr="00D47073">
        <w:rPr>
          <w:rFonts w:ascii="Verdana" w:hAnsi="Verdana"/>
          <w:sz w:val="22"/>
          <w:szCs w:val="22"/>
        </w:rPr>
        <w:t xml:space="preserve">NSOs were also asked to provide the questions used for that disaggregation. The best practice is to use the WG short set of six questions.  Indeed, some countries used this approach. Unfortunately, some countries used other approaches that research shows tend to greatly under-identify people with disabilities. </w:t>
      </w:r>
      <w:r w:rsidR="00D6009C" w:rsidRPr="00D47073">
        <w:rPr>
          <w:rFonts w:ascii="Verdana" w:hAnsi="Verdana"/>
          <w:sz w:val="22"/>
          <w:szCs w:val="22"/>
        </w:rPr>
        <w:t>However, as they are already using questions it would not require much effort (or space on their data instruments) to replace them to be consistent with international standards.</w:t>
      </w:r>
    </w:p>
    <w:p w14:paraId="4CCAC88E" w14:textId="77777777" w:rsidR="00A40D06" w:rsidRPr="00D47073" w:rsidRDefault="00A40D06" w:rsidP="00D47073">
      <w:pPr>
        <w:jc w:val="both"/>
        <w:rPr>
          <w:rFonts w:ascii="Verdana" w:hAnsi="Verdana"/>
          <w:sz w:val="22"/>
          <w:szCs w:val="22"/>
        </w:rPr>
      </w:pPr>
    </w:p>
    <w:p w14:paraId="1A7CC648" w14:textId="7E43F439" w:rsidR="000902BD" w:rsidRPr="00D47073" w:rsidRDefault="00037AF4" w:rsidP="00D47073">
      <w:pPr>
        <w:jc w:val="both"/>
        <w:rPr>
          <w:rFonts w:ascii="Verdana" w:hAnsi="Verdana"/>
          <w:sz w:val="22"/>
          <w:szCs w:val="22"/>
        </w:rPr>
      </w:pPr>
      <w:r w:rsidRPr="00D47073">
        <w:rPr>
          <w:rFonts w:ascii="Verdana" w:hAnsi="Verdana"/>
          <w:b/>
          <w:sz w:val="22"/>
          <w:szCs w:val="22"/>
        </w:rPr>
        <w:t>Results.</w:t>
      </w:r>
      <w:r w:rsidRPr="00D47073">
        <w:rPr>
          <w:rFonts w:ascii="Verdana" w:hAnsi="Verdana"/>
          <w:sz w:val="22"/>
          <w:szCs w:val="22"/>
        </w:rPr>
        <w:t xml:space="preserve"> </w:t>
      </w:r>
      <w:r w:rsidR="00D6009C" w:rsidRPr="00D47073">
        <w:rPr>
          <w:rFonts w:ascii="Verdana" w:hAnsi="Verdana"/>
          <w:sz w:val="22"/>
          <w:szCs w:val="22"/>
        </w:rPr>
        <w:t>Thirty-four countrie</w:t>
      </w:r>
      <w:r w:rsidR="00F31638" w:rsidRPr="00D47073">
        <w:rPr>
          <w:rFonts w:ascii="Verdana" w:hAnsi="Verdana"/>
          <w:sz w:val="22"/>
          <w:szCs w:val="22"/>
        </w:rPr>
        <w:t>s responded to WG questionnaire, eight of them reporting use of the Washington Group questions.</w:t>
      </w:r>
      <w:r w:rsidR="00D6009C" w:rsidRPr="00D47073">
        <w:rPr>
          <w:rFonts w:ascii="Verdana" w:hAnsi="Verdana"/>
          <w:sz w:val="22"/>
          <w:szCs w:val="22"/>
        </w:rPr>
        <w:t xml:space="preserve"> </w:t>
      </w:r>
      <w:r w:rsidR="00401D13" w:rsidRPr="00D47073">
        <w:rPr>
          <w:rFonts w:ascii="Verdana" w:hAnsi="Verdana"/>
          <w:sz w:val="22"/>
          <w:szCs w:val="22"/>
        </w:rPr>
        <w:t xml:space="preserve">The results, though, </w:t>
      </w:r>
      <w:r w:rsidR="00F31638" w:rsidRPr="00D47073">
        <w:rPr>
          <w:rFonts w:ascii="Verdana" w:hAnsi="Verdana"/>
          <w:sz w:val="22"/>
          <w:szCs w:val="22"/>
        </w:rPr>
        <w:t>most likely under-estimate</w:t>
      </w:r>
      <w:r w:rsidR="007077A1" w:rsidRPr="00D47073">
        <w:rPr>
          <w:rFonts w:ascii="Verdana" w:hAnsi="Verdana"/>
          <w:sz w:val="22"/>
          <w:szCs w:val="22"/>
        </w:rPr>
        <w:t xml:space="preserve"> the ability of countries </w:t>
      </w:r>
      <w:r w:rsidR="00197486" w:rsidRPr="00D47073">
        <w:rPr>
          <w:rFonts w:ascii="Verdana" w:hAnsi="Verdana"/>
          <w:sz w:val="22"/>
          <w:szCs w:val="22"/>
        </w:rPr>
        <w:t>to disaggregate</w:t>
      </w:r>
      <w:r w:rsidR="007077A1" w:rsidRPr="00D47073">
        <w:rPr>
          <w:rFonts w:ascii="Verdana" w:hAnsi="Verdana"/>
          <w:sz w:val="22"/>
          <w:szCs w:val="22"/>
        </w:rPr>
        <w:t xml:space="preserve"> the indicators for sev</w:t>
      </w:r>
      <w:r w:rsidR="00197486" w:rsidRPr="00D47073">
        <w:rPr>
          <w:rFonts w:ascii="Verdana" w:hAnsi="Verdana"/>
          <w:sz w:val="22"/>
          <w:szCs w:val="22"/>
        </w:rPr>
        <w:t xml:space="preserve">eral reasons. For example, </w:t>
      </w:r>
      <w:r w:rsidR="003B009B" w:rsidRPr="00D47073">
        <w:rPr>
          <w:rFonts w:ascii="Verdana" w:hAnsi="Verdana"/>
          <w:sz w:val="22"/>
          <w:szCs w:val="22"/>
        </w:rPr>
        <w:t>one country</w:t>
      </w:r>
      <w:r w:rsidR="007077A1" w:rsidRPr="00D47073">
        <w:rPr>
          <w:rFonts w:ascii="Verdana" w:hAnsi="Verdana"/>
          <w:sz w:val="22"/>
          <w:szCs w:val="22"/>
        </w:rPr>
        <w:t xml:space="preserve"> was excluded </w:t>
      </w:r>
      <w:r w:rsidR="00197486" w:rsidRPr="00D47073">
        <w:rPr>
          <w:rFonts w:ascii="Verdana" w:hAnsi="Verdana"/>
          <w:sz w:val="22"/>
          <w:szCs w:val="22"/>
        </w:rPr>
        <w:t xml:space="preserve">from the table </w:t>
      </w:r>
      <w:r w:rsidR="007077A1" w:rsidRPr="00D47073">
        <w:rPr>
          <w:rFonts w:ascii="Verdana" w:hAnsi="Verdana"/>
          <w:sz w:val="22"/>
          <w:szCs w:val="22"/>
        </w:rPr>
        <w:t xml:space="preserve">because although they reported that the WG questions were used in their Demographic and Health Survey and a question on health conditions is included in their census, they did not fill out </w:t>
      </w:r>
      <w:r w:rsidR="00197486" w:rsidRPr="00D47073">
        <w:rPr>
          <w:rFonts w:ascii="Verdana" w:hAnsi="Verdana"/>
          <w:sz w:val="22"/>
          <w:szCs w:val="22"/>
        </w:rPr>
        <w:t xml:space="preserve">the rest of the survey to report on </w:t>
      </w:r>
      <w:r w:rsidR="007077A1" w:rsidRPr="00D47073">
        <w:rPr>
          <w:rFonts w:ascii="Verdana" w:hAnsi="Verdana"/>
          <w:sz w:val="22"/>
          <w:szCs w:val="22"/>
        </w:rPr>
        <w:t xml:space="preserve">which indictors they could produce. The same was </w:t>
      </w:r>
      <w:r w:rsidR="003B009B" w:rsidRPr="00D47073">
        <w:rPr>
          <w:rFonts w:ascii="Verdana" w:hAnsi="Verdana"/>
          <w:sz w:val="22"/>
          <w:szCs w:val="22"/>
        </w:rPr>
        <w:t>the case of another country</w:t>
      </w:r>
      <w:r w:rsidR="007077A1" w:rsidRPr="00D47073">
        <w:rPr>
          <w:rFonts w:ascii="Verdana" w:hAnsi="Verdana"/>
          <w:sz w:val="22"/>
          <w:szCs w:val="22"/>
        </w:rPr>
        <w:t xml:space="preserve">, which had a question asking about a list of medical conditions in their census. </w:t>
      </w:r>
      <w:r w:rsidR="003B009B" w:rsidRPr="00D47073">
        <w:rPr>
          <w:rFonts w:ascii="Verdana" w:hAnsi="Verdana"/>
          <w:sz w:val="22"/>
          <w:szCs w:val="22"/>
        </w:rPr>
        <w:t xml:space="preserve">In addition, the secretariat of the WG is aware of at least a </w:t>
      </w:r>
      <w:r w:rsidR="003B009B" w:rsidRPr="00D47073">
        <w:rPr>
          <w:rFonts w:ascii="Verdana" w:hAnsi="Verdana"/>
          <w:sz w:val="22"/>
          <w:szCs w:val="22"/>
        </w:rPr>
        <w:lastRenderedPageBreak/>
        <w:t>couple countries that have</w:t>
      </w:r>
      <w:r w:rsidR="007077A1" w:rsidRPr="00D47073">
        <w:rPr>
          <w:rFonts w:ascii="Verdana" w:hAnsi="Verdana"/>
          <w:sz w:val="22"/>
          <w:szCs w:val="22"/>
        </w:rPr>
        <w:t xml:space="preserve"> used the WG questions on multiple surveys</w:t>
      </w:r>
      <w:r w:rsidR="00197486" w:rsidRPr="00D47073">
        <w:rPr>
          <w:rFonts w:ascii="Verdana" w:hAnsi="Verdana"/>
          <w:sz w:val="22"/>
          <w:szCs w:val="22"/>
        </w:rPr>
        <w:t>,</w:t>
      </w:r>
      <w:r w:rsidR="007077A1" w:rsidRPr="00D47073">
        <w:rPr>
          <w:rFonts w:ascii="Verdana" w:hAnsi="Verdana"/>
          <w:sz w:val="22"/>
          <w:szCs w:val="22"/>
        </w:rPr>
        <w:t xml:space="preserve"> </w:t>
      </w:r>
      <w:r w:rsidR="003B009B" w:rsidRPr="00D47073">
        <w:rPr>
          <w:rFonts w:ascii="Verdana" w:hAnsi="Verdana"/>
          <w:sz w:val="22"/>
          <w:szCs w:val="22"/>
        </w:rPr>
        <w:t xml:space="preserve">but </w:t>
      </w:r>
      <w:r w:rsidR="007077A1" w:rsidRPr="00D47073">
        <w:rPr>
          <w:rFonts w:ascii="Verdana" w:hAnsi="Verdana"/>
          <w:sz w:val="22"/>
          <w:szCs w:val="22"/>
        </w:rPr>
        <w:t>did not respond to the survey</w:t>
      </w:r>
      <w:r w:rsidR="00197486" w:rsidRPr="00D47073">
        <w:rPr>
          <w:rFonts w:ascii="Verdana" w:hAnsi="Verdana"/>
          <w:sz w:val="22"/>
          <w:szCs w:val="22"/>
        </w:rPr>
        <w:t>.</w:t>
      </w:r>
    </w:p>
    <w:p w14:paraId="3FCF71B4" w14:textId="77777777" w:rsidR="00197486" w:rsidRPr="00D47073" w:rsidRDefault="00197486" w:rsidP="00D47073">
      <w:pPr>
        <w:jc w:val="both"/>
        <w:rPr>
          <w:rFonts w:ascii="Verdana" w:hAnsi="Verdana"/>
          <w:sz w:val="22"/>
          <w:szCs w:val="22"/>
        </w:rPr>
      </w:pPr>
    </w:p>
    <w:p w14:paraId="1449CD0D" w14:textId="3CEEA918" w:rsidR="00197486" w:rsidRPr="00D47073" w:rsidRDefault="00197486" w:rsidP="00D47073">
      <w:pPr>
        <w:jc w:val="both"/>
        <w:rPr>
          <w:rFonts w:ascii="Verdana" w:hAnsi="Verdana"/>
          <w:sz w:val="22"/>
          <w:szCs w:val="22"/>
        </w:rPr>
      </w:pPr>
      <w:r w:rsidRPr="00D47073">
        <w:rPr>
          <w:rFonts w:ascii="Verdana" w:hAnsi="Verdana"/>
          <w:sz w:val="22"/>
          <w:szCs w:val="22"/>
        </w:rPr>
        <w:t>In addition</w:t>
      </w:r>
      <w:r w:rsidR="007C6B50">
        <w:rPr>
          <w:rFonts w:ascii="Verdana" w:hAnsi="Verdana"/>
          <w:sz w:val="22"/>
          <w:szCs w:val="22"/>
        </w:rPr>
        <w:t>,</w:t>
      </w:r>
      <w:r w:rsidRPr="00D47073">
        <w:rPr>
          <w:rFonts w:ascii="Verdana" w:hAnsi="Verdana"/>
          <w:sz w:val="22"/>
          <w:szCs w:val="22"/>
        </w:rPr>
        <w:t xml:space="preserve"> some of the responses that indicators could not be disaggregated are probably due to the fact that while it is possible to disaggregate, it has not yet been done. For example, Egypt reported the use of the WG questions on its census and labor force survey, as well as a single disability question on its household income and expenditure survey, but also reported it could not disaggregate any indicators, which seemed inconsistent.  When they were followed up with directly and asked about a set of eight key indicators (two on poverty, education, employment and one on WASH and inequality), they said that technically they could disaggregate all of them except the education indicators but have not yet done so.  These six indicators are included in Table 1 for Egypt, but presumably they could produce more if asked to. The same thing is true for Turkey which reported using the WG questions on its census and a national household survey, as well as some other disability questions on its household income and expenditure and labor force surveys, but reported not having any disaggregated data. This is presumably because they have not used the data in this way, although they presumably could.</w:t>
      </w:r>
    </w:p>
    <w:p w14:paraId="6E4C2A36" w14:textId="77777777" w:rsidR="000902BD" w:rsidRPr="00D47073" w:rsidRDefault="000902BD" w:rsidP="00D47073">
      <w:pPr>
        <w:jc w:val="both"/>
        <w:rPr>
          <w:rFonts w:ascii="Verdana" w:hAnsi="Verdana"/>
          <w:sz w:val="22"/>
          <w:szCs w:val="22"/>
        </w:rPr>
      </w:pPr>
    </w:p>
    <w:p w14:paraId="7AFC462F" w14:textId="77777777" w:rsidR="0086561C" w:rsidRPr="00D47073" w:rsidRDefault="00401D13" w:rsidP="00D47073">
      <w:pPr>
        <w:jc w:val="both"/>
        <w:rPr>
          <w:rFonts w:ascii="Verdana" w:hAnsi="Verdana"/>
          <w:sz w:val="22"/>
          <w:szCs w:val="22"/>
        </w:rPr>
      </w:pPr>
      <w:r w:rsidRPr="00D47073">
        <w:rPr>
          <w:rFonts w:ascii="Verdana" w:hAnsi="Verdana"/>
          <w:sz w:val="22"/>
          <w:szCs w:val="22"/>
        </w:rPr>
        <w:t>Table 1 shows the results for the thirty-two countries whose response</w:t>
      </w:r>
      <w:r w:rsidR="00F31638" w:rsidRPr="00D47073">
        <w:rPr>
          <w:rFonts w:ascii="Verdana" w:hAnsi="Verdana"/>
          <w:sz w:val="22"/>
          <w:szCs w:val="22"/>
        </w:rPr>
        <w:t>s were tabulated. The first row shows</w:t>
      </w:r>
      <w:r w:rsidRPr="00D47073">
        <w:rPr>
          <w:rFonts w:ascii="Verdana" w:hAnsi="Verdana"/>
          <w:sz w:val="22"/>
          <w:szCs w:val="22"/>
        </w:rPr>
        <w:t xml:space="preserve"> the total number of indicators to be disaggregated by SDG goal, and the other entries show how many of those goals can be disaggregated for each country.  However, it must be kept in mind many of these indicators cannot even be produced for the total population, let alone be disaggregated. The last two columns show how many of the 65 indicators could be produced for the general population, and then what percent of those can be disaggregated. The shaded countries can disaggregate at least </w:t>
      </w:r>
      <w:r w:rsidR="00F31638" w:rsidRPr="00D47073">
        <w:rPr>
          <w:rFonts w:ascii="Verdana" w:hAnsi="Verdana"/>
          <w:sz w:val="22"/>
          <w:szCs w:val="22"/>
        </w:rPr>
        <w:t xml:space="preserve">10 of the 65 indicators. These were </w:t>
      </w:r>
      <w:r w:rsidRPr="00D47073">
        <w:rPr>
          <w:rFonts w:ascii="Verdana" w:hAnsi="Verdana"/>
          <w:sz w:val="22"/>
          <w:szCs w:val="22"/>
        </w:rPr>
        <w:t>Australia, Argentina, Israel, Moldova, and Mongolia.</w:t>
      </w:r>
    </w:p>
    <w:p w14:paraId="3B1D80EB" w14:textId="77777777" w:rsidR="00037AF4" w:rsidRPr="00D47073" w:rsidRDefault="00037AF4" w:rsidP="00D47073">
      <w:pPr>
        <w:jc w:val="both"/>
        <w:rPr>
          <w:rFonts w:ascii="Verdana" w:hAnsi="Verdana"/>
          <w:sz w:val="22"/>
          <w:szCs w:val="22"/>
        </w:rPr>
      </w:pPr>
    </w:p>
    <w:p w14:paraId="75E79D58" w14:textId="77777777" w:rsidR="00037AF4" w:rsidRPr="00D47073" w:rsidRDefault="00037AF4" w:rsidP="00D47073">
      <w:pPr>
        <w:jc w:val="both"/>
        <w:rPr>
          <w:rFonts w:ascii="Verdana" w:hAnsi="Verdana"/>
          <w:sz w:val="22"/>
          <w:szCs w:val="22"/>
        </w:rPr>
      </w:pPr>
      <w:r w:rsidRPr="00D47073">
        <w:rPr>
          <w:rFonts w:ascii="Verdana" w:hAnsi="Verdana"/>
          <w:sz w:val="22"/>
          <w:szCs w:val="22"/>
        </w:rPr>
        <w:t xml:space="preserve">Table 2 shows the indicators that can </w:t>
      </w:r>
      <w:r w:rsidR="00F31638" w:rsidRPr="00D47073">
        <w:rPr>
          <w:rFonts w:ascii="Verdana" w:hAnsi="Verdana"/>
          <w:sz w:val="22"/>
          <w:szCs w:val="22"/>
        </w:rPr>
        <w:t xml:space="preserve">most commonly </w:t>
      </w:r>
      <w:r w:rsidRPr="00D47073">
        <w:rPr>
          <w:rFonts w:ascii="Verdana" w:hAnsi="Verdana"/>
          <w:sz w:val="22"/>
          <w:szCs w:val="22"/>
        </w:rPr>
        <w:t>be both produced and disaggregated by disability status. The most common is the proportion of youth aged 15-24 years not in education, employment or training. The two main poverty indicators are also among the more commonly available for disaggregation. The justice indicators were the least producible for anyone, let alone for people with disabilities although Israel and Norway were able to produce and disaggregate two of them.</w:t>
      </w:r>
    </w:p>
    <w:p w14:paraId="518C4156" w14:textId="77777777" w:rsidR="00F31638" w:rsidRPr="00D47073" w:rsidRDefault="00F31638" w:rsidP="00D47073">
      <w:pPr>
        <w:jc w:val="both"/>
        <w:rPr>
          <w:rFonts w:ascii="Verdana" w:hAnsi="Verdana"/>
          <w:sz w:val="22"/>
          <w:szCs w:val="22"/>
        </w:rPr>
      </w:pPr>
    </w:p>
    <w:p w14:paraId="0CB37090" w14:textId="77777777" w:rsidR="00F31638" w:rsidRPr="00D47073" w:rsidRDefault="00F31638" w:rsidP="00D47073">
      <w:pPr>
        <w:jc w:val="both"/>
        <w:rPr>
          <w:rFonts w:ascii="Verdana" w:hAnsi="Verdana"/>
          <w:sz w:val="22"/>
          <w:szCs w:val="22"/>
        </w:rPr>
      </w:pPr>
      <w:r w:rsidRPr="00D47073">
        <w:rPr>
          <w:rFonts w:ascii="Verdana" w:hAnsi="Verdana"/>
          <w:b/>
          <w:sz w:val="22"/>
          <w:szCs w:val="22"/>
        </w:rPr>
        <w:t>Conclusion.</w:t>
      </w:r>
      <w:bookmarkStart w:id="0" w:name="_GoBack"/>
      <w:bookmarkEnd w:id="0"/>
      <w:r w:rsidRPr="00D47073">
        <w:rPr>
          <w:rFonts w:ascii="Verdana" w:hAnsi="Verdana"/>
          <w:sz w:val="22"/>
          <w:szCs w:val="22"/>
        </w:rPr>
        <w:t xml:space="preserve"> Disaggregating SDG indicators seems very feasible. A fair number of countries of different income levels are already including the WG questions in their data instruments. Even more are asking about disability in some capacity, and if they were to substitute the WG questions for their current questions they could improve the quality of that disaggregation, without imposing any noticeable burden on their current data instruments. </w:t>
      </w:r>
    </w:p>
    <w:p w14:paraId="5AF20280" w14:textId="77777777" w:rsidR="00F31638" w:rsidRPr="00D47073" w:rsidRDefault="00F31638" w:rsidP="00D47073">
      <w:pPr>
        <w:jc w:val="both"/>
        <w:rPr>
          <w:rFonts w:ascii="Verdana" w:hAnsi="Verdana"/>
          <w:sz w:val="22"/>
          <w:szCs w:val="22"/>
        </w:rPr>
      </w:pPr>
    </w:p>
    <w:p w14:paraId="1156DF90" w14:textId="77777777" w:rsidR="00F31638" w:rsidRPr="00D47073" w:rsidRDefault="00F31638" w:rsidP="00D47073">
      <w:pPr>
        <w:jc w:val="both"/>
        <w:rPr>
          <w:rFonts w:ascii="Verdana" w:hAnsi="Verdana"/>
          <w:sz w:val="22"/>
          <w:szCs w:val="22"/>
        </w:rPr>
      </w:pPr>
      <w:r w:rsidRPr="00D47073">
        <w:rPr>
          <w:rFonts w:ascii="Verdana" w:hAnsi="Verdana"/>
          <w:sz w:val="22"/>
          <w:szCs w:val="22"/>
        </w:rPr>
        <w:t xml:space="preserve">We suspect our results underestimate the current ability of countries to disaggregate data. Some countries responded to the survey that they did not </w:t>
      </w:r>
      <w:r w:rsidRPr="00D47073">
        <w:rPr>
          <w:rFonts w:ascii="Verdana" w:hAnsi="Verdana"/>
          <w:sz w:val="22"/>
          <w:szCs w:val="22"/>
        </w:rPr>
        <w:lastRenderedPageBreak/>
        <w:t>have disaggregated data, even though some of their data instruments had disability questions that were not currently being used in analysis.</w:t>
      </w:r>
    </w:p>
    <w:p w14:paraId="4CCB62D7" w14:textId="77777777" w:rsidR="0086561C" w:rsidRPr="00D47073" w:rsidRDefault="0086561C" w:rsidP="00D47073">
      <w:pPr>
        <w:jc w:val="both"/>
        <w:rPr>
          <w:rFonts w:ascii="Verdana" w:hAnsi="Verdana"/>
          <w:sz w:val="22"/>
          <w:szCs w:val="22"/>
        </w:rPr>
      </w:pPr>
    </w:p>
    <w:p w14:paraId="319BAF8B" w14:textId="77777777" w:rsidR="0086561C" w:rsidRPr="00D47073" w:rsidRDefault="0086561C" w:rsidP="00D47073">
      <w:pPr>
        <w:jc w:val="both"/>
        <w:rPr>
          <w:rFonts w:ascii="Verdana" w:hAnsi="Verdana"/>
          <w:sz w:val="22"/>
          <w:szCs w:val="22"/>
        </w:rPr>
      </w:pPr>
    </w:p>
    <w:p w14:paraId="3CAA2E61" w14:textId="77777777" w:rsidR="0086561C" w:rsidRPr="00D47073" w:rsidRDefault="0086561C" w:rsidP="00D47073">
      <w:pPr>
        <w:jc w:val="both"/>
        <w:rPr>
          <w:rFonts w:ascii="Verdana" w:hAnsi="Verdana"/>
          <w:sz w:val="22"/>
          <w:szCs w:val="22"/>
        </w:rPr>
      </w:pPr>
    </w:p>
    <w:p w14:paraId="67C212A2" w14:textId="77777777" w:rsidR="0086561C" w:rsidRPr="00D47073" w:rsidRDefault="0086561C" w:rsidP="00D47073">
      <w:pPr>
        <w:jc w:val="both"/>
        <w:rPr>
          <w:rFonts w:ascii="Verdana" w:hAnsi="Verdana"/>
          <w:sz w:val="22"/>
          <w:szCs w:val="22"/>
        </w:rPr>
      </w:pPr>
    </w:p>
    <w:p w14:paraId="1B51B110" w14:textId="77777777" w:rsidR="0086561C" w:rsidRPr="00D47073" w:rsidRDefault="0086561C" w:rsidP="00D47073">
      <w:pPr>
        <w:jc w:val="both"/>
        <w:rPr>
          <w:rFonts w:ascii="Verdana" w:hAnsi="Verdana"/>
          <w:sz w:val="22"/>
          <w:szCs w:val="22"/>
        </w:rPr>
      </w:pPr>
    </w:p>
    <w:p w14:paraId="28026EFB" w14:textId="77777777" w:rsidR="0086561C" w:rsidRPr="00D47073" w:rsidRDefault="0086561C" w:rsidP="00D47073">
      <w:pPr>
        <w:jc w:val="both"/>
        <w:rPr>
          <w:rFonts w:ascii="Verdana" w:hAnsi="Verdana"/>
          <w:sz w:val="22"/>
          <w:szCs w:val="22"/>
        </w:rPr>
      </w:pPr>
    </w:p>
    <w:p w14:paraId="0068678F" w14:textId="77777777" w:rsidR="0086561C" w:rsidRPr="00D47073" w:rsidRDefault="0086561C" w:rsidP="00D47073">
      <w:pPr>
        <w:jc w:val="both"/>
        <w:rPr>
          <w:rFonts w:ascii="Verdana" w:hAnsi="Verdana"/>
          <w:sz w:val="22"/>
          <w:szCs w:val="22"/>
        </w:rPr>
        <w:sectPr w:rsidR="0086561C" w:rsidRPr="00D47073" w:rsidSect="008533A1">
          <w:pgSz w:w="12240" w:h="15840"/>
          <w:pgMar w:top="1440" w:right="1800" w:bottom="1440" w:left="1800" w:header="720" w:footer="720" w:gutter="0"/>
          <w:cols w:space="720"/>
          <w:docGrid w:linePitch="360"/>
        </w:sectPr>
      </w:pPr>
    </w:p>
    <w:tbl>
      <w:tblPr>
        <w:tblW w:w="13827" w:type="dxa"/>
        <w:tblInd w:w="93" w:type="dxa"/>
        <w:tblLayout w:type="fixed"/>
        <w:tblLook w:val="04A0" w:firstRow="1" w:lastRow="0" w:firstColumn="1" w:lastColumn="0" w:noHBand="0" w:noVBand="1"/>
      </w:tblPr>
      <w:tblGrid>
        <w:gridCol w:w="1042"/>
        <w:gridCol w:w="1133"/>
        <w:gridCol w:w="551"/>
        <w:gridCol w:w="551"/>
        <w:gridCol w:w="550"/>
        <w:gridCol w:w="911"/>
        <w:gridCol w:w="550"/>
        <w:gridCol w:w="550"/>
        <w:gridCol w:w="550"/>
        <w:gridCol w:w="1028"/>
        <w:gridCol w:w="877"/>
        <w:gridCol w:w="550"/>
        <w:gridCol w:w="550"/>
        <w:gridCol w:w="550"/>
        <w:gridCol w:w="1042"/>
        <w:gridCol w:w="1042"/>
        <w:gridCol w:w="1800"/>
      </w:tblGrid>
      <w:tr w:rsidR="003B009B" w:rsidRPr="00D47073" w14:paraId="43B56291" w14:textId="77777777" w:rsidTr="003B009B">
        <w:trPr>
          <w:gridAfter w:val="16"/>
          <w:wAfter w:w="12785" w:type="dxa"/>
          <w:trHeight w:val="320"/>
        </w:trPr>
        <w:tc>
          <w:tcPr>
            <w:tcW w:w="1042" w:type="dxa"/>
            <w:tcBorders>
              <w:top w:val="nil"/>
              <w:left w:val="nil"/>
              <w:bottom w:val="nil"/>
              <w:right w:val="nil"/>
            </w:tcBorders>
          </w:tcPr>
          <w:p w14:paraId="1E04D202" w14:textId="77777777" w:rsidR="003B009B" w:rsidRPr="00D47073" w:rsidRDefault="003B009B" w:rsidP="00D47073">
            <w:pPr>
              <w:jc w:val="both"/>
              <w:rPr>
                <w:rFonts w:ascii="Verdana" w:eastAsia="Times New Roman" w:hAnsi="Verdana" w:cs="Times New Roman"/>
                <w:b/>
                <w:bCs/>
                <w:color w:val="000000"/>
                <w:sz w:val="22"/>
                <w:szCs w:val="22"/>
              </w:rPr>
            </w:pPr>
          </w:p>
        </w:tc>
      </w:tr>
      <w:tr w:rsidR="003B009B" w:rsidRPr="00D47073" w14:paraId="14DE10B9" w14:textId="77777777" w:rsidTr="003B009B">
        <w:trPr>
          <w:trHeight w:val="680"/>
        </w:trPr>
        <w:tc>
          <w:tcPr>
            <w:tcW w:w="2175" w:type="dxa"/>
            <w:gridSpan w:val="2"/>
            <w:tcBorders>
              <w:top w:val="nil"/>
              <w:left w:val="nil"/>
              <w:bottom w:val="nil"/>
              <w:right w:val="nil"/>
            </w:tcBorders>
            <w:shd w:val="clear" w:color="auto" w:fill="auto"/>
            <w:noWrap/>
            <w:vAlign w:val="bottom"/>
            <w:hideMark/>
          </w:tcPr>
          <w:p w14:paraId="20933C4E" w14:textId="77777777" w:rsidR="003B009B" w:rsidRPr="00D47073" w:rsidRDefault="003B009B" w:rsidP="00D47073">
            <w:pPr>
              <w:jc w:val="both"/>
              <w:rPr>
                <w:rFonts w:ascii="Verdana" w:eastAsia="Times New Roman" w:hAnsi="Verdana" w:cs="Times New Roman"/>
                <w:b/>
                <w:bCs/>
                <w:color w:val="000000"/>
                <w:sz w:val="22"/>
                <w:szCs w:val="22"/>
              </w:rPr>
            </w:pPr>
          </w:p>
        </w:tc>
        <w:tc>
          <w:tcPr>
            <w:tcW w:w="551" w:type="dxa"/>
            <w:tcBorders>
              <w:top w:val="nil"/>
              <w:left w:val="nil"/>
              <w:bottom w:val="nil"/>
              <w:right w:val="nil"/>
            </w:tcBorders>
            <w:shd w:val="clear" w:color="auto" w:fill="auto"/>
            <w:noWrap/>
            <w:vAlign w:val="bottom"/>
            <w:hideMark/>
          </w:tcPr>
          <w:p w14:paraId="4B7D37D4" w14:textId="77777777" w:rsidR="003B009B" w:rsidRPr="00D47073" w:rsidRDefault="003B009B" w:rsidP="00D47073">
            <w:pPr>
              <w:jc w:val="both"/>
              <w:rPr>
                <w:rFonts w:ascii="Verdana" w:eastAsia="Times New Roman" w:hAnsi="Verdana" w:cs="Times New Roman"/>
                <w:b/>
                <w:bCs/>
                <w:color w:val="000000"/>
                <w:sz w:val="22"/>
                <w:szCs w:val="22"/>
              </w:rPr>
            </w:pPr>
          </w:p>
        </w:tc>
        <w:tc>
          <w:tcPr>
            <w:tcW w:w="551" w:type="dxa"/>
            <w:tcBorders>
              <w:top w:val="nil"/>
              <w:left w:val="nil"/>
              <w:bottom w:val="nil"/>
              <w:right w:val="nil"/>
            </w:tcBorders>
            <w:shd w:val="clear" w:color="auto" w:fill="auto"/>
            <w:noWrap/>
            <w:vAlign w:val="bottom"/>
            <w:hideMark/>
          </w:tcPr>
          <w:p w14:paraId="1DD3A266"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5B09E97C" w14:textId="77777777" w:rsidR="003B009B" w:rsidRPr="00D47073" w:rsidRDefault="003B009B" w:rsidP="00D47073">
            <w:pPr>
              <w:jc w:val="both"/>
              <w:rPr>
                <w:rFonts w:ascii="Verdana" w:eastAsia="Times New Roman" w:hAnsi="Verdana" w:cs="Times New Roman"/>
                <w:b/>
                <w:bCs/>
                <w:color w:val="000000"/>
                <w:sz w:val="22"/>
                <w:szCs w:val="22"/>
              </w:rPr>
            </w:pPr>
          </w:p>
        </w:tc>
        <w:tc>
          <w:tcPr>
            <w:tcW w:w="911" w:type="dxa"/>
            <w:tcBorders>
              <w:top w:val="nil"/>
              <w:left w:val="nil"/>
              <w:bottom w:val="nil"/>
              <w:right w:val="nil"/>
            </w:tcBorders>
            <w:shd w:val="clear" w:color="auto" w:fill="auto"/>
            <w:noWrap/>
            <w:vAlign w:val="bottom"/>
            <w:hideMark/>
          </w:tcPr>
          <w:p w14:paraId="264F305C"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46FF0BFE"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417BEF8E"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4AA20416" w14:textId="77777777" w:rsidR="003B009B" w:rsidRPr="00D47073" w:rsidRDefault="003B009B" w:rsidP="00D47073">
            <w:pPr>
              <w:jc w:val="both"/>
              <w:rPr>
                <w:rFonts w:ascii="Verdana" w:eastAsia="Times New Roman" w:hAnsi="Verdana" w:cs="Times New Roman"/>
                <w:b/>
                <w:bCs/>
                <w:color w:val="000000"/>
                <w:sz w:val="22"/>
                <w:szCs w:val="22"/>
              </w:rPr>
            </w:pPr>
          </w:p>
        </w:tc>
        <w:tc>
          <w:tcPr>
            <w:tcW w:w="1028" w:type="dxa"/>
            <w:tcBorders>
              <w:top w:val="nil"/>
              <w:left w:val="nil"/>
              <w:bottom w:val="nil"/>
              <w:right w:val="nil"/>
            </w:tcBorders>
            <w:shd w:val="clear" w:color="auto" w:fill="auto"/>
            <w:noWrap/>
            <w:vAlign w:val="bottom"/>
            <w:hideMark/>
          </w:tcPr>
          <w:p w14:paraId="4483903E" w14:textId="77777777" w:rsidR="003B009B" w:rsidRPr="00D47073" w:rsidRDefault="003B009B" w:rsidP="00D47073">
            <w:pPr>
              <w:jc w:val="both"/>
              <w:rPr>
                <w:rFonts w:ascii="Verdana" w:eastAsia="Times New Roman" w:hAnsi="Verdana" w:cs="Times New Roman"/>
                <w:b/>
                <w:bCs/>
                <w:color w:val="000000"/>
                <w:sz w:val="22"/>
                <w:szCs w:val="22"/>
              </w:rPr>
            </w:pPr>
          </w:p>
        </w:tc>
        <w:tc>
          <w:tcPr>
            <w:tcW w:w="877" w:type="dxa"/>
            <w:tcBorders>
              <w:top w:val="nil"/>
              <w:left w:val="nil"/>
              <w:bottom w:val="nil"/>
              <w:right w:val="nil"/>
            </w:tcBorders>
            <w:shd w:val="clear" w:color="auto" w:fill="auto"/>
            <w:noWrap/>
            <w:vAlign w:val="bottom"/>
            <w:hideMark/>
          </w:tcPr>
          <w:p w14:paraId="0641629C"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1570A41C"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1D548ACF" w14:textId="77777777" w:rsidR="003B009B" w:rsidRPr="00D47073" w:rsidRDefault="003B009B" w:rsidP="00D47073">
            <w:pPr>
              <w:jc w:val="both"/>
              <w:rPr>
                <w:rFonts w:ascii="Verdana" w:eastAsia="Times New Roman" w:hAnsi="Verdana" w:cs="Times New Roman"/>
                <w:b/>
                <w:bCs/>
                <w:color w:val="000000"/>
                <w:sz w:val="22"/>
                <w:szCs w:val="22"/>
              </w:rPr>
            </w:pPr>
          </w:p>
        </w:tc>
        <w:tc>
          <w:tcPr>
            <w:tcW w:w="550" w:type="dxa"/>
            <w:tcBorders>
              <w:top w:val="nil"/>
              <w:left w:val="nil"/>
              <w:bottom w:val="nil"/>
              <w:right w:val="nil"/>
            </w:tcBorders>
            <w:shd w:val="clear" w:color="auto" w:fill="auto"/>
            <w:noWrap/>
            <w:vAlign w:val="bottom"/>
            <w:hideMark/>
          </w:tcPr>
          <w:p w14:paraId="4F5DE95C" w14:textId="77777777" w:rsidR="003B009B" w:rsidRPr="00D47073" w:rsidRDefault="003B009B" w:rsidP="00D47073">
            <w:pPr>
              <w:jc w:val="both"/>
              <w:rPr>
                <w:rFonts w:ascii="Verdana" w:eastAsia="Times New Roman" w:hAnsi="Verdana" w:cs="Times New Roman"/>
                <w:b/>
                <w:bCs/>
                <w:color w:val="000000"/>
                <w:sz w:val="22"/>
                <w:szCs w:val="22"/>
              </w:rPr>
            </w:pPr>
          </w:p>
        </w:tc>
        <w:tc>
          <w:tcPr>
            <w:tcW w:w="3884" w:type="dxa"/>
            <w:gridSpan w:val="3"/>
            <w:tcBorders>
              <w:top w:val="double" w:sz="6" w:space="0" w:color="3F3F3F"/>
              <w:left w:val="double" w:sz="6" w:space="0" w:color="3F3F3F"/>
              <w:bottom w:val="double" w:sz="6" w:space="0" w:color="3F3F3F"/>
              <w:right w:val="double" w:sz="6" w:space="0" w:color="3F3F3F"/>
            </w:tcBorders>
            <w:shd w:val="clear" w:color="auto" w:fill="B3B3B3"/>
          </w:tcPr>
          <w:p w14:paraId="66F30A46" w14:textId="39F968A0"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Producible</w:t>
            </w:r>
          </w:p>
        </w:tc>
      </w:tr>
      <w:tr w:rsidR="003B009B" w:rsidRPr="00D47073" w14:paraId="58A417C9" w14:textId="77777777" w:rsidTr="003B009B">
        <w:trPr>
          <w:cantSplit/>
          <w:trHeight w:val="1700"/>
        </w:trPr>
        <w:tc>
          <w:tcPr>
            <w:tcW w:w="2175" w:type="dxa"/>
            <w:gridSpan w:val="2"/>
            <w:tcBorders>
              <w:top w:val="nil"/>
              <w:left w:val="nil"/>
              <w:bottom w:val="nil"/>
              <w:right w:val="nil"/>
            </w:tcBorders>
            <w:shd w:val="clear" w:color="auto" w:fill="auto"/>
            <w:noWrap/>
            <w:vAlign w:val="bottom"/>
            <w:hideMark/>
          </w:tcPr>
          <w:p w14:paraId="26345543" w14:textId="77777777" w:rsidR="003B009B" w:rsidRPr="00D47073" w:rsidRDefault="003B009B" w:rsidP="00D47073">
            <w:pPr>
              <w:jc w:val="both"/>
              <w:rPr>
                <w:rFonts w:ascii="Verdana" w:eastAsia="Times New Roman" w:hAnsi="Verdana" w:cs="Times New Roman"/>
                <w:color w:val="000000"/>
                <w:sz w:val="22"/>
                <w:szCs w:val="22"/>
              </w:rPr>
            </w:pPr>
          </w:p>
        </w:tc>
        <w:tc>
          <w:tcPr>
            <w:tcW w:w="551" w:type="dxa"/>
            <w:tcBorders>
              <w:top w:val="nil"/>
              <w:left w:val="nil"/>
              <w:bottom w:val="nil"/>
              <w:right w:val="nil"/>
            </w:tcBorders>
            <w:shd w:val="clear" w:color="auto" w:fill="auto"/>
            <w:noWrap/>
            <w:textDirection w:val="btLr"/>
            <w:vAlign w:val="bottom"/>
            <w:hideMark/>
          </w:tcPr>
          <w:p w14:paraId="40B7ACD4"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Poverty</w:t>
            </w:r>
          </w:p>
        </w:tc>
        <w:tc>
          <w:tcPr>
            <w:tcW w:w="551" w:type="dxa"/>
            <w:tcBorders>
              <w:top w:val="nil"/>
              <w:left w:val="nil"/>
              <w:bottom w:val="nil"/>
              <w:right w:val="nil"/>
            </w:tcBorders>
            <w:shd w:val="clear" w:color="auto" w:fill="auto"/>
            <w:noWrap/>
            <w:textDirection w:val="btLr"/>
            <w:vAlign w:val="bottom"/>
            <w:hideMark/>
          </w:tcPr>
          <w:p w14:paraId="616E1169"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Hunger</w:t>
            </w:r>
          </w:p>
        </w:tc>
        <w:tc>
          <w:tcPr>
            <w:tcW w:w="550" w:type="dxa"/>
            <w:tcBorders>
              <w:top w:val="nil"/>
              <w:left w:val="nil"/>
              <w:bottom w:val="nil"/>
              <w:right w:val="nil"/>
            </w:tcBorders>
            <w:shd w:val="clear" w:color="auto" w:fill="auto"/>
            <w:noWrap/>
            <w:textDirection w:val="btLr"/>
            <w:vAlign w:val="bottom"/>
            <w:hideMark/>
          </w:tcPr>
          <w:p w14:paraId="569EE586"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Health</w:t>
            </w:r>
          </w:p>
        </w:tc>
        <w:tc>
          <w:tcPr>
            <w:tcW w:w="911" w:type="dxa"/>
            <w:tcBorders>
              <w:top w:val="nil"/>
              <w:left w:val="nil"/>
              <w:bottom w:val="nil"/>
              <w:right w:val="nil"/>
            </w:tcBorders>
            <w:shd w:val="clear" w:color="auto" w:fill="auto"/>
            <w:textDirection w:val="btLr"/>
            <w:vAlign w:val="bottom"/>
            <w:hideMark/>
          </w:tcPr>
          <w:p w14:paraId="28D8339A"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Education</w:t>
            </w:r>
          </w:p>
        </w:tc>
        <w:tc>
          <w:tcPr>
            <w:tcW w:w="550" w:type="dxa"/>
            <w:tcBorders>
              <w:top w:val="nil"/>
              <w:left w:val="nil"/>
              <w:bottom w:val="nil"/>
              <w:right w:val="nil"/>
            </w:tcBorders>
            <w:shd w:val="clear" w:color="auto" w:fill="auto"/>
            <w:noWrap/>
            <w:textDirection w:val="btLr"/>
            <w:vAlign w:val="bottom"/>
            <w:hideMark/>
          </w:tcPr>
          <w:p w14:paraId="09406055"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Gender</w:t>
            </w:r>
          </w:p>
        </w:tc>
        <w:tc>
          <w:tcPr>
            <w:tcW w:w="550" w:type="dxa"/>
            <w:tcBorders>
              <w:top w:val="nil"/>
              <w:left w:val="nil"/>
              <w:bottom w:val="nil"/>
              <w:right w:val="nil"/>
            </w:tcBorders>
            <w:shd w:val="clear" w:color="auto" w:fill="auto"/>
            <w:noWrap/>
            <w:textDirection w:val="btLr"/>
            <w:vAlign w:val="bottom"/>
            <w:hideMark/>
          </w:tcPr>
          <w:p w14:paraId="05BC5800"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WASH</w:t>
            </w:r>
          </w:p>
        </w:tc>
        <w:tc>
          <w:tcPr>
            <w:tcW w:w="550" w:type="dxa"/>
            <w:tcBorders>
              <w:top w:val="nil"/>
              <w:left w:val="nil"/>
              <w:bottom w:val="nil"/>
              <w:right w:val="nil"/>
            </w:tcBorders>
            <w:shd w:val="clear" w:color="auto" w:fill="auto"/>
            <w:noWrap/>
            <w:textDirection w:val="btLr"/>
            <w:vAlign w:val="bottom"/>
            <w:hideMark/>
          </w:tcPr>
          <w:p w14:paraId="2588B78B"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Energy</w:t>
            </w:r>
          </w:p>
        </w:tc>
        <w:tc>
          <w:tcPr>
            <w:tcW w:w="1028" w:type="dxa"/>
            <w:tcBorders>
              <w:top w:val="nil"/>
              <w:left w:val="nil"/>
              <w:bottom w:val="nil"/>
              <w:right w:val="nil"/>
            </w:tcBorders>
            <w:shd w:val="clear" w:color="auto" w:fill="auto"/>
            <w:textDirection w:val="btLr"/>
            <w:vAlign w:val="bottom"/>
            <w:hideMark/>
          </w:tcPr>
          <w:p w14:paraId="08F6042D"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Employment</w:t>
            </w:r>
          </w:p>
        </w:tc>
        <w:tc>
          <w:tcPr>
            <w:tcW w:w="877" w:type="dxa"/>
            <w:tcBorders>
              <w:top w:val="nil"/>
              <w:left w:val="nil"/>
              <w:bottom w:val="nil"/>
              <w:right w:val="nil"/>
            </w:tcBorders>
            <w:shd w:val="clear" w:color="auto" w:fill="auto"/>
            <w:textDirection w:val="btLr"/>
            <w:vAlign w:val="bottom"/>
            <w:hideMark/>
          </w:tcPr>
          <w:p w14:paraId="610ADA0F"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Inequality</w:t>
            </w:r>
          </w:p>
        </w:tc>
        <w:tc>
          <w:tcPr>
            <w:tcW w:w="550" w:type="dxa"/>
            <w:tcBorders>
              <w:top w:val="nil"/>
              <w:left w:val="nil"/>
              <w:bottom w:val="nil"/>
              <w:right w:val="nil"/>
            </w:tcBorders>
            <w:shd w:val="clear" w:color="auto" w:fill="auto"/>
            <w:noWrap/>
            <w:textDirection w:val="btLr"/>
            <w:vAlign w:val="bottom"/>
            <w:hideMark/>
          </w:tcPr>
          <w:p w14:paraId="785C55A0"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Cities</w:t>
            </w:r>
          </w:p>
        </w:tc>
        <w:tc>
          <w:tcPr>
            <w:tcW w:w="550" w:type="dxa"/>
            <w:tcBorders>
              <w:top w:val="nil"/>
              <w:left w:val="nil"/>
              <w:bottom w:val="nil"/>
              <w:right w:val="nil"/>
            </w:tcBorders>
            <w:shd w:val="clear" w:color="auto" w:fill="auto"/>
            <w:noWrap/>
            <w:textDirection w:val="btLr"/>
            <w:vAlign w:val="bottom"/>
            <w:hideMark/>
          </w:tcPr>
          <w:p w14:paraId="094DD5B6"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Climate</w:t>
            </w:r>
          </w:p>
        </w:tc>
        <w:tc>
          <w:tcPr>
            <w:tcW w:w="550" w:type="dxa"/>
            <w:tcBorders>
              <w:top w:val="nil"/>
              <w:left w:val="nil"/>
              <w:bottom w:val="nil"/>
              <w:right w:val="nil"/>
            </w:tcBorders>
            <w:shd w:val="clear" w:color="auto" w:fill="auto"/>
            <w:noWrap/>
            <w:textDirection w:val="btLr"/>
            <w:vAlign w:val="bottom"/>
            <w:hideMark/>
          </w:tcPr>
          <w:p w14:paraId="0A0C60E4"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Justice</w:t>
            </w:r>
          </w:p>
        </w:tc>
        <w:tc>
          <w:tcPr>
            <w:tcW w:w="1042" w:type="dxa"/>
            <w:tcBorders>
              <w:top w:val="nil"/>
              <w:left w:val="double" w:sz="6" w:space="0" w:color="3F3F3F"/>
              <w:bottom w:val="double" w:sz="6" w:space="0" w:color="3F3F3F"/>
              <w:right w:val="double" w:sz="6" w:space="0" w:color="3F3F3F"/>
            </w:tcBorders>
            <w:shd w:val="clear" w:color="auto" w:fill="B3B3B3"/>
            <w:vAlign w:val="bottom"/>
          </w:tcPr>
          <w:p w14:paraId="0DE780F1" w14:textId="7CB1B371"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b/>
                <w:bCs/>
                <w:color w:val="FFFFFF" w:themeColor="background1"/>
                <w:sz w:val="22"/>
                <w:szCs w:val="22"/>
              </w:rPr>
              <w:t>All</w:t>
            </w:r>
          </w:p>
        </w:tc>
        <w:tc>
          <w:tcPr>
            <w:tcW w:w="1042" w:type="dxa"/>
            <w:tcBorders>
              <w:top w:val="nil"/>
              <w:left w:val="double" w:sz="6" w:space="0" w:color="3F3F3F"/>
              <w:bottom w:val="double" w:sz="6" w:space="0" w:color="3F3F3F"/>
              <w:right w:val="double" w:sz="6" w:space="0" w:color="3F3F3F"/>
            </w:tcBorders>
            <w:shd w:val="clear" w:color="000000" w:fill="A5A5A5"/>
            <w:vAlign w:val="bottom"/>
            <w:hideMark/>
          </w:tcPr>
          <w:p w14:paraId="16ECA509" w14:textId="2AD02350"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General Pop</w:t>
            </w:r>
          </w:p>
        </w:tc>
        <w:tc>
          <w:tcPr>
            <w:tcW w:w="1800" w:type="dxa"/>
            <w:tcBorders>
              <w:top w:val="nil"/>
              <w:left w:val="nil"/>
              <w:bottom w:val="double" w:sz="6" w:space="0" w:color="3F3F3F"/>
              <w:right w:val="double" w:sz="6" w:space="0" w:color="3F3F3F"/>
            </w:tcBorders>
            <w:shd w:val="clear" w:color="000000" w:fill="A5A5A5"/>
            <w:vAlign w:val="bottom"/>
            <w:hideMark/>
          </w:tcPr>
          <w:p w14:paraId="0F84119B"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Percent that can be disaggregated</w:t>
            </w:r>
          </w:p>
        </w:tc>
      </w:tr>
      <w:tr w:rsidR="003B009B" w:rsidRPr="00D47073" w14:paraId="569B7478" w14:textId="77777777" w:rsidTr="003B009B">
        <w:trPr>
          <w:trHeight w:val="640"/>
        </w:trPr>
        <w:tc>
          <w:tcPr>
            <w:tcW w:w="2175" w:type="dxa"/>
            <w:gridSpan w:val="2"/>
            <w:tcBorders>
              <w:top w:val="nil"/>
              <w:left w:val="nil"/>
              <w:bottom w:val="nil"/>
              <w:right w:val="nil"/>
            </w:tcBorders>
            <w:shd w:val="clear" w:color="auto" w:fill="auto"/>
            <w:vAlign w:val="bottom"/>
            <w:hideMark/>
          </w:tcPr>
          <w:p w14:paraId="2A3167DE"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Number of Indicators</w:t>
            </w:r>
          </w:p>
        </w:tc>
        <w:tc>
          <w:tcPr>
            <w:tcW w:w="551" w:type="dxa"/>
            <w:tcBorders>
              <w:top w:val="nil"/>
              <w:left w:val="nil"/>
              <w:bottom w:val="nil"/>
              <w:right w:val="nil"/>
            </w:tcBorders>
            <w:shd w:val="clear" w:color="auto" w:fill="auto"/>
            <w:noWrap/>
            <w:vAlign w:val="bottom"/>
            <w:hideMark/>
          </w:tcPr>
          <w:p w14:paraId="446A6E10"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5</w:t>
            </w:r>
          </w:p>
        </w:tc>
        <w:tc>
          <w:tcPr>
            <w:tcW w:w="551" w:type="dxa"/>
            <w:tcBorders>
              <w:top w:val="nil"/>
              <w:left w:val="nil"/>
              <w:bottom w:val="nil"/>
              <w:right w:val="nil"/>
            </w:tcBorders>
            <w:shd w:val="clear" w:color="auto" w:fill="auto"/>
            <w:noWrap/>
            <w:vAlign w:val="bottom"/>
            <w:hideMark/>
          </w:tcPr>
          <w:p w14:paraId="420D416A"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3</w:t>
            </w:r>
          </w:p>
        </w:tc>
        <w:tc>
          <w:tcPr>
            <w:tcW w:w="550" w:type="dxa"/>
            <w:tcBorders>
              <w:top w:val="nil"/>
              <w:left w:val="nil"/>
              <w:bottom w:val="nil"/>
              <w:right w:val="nil"/>
            </w:tcBorders>
            <w:shd w:val="clear" w:color="auto" w:fill="auto"/>
            <w:noWrap/>
            <w:vAlign w:val="bottom"/>
            <w:hideMark/>
          </w:tcPr>
          <w:p w14:paraId="1193650A"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16</w:t>
            </w:r>
          </w:p>
        </w:tc>
        <w:tc>
          <w:tcPr>
            <w:tcW w:w="911" w:type="dxa"/>
            <w:tcBorders>
              <w:top w:val="nil"/>
              <w:left w:val="nil"/>
              <w:bottom w:val="nil"/>
              <w:right w:val="nil"/>
            </w:tcBorders>
            <w:shd w:val="clear" w:color="auto" w:fill="auto"/>
            <w:noWrap/>
            <w:vAlign w:val="bottom"/>
            <w:hideMark/>
          </w:tcPr>
          <w:p w14:paraId="5E97E8D4"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8</w:t>
            </w:r>
          </w:p>
        </w:tc>
        <w:tc>
          <w:tcPr>
            <w:tcW w:w="550" w:type="dxa"/>
            <w:tcBorders>
              <w:top w:val="nil"/>
              <w:left w:val="nil"/>
              <w:bottom w:val="nil"/>
              <w:right w:val="nil"/>
            </w:tcBorders>
            <w:shd w:val="clear" w:color="auto" w:fill="auto"/>
            <w:noWrap/>
            <w:vAlign w:val="bottom"/>
            <w:hideMark/>
          </w:tcPr>
          <w:p w14:paraId="04CBEFB3"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10</w:t>
            </w:r>
          </w:p>
        </w:tc>
        <w:tc>
          <w:tcPr>
            <w:tcW w:w="550" w:type="dxa"/>
            <w:tcBorders>
              <w:top w:val="nil"/>
              <w:left w:val="nil"/>
              <w:bottom w:val="nil"/>
              <w:right w:val="nil"/>
            </w:tcBorders>
            <w:shd w:val="clear" w:color="auto" w:fill="auto"/>
            <w:noWrap/>
            <w:vAlign w:val="bottom"/>
            <w:hideMark/>
          </w:tcPr>
          <w:p w14:paraId="1EB761F9"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2</w:t>
            </w:r>
          </w:p>
        </w:tc>
        <w:tc>
          <w:tcPr>
            <w:tcW w:w="550" w:type="dxa"/>
            <w:tcBorders>
              <w:top w:val="nil"/>
              <w:left w:val="nil"/>
              <w:bottom w:val="nil"/>
              <w:right w:val="nil"/>
            </w:tcBorders>
            <w:shd w:val="clear" w:color="auto" w:fill="auto"/>
            <w:noWrap/>
            <w:vAlign w:val="bottom"/>
            <w:hideMark/>
          </w:tcPr>
          <w:p w14:paraId="7C364CEB"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2</w:t>
            </w:r>
          </w:p>
        </w:tc>
        <w:tc>
          <w:tcPr>
            <w:tcW w:w="1028" w:type="dxa"/>
            <w:tcBorders>
              <w:top w:val="nil"/>
              <w:left w:val="nil"/>
              <w:bottom w:val="nil"/>
              <w:right w:val="nil"/>
            </w:tcBorders>
            <w:shd w:val="clear" w:color="auto" w:fill="auto"/>
            <w:noWrap/>
            <w:vAlign w:val="bottom"/>
            <w:hideMark/>
          </w:tcPr>
          <w:p w14:paraId="4A31CDCE"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5</w:t>
            </w:r>
          </w:p>
        </w:tc>
        <w:tc>
          <w:tcPr>
            <w:tcW w:w="877" w:type="dxa"/>
            <w:tcBorders>
              <w:top w:val="nil"/>
              <w:left w:val="nil"/>
              <w:bottom w:val="nil"/>
              <w:right w:val="nil"/>
            </w:tcBorders>
            <w:shd w:val="clear" w:color="auto" w:fill="auto"/>
            <w:noWrap/>
            <w:vAlign w:val="bottom"/>
            <w:hideMark/>
          </w:tcPr>
          <w:p w14:paraId="73B12A2E"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2</w:t>
            </w:r>
          </w:p>
        </w:tc>
        <w:tc>
          <w:tcPr>
            <w:tcW w:w="550" w:type="dxa"/>
            <w:tcBorders>
              <w:top w:val="nil"/>
              <w:left w:val="nil"/>
              <w:bottom w:val="nil"/>
              <w:right w:val="nil"/>
            </w:tcBorders>
            <w:shd w:val="clear" w:color="auto" w:fill="auto"/>
            <w:noWrap/>
            <w:vAlign w:val="bottom"/>
            <w:hideMark/>
          </w:tcPr>
          <w:p w14:paraId="6EAC1873"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3</w:t>
            </w:r>
          </w:p>
        </w:tc>
        <w:tc>
          <w:tcPr>
            <w:tcW w:w="550" w:type="dxa"/>
            <w:tcBorders>
              <w:top w:val="nil"/>
              <w:left w:val="nil"/>
              <w:bottom w:val="nil"/>
              <w:right w:val="nil"/>
            </w:tcBorders>
            <w:shd w:val="clear" w:color="auto" w:fill="auto"/>
            <w:noWrap/>
            <w:vAlign w:val="bottom"/>
            <w:hideMark/>
          </w:tcPr>
          <w:p w14:paraId="5B32E9CA"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1</w:t>
            </w:r>
          </w:p>
        </w:tc>
        <w:tc>
          <w:tcPr>
            <w:tcW w:w="550" w:type="dxa"/>
            <w:tcBorders>
              <w:top w:val="nil"/>
              <w:left w:val="nil"/>
              <w:bottom w:val="nil"/>
              <w:right w:val="nil"/>
            </w:tcBorders>
            <w:shd w:val="clear" w:color="auto" w:fill="auto"/>
            <w:noWrap/>
            <w:vAlign w:val="bottom"/>
            <w:hideMark/>
          </w:tcPr>
          <w:p w14:paraId="4B3FC785" w14:textId="77777777" w:rsidR="003B009B" w:rsidRPr="00D47073" w:rsidRDefault="003B009B"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8</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129F32A" w14:textId="483DFA60"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b/>
                <w:bCs/>
                <w:color w:val="FFFFFF" w:themeColor="background1"/>
                <w:sz w:val="22"/>
                <w:szCs w:val="22"/>
              </w:rPr>
              <w:t>65</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7664E5D0" w14:textId="054A5EF8"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 </w:t>
            </w:r>
          </w:p>
        </w:tc>
        <w:tc>
          <w:tcPr>
            <w:tcW w:w="1800" w:type="dxa"/>
            <w:tcBorders>
              <w:top w:val="nil"/>
              <w:left w:val="nil"/>
              <w:bottom w:val="double" w:sz="6" w:space="0" w:color="3F3F3F"/>
              <w:right w:val="double" w:sz="6" w:space="0" w:color="3F3F3F"/>
            </w:tcBorders>
            <w:shd w:val="clear" w:color="000000" w:fill="A5A5A5"/>
            <w:noWrap/>
            <w:vAlign w:val="bottom"/>
            <w:hideMark/>
          </w:tcPr>
          <w:p w14:paraId="17D161A3"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 </w:t>
            </w:r>
          </w:p>
        </w:tc>
      </w:tr>
      <w:tr w:rsidR="003B009B" w:rsidRPr="00D47073" w14:paraId="555D65A6"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24CFF9A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Afghanistan</w:t>
            </w:r>
          </w:p>
        </w:tc>
        <w:tc>
          <w:tcPr>
            <w:tcW w:w="551" w:type="dxa"/>
            <w:tcBorders>
              <w:top w:val="nil"/>
              <w:left w:val="nil"/>
              <w:bottom w:val="nil"/>
              <w:right w:val="nil"/>
            </w:tcBorders>
            <w:shd w:val="clear" w:color="auto" w:fill="auto"/>
            <w:noWrap/>
            <w:vAlign w:val="bottom"/>
            <w:hideMark/>
          </w:tcPr>
          <w:p w14:paraId="59A9889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57EA95B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D7DC36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3CBD216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EB82D7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3AB5D48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6CA7EB4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00F9FCA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auto" w:fill="auto"/>
            <w:noWrap/>
            <w:vAlign w:val="bottom"/>
            <w:hideMark/>
          </w:tcPr>
          <w:p w14:paraId="115D6D7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83CC12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DC9C0A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FEFB41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02258E75" w14:textId="0CBB0653"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5</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4D7587E7" w14:textId="11624609"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6</w:t>
            </w:r>
          </w:p>
        </w:tc>
        <w:tc>
          <w:tcPr>
            <w:tcW w:w="1800" w:type="dxa"/>
            <w:tcBorders>
              <w:top w:val="nil"/>
              <w:left w:val="nil"/>
              <w:bottom w:val="double" w:sz="6" w:space="0" w:color="3F3F3F"/>
              <w:right w:val="double" w:sz="6" w:space="0" w:color="3F3F3F"/>
            </w:tcBorders>
            <w:shd w:val="clear" w:color="000000" w:fill="A5A5A5"/>
            <w:noWrap/>
            <w:vAlign w:val="bottom"/>
            <w:hideMark/>
          </w:tcPr>
          <w:p w14:paraId="30EB7E6A"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83%</w:t>
            </w:r>
          </w:p>
        </w:tc>
      </w:tr>
      <w:tr w:rsidR="003B009B" w:rsidRPr="00D47073" w14:paraId="4A646A38" w14:textId="77777777" w:rsidTr="003B009B">
        <w:trPr>
          <w:trHeight w:val="340"/>
        </w:trPr>
        <w:tc>
          <w:tcPr>
            <w:tcW w:w="2175" w:type="dxa"/>
            <w:gridSpan w:val="2"/>
            <w:tcBorders>
              <w:top w:val="nil"/>
              <w:left w:val="nil"/>
              <w:bottom w:val="nil"/>
              <w:right w:val="nil"/>
            </w:tcBorders>
            <w:shd w:val="clear" w:color="000000" w:fill="D9D9D9"/>
            <w:noWrap/>
            <w:vAlign w:val="bottom"/>
            <w:hideMark/>
          </w:tcPr>
          <w:p w14:paraId="7B11738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Argentina</w:t>
            </w:r>
          </w:p>
        </w:tc>
        <w:tc>
          <w:tcPr>
            <w:tcW w:w="551" w:type="dxa"/>
            <w:tcBorders>
              <w:top w:val="nil"/>
              <w:left w:val="nil"/>
              <w:bottom w:val="nil"/>
              <w:right w:val="nil"/>
            </w:tcBorders>
            <w:shd w:val="clear" w:color="000000" w:fill="D9D9D9"/>
            <w:noWrap/>
            <w:vAlign w:val="bottom"/>
            <w:hideMark/>
          </w:tcPr>
          <w:p w14:paraId="678A2DA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1" w:type="dxa"/>
            <w:tcBorders>
              <w:top w:val="nil"/>
              <w:left w:val="nil"/>
              <w:bottom w:val="nil"/>
              <w:right w:val="nil"/>
            </w:tcBorders>
            <w:shd w:val="clear" w:color="000000" w:fill="D9D9D9"/>
            <w:noWrap/>
            <w:vAlign w:val="bottom"/>
            <w:hideMark/>
          </w:tcPr>
          <w:p w14:paraId="3B0551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562111C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000000" w:fill="D9D9D9"/>
            <w:noWrap/>
            <w:vAlign w:val="bottom"/>
            <w:hideMark/>
          </w:tcPr>
          <w:p w14:paraId="4DB3B80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w:t>
            </w:r>
          </w:p>
        </w:tc>
        <w:tc>
          <w:tcPr>
            <w:tcW w:w="550" w:type="dxa"/>
            <w:tcBorders>
              <w:top w:val="nil"/>
              <w:left w:val="nil"/>
              <w:bottom w:val="nil"/>
              <w:right w:val="nil"/>
            </w:tcBorders>
            <w:shd w:val="clear" w:color="000000" w:fill="D9D9D9"/>
            <w:noWrap/>
            <w:vAlign w:val="bottom"/>
            <w:hideMark/>
          </w:tcPr>
          <w:p w14:paraId="02A7383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000000" w:fill="D9D9D9"/>
            <w:noWrap/>
            <w:vAlign w:val="bottom"/>
            <w:hideMark/>
          </w:tcPr>
          <w:p w14:paraId="64234EE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D9D9D9"/>
            <w:noWrap/>
            <w:vAlign w:val="bottom"/>
            <w:hideMark/>
          </w:tcPr>
          <w:p w14:paraId="39968FA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000000" w:fill="D9D9D9"/>
            <w:noWrap/>
            <w:vAlign w:val="bottom"/>
            <w:hideMark/>
          </w:tcPr>
          <w:p w14:paraId="60117F5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w:t>
            </w:r>
          </w:p>
        </w:tc>
        <w:tc>
          <w:tcPr>
            <w:tcW w:w="877" w:type="dxa"/>
            <w:tcBorders>
              <w:top w:val="nil"/>
              <w:left w:val="nil"/>
              <w:bottom w:val="nil"/>
              <w:right w:val="nil"/>
            </w:tcBorders>
            <w:shd w:val="clear" w:color="000000" w:fill="D9D9D9"/>
            <w:noWrap/>
            <w:vAlign w:val="bottom"/>
            <w:hideMark/>
          </w:tcPr>
          <w:p w14:paraId="1A4FE52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061614B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1826196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08AA867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4AB8B916" w14:textId="7DEE62A2"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17ED627D" w14:textId="75D6C10B"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31</w:t>
            </w:r>
          </w:p>
        </w:tc>
        <w:tc>
          <w:tcPr>
            <w:tcW w:w="1800" w:type="dxa"/>
            <w:tcBorders>
              <w:top w:val="nil"/>
              <w:left w:val="nil"/>
              <w:bottom w:val="double" w:sz="6" w:space="0" w:color="3F3F3F"/>
              <w:right w:val="double" w:sz="6" w:space="0" w:color="3F3F3F"/>
            </w:tcBorders>
            <w:shd w:val="clear" w:color="000000" w:fill="A5A5A5"/>
            <w:noWrap/>
            <w:vAlign w:val="bottom"/>
            <w:hideMark/>
          </w:tcPr>
          <w:p w14:paraId="08E8146E"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45%</w:t>
            </w:r>
          </w:p>
        </w:tc>
      </w:tr>
      <w:tr w:rsidR="003B009B" w:rsidRPr="00D47073" w14:paraId="512A198B" w14:textId="77777777" w:rsidTr="003B009B">
        <w:trPr>
          <w:trHeight w:val="340"/>
        </w:trPr>
        <w:tc>
          <w:tcPr>
            <w:tcW w:w="2175" w:type="dxa"/>
            <w:gridSpan w:val="2"/>
            <w:tcBorders>
              <w:top w:val="nil"/>
              <w:left w:val="nil"/>
              <w:bottom w:val="nil"/>
              <w:right w:val="nil"/>
            </w:tcBorders>
            <w:shd w:val="clear" w:color="000000" w:fill="D9D9D9"/>
            <w:noWrap/>
            <w:vAlign w:val="bottom"/>
            <w:hideMark/>
          </w:tcPr>
          <w:p w14:paraId="094BD14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Australia</w:t>
            </w:r>
          </w:p>
        </w:tc>
        <w:tc>
          <w:tcPr>
            <w:tcW w:w="551" w:type="dxa"/>
            <w:tcBorders>
              <w:top w:val="nil"/>
              <w:left w:val="nil"/>
              <w:bottom w:val="nil"/>
              <w:right w:val="nil"/>
            </w:tcBorders>
            <w:shd w:val="clear" w:color="000000" w:fill="D9D9D9"/>
            <w:noWrap/>
            <w:vAlign w:val="bottom"/>
            <w:hideMark/>
          </w:tcPr>
          <w:p w14:paraId="3CA7FF4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1" w:type="dxa"/>
            <w:tcBorders>
              <w:top w:val="nil"/>
              <w:left w:val="nil"/>
              <w:bottom w:val="nil"/>
              <w:right w:val="nil"/>
            </w:tcBorders>
            <w:shd w:val="clear" w:color="000000" w:fill="D9D9D9"/>
            <w:noWrap/>
            <w:vAlign w:val="bottom"/>
            <w:hideMark/>
          </w:tcPr>
          <w:p w14:paraId="13F873D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3D8122C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000000" w:fill="D9D9D9"/>
            <w:noWrap/>
            <w:vAlign w:val="bottom"/>
            <w:hideMark/>
          </w:tcPr>
          <w:p w14:paraId="1E1EEE3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w:t>
            </w:r>
          </w:p>
        </w:tc>
        <w:tc>
          <w:tcPr>
            <w:tcW w:w="550" w:type="dxa"/>
            <w:tcBorders>
              <w:top w:val="nil"/>
              <w:left w:val="nil"/>
              <w:bottom w:val="nil"/>
              <w:right w:val="nil"/>
            </w:tcBorders>
            <w:shd w:val="clear" w:color="000000" w:fill="D9D9D9"/>
            <w:noWrap/>
            <w:vAlign w:val="bottom"/>
            <w:hideMark/>
          </w:tcPr>
          <w:p w14:paraId="23A4FB3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c>
          <w:tcPr>
            <w:tcW w:w="550" w:type="dxa"/>
            <w:tcBorders>
              <w:top w:val="nil"/>
              <w:left w:val="nil"/>
              <w:bottom w:val="nil"/>
              <w:right w:val="nil"/>
            </w:tcBorders>
            <w:shd w:val="clear" w:color="000000" w:fill="D9D9D9"/>
            <w:noWrap/>
            <w:vAlign w:val="bottom"/>
            <w:hideMark/>
          </w:tcPr>
          <w:p w14:paraId="0B45200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75EB74B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000000" w:fill="D9D9D9"/>
            <w:noWrap/>
            <w:vAlign w:val="bottom"/>
            <w:hideMark/>
          </w:tcPr>
          <w:p w14:paraId="64E9F3E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877" w:type="dxa"/>
            <w:tcBorders>
              <w:top w:val="nil"/>
              <w:left w:val="nil"/>
              <w:bottom w:val="nil"/>
              <w:right w:val="nil"/>
            </w:tcBorders>
            <w:shd w:val="clear" w:color="000000" w:fill="D9D9D9"/>
            <w:noWrap/>
            <w:vAlign w:val="bottom"/>
            <w:hideMark/>
          </w:tcPr>
          <w:p w14:paraId="7E3E301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D9D9D9"/>
            <w:noWrap/>
            <w:vAlign w:val="bottom"/>
            <w:hideMark/>
          </w:tcPr>
          <w:p w14:paraId="32C7E06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D9D9D9"/>
            <w:noWrap/>
            <w:vAlign w:val="bottom"/>
            <w:hideMark/>
          </w:tcPr>
          <w:p w14:paraId="38F7FD8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1CC5C31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6762F7D8" w14:textId="3D4AE1CE"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18</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496C0926" w14:textId="2BA155BD"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29</w:t>
            </w:r>
          </w:p>
        </w:tc>
        <w:tc>
          <w:tcPr>
            <w:tcW w:w="1800" w:type="dxa"/>
            <w:tcBorders>
              <w:top w:val="nil"/>
              <w:left w:val="nil"/>
              <w:bottom w:val="double" w:sz="6" w:space="0" w:color="3F3F3F"/>
              <w:right w:val="double" w:sz="6" w:space="0" w:color="3F3F3F"/>
            </w:tcBorders>
            <w:shd w:val="clear" w:color="000000" w:fill="A5A5A5"/>
            <w:noWrap/>
            <w:vAlign w:val="bottom"/>
            <w:hideMark/>
          </w:tcPr>
          <w:p w14:paraId="50A7D1D8"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62%</w:t>
            </w:r>
          </w:p>
        </w:tc>
      </w:tr>
      <w:tr w:rsidR="003B009B" w:rsidRPr="00D47073" w14:paraId="0452EAC2"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5722CDA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Belarus</w:t>
            </w:r>
          </w:p>
        </w:tc>
        <w:tc>
          <w:tcPr>
            <w:tcW w:w="551" w:type="dxa"/>
            <w:tcBorders>
              <w:top w:val="nil"/>
              <w:left w:val="nil"/>
              <w:bottom w:val="nil"/>
              <w:right w:val="nil"/>
            </w:tcBorders>
            <w:shd w:val="clear" w:color="auto" w:fill="auto"/>
            <w:noWrap/>
            <w:vAlign w:val="bottom"/>
            <w:hideMark/>
          </w:tcPr>
          <w:p w14:paraId="6D393A1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47757E4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17B785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78C45AB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auto" w:fill="auto"/>
            <w:noWrap/>
            <w:vAlign w:val="bottom"/>
            <w:hideMark/>
          </w:tcPr>
          <w:p w14:paraId="1FD86E9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D17ECC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9E3582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11BA6D9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380A4ED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E80191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34ECED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162A98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38941BF9" w14:textId="7CC56689"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3</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623C295A" w14:textId="5ACAFE8C"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33</w:t>
            </w:r>
          </w:p>
        </w:tc>
        <w:tc>
          <w:tcPr>
            <w:tcW w:w="1800" w:type="dxa"/>
            <w:tcBorders>
              <w:top w:val="nil"/>
              <w:left w:val="nil"/>
              <w:bottom w:val="double" w:sz="6" w:space="0" w:color="3F3F3F"/>
              <w:right w:val="double" w:sz="6" w:space="0" w:color="3F3F3F"/>
            </w:tcBorders>
            <w:shd w:val="clear" w:color="000000" w:fill="A5A5A5"/>
            <w:noWrap/>
            <w:vAlign w:val="bottom"/>
            <w:hideMark/>
          </w:tcPr>
          <w:p w14:paraId="390B5F47"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9%</w:t>
            </w:r>
          </w:p>
        </w:tc>
      </w:tr>
      <w:tr w:rsidR="003B009B" w:rsidRPr="00D47073" w14:paraId="1E580C96"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7C04BE4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Chad</w:t>
            </w:r>
          </w:p>
        </w:tc>
        <w:tc>
          <w:tcPr>
            <w:tcW w:w="551" w:type="dxa"/>
            <w:tcBorders>
              <w:top w:val="nil"/>
              <w:left w:val="nil"/>
              <w:bottom w:val="nil"/>
              <w:right w:val="nil"/>
            </w:tcBorders>
            <w:shd w:val="clear" w:color="auto" w:fill="auto"/>
            <w:noWrap/>
            <w:vAlign w:val="bottom"/>
            <w:hideMark/>
          </w:tcPr>
          <w:p w14:paraId="5D04DDF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1" w:type="dxa"/>
            <w:tcBorders>
              <w:top w:val="nil"/>
              <w:left w:val="nil"/>
              <w:bottom w:val="nil"/>
              <w:right w:val="nil"/>
            </w:tcBorders>
            <w:shd w:val="clear" w:color="auto" w:fill="auto"/>
            <w:noWrap/>
            <w:vAlign w:val="bottom"/>
            <w:hideMark/>
          </w:tcPr>
          <w:p w14:paraId="1EC553A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1326391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3C689C3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143CDB2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DB0D28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389004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39DB591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2EF67A6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0C2F5E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261282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44EAD6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70DB28F" w14:textId="3BFB99A5"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59269210" w14:textId="2501F481"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38</w:t>
            </w:r>
          </w:p>
        </w:tc>
        <w:tc>
          <w:tcPr>
            <w:tcW w:w="1800" w:type="dxa"/>
            <w:tcBorders>
              <w:top w:val="nil"/>
              <w:left w:val="nil"/>
              <w:bottom w:val="double" w:sz="6" w:space="0" w:color="3F3F3F"/>
              <w:right w:val="double" w:sz="6" w:space="0" w:color="3F3F3F"/>
            </w:tcBorders>
            <w:shd w:val="clear" w:color="000000" w:fill="A5A5A5"/>
            <w:noWrap/>
            <w:vAlign w:val="bottom"/>
            <w:hideMark/>
          </w:tcPr>
          <w:p w14:paraId="37BE65E6"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11%</w:t>
            </w:r>
          </w:p>
        </w:tc>
      </w:tr>
      <w:tr w:rsidR="003B009B" w:rsidRPr="00D47073" w14:paraId="62B97B97"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32E79CC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China</w:t>
            </w:r>
          </w:p>
        </w:tc>
        <w:tc>
          <w:tcPr>
            <w:tcW w:w="551" w:type="dxa"/>
            <w:tcBorders>
              <w:top w:val="nil"/>
              <w:left w:val="nil"/>
              <w:bottom w:val="nil"/>
              <w:right w:val="nil"/>
            </w:tcBorders>
            <w:shd w:val="clear" w:color="auto" w:fill="auto"/>
            <w:noWrap/>
            <w:vAlign w:val="bottom"/>
            <w:hideMark/>
          </w:tcPr>
          <w:p w14:paraId="7A76404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258DCB2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BB7505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5291E3C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1DC691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FB9683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6E0927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305F18A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877" w:type="dxa"/>
            <w:tcBorders>
              <w:top w:val="nil"/>
              <w:left w:val="nil"/>
              <w:bottom w:val="nil"/>
              <w:right w:val="nil"/>
            </w:tcBorders>
            <w:shd w:val="clear" w:color="auto" w:fill="auto"/>
            <w:noWrap/>
            <w:vAlign w:val="bottom"/>
            <w:hideMark/>
          </w:tcPr>
          <w:p w14:paraId="4B416E1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28298E1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5D3D26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E07736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08A6D1B" w14:textId="3E421CCB"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5</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4D59B04F" w14:textId="4387EC8B"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6</w:t>
            </w:r>
          </w:p>
        </w:tc>
        <w:tc>
          <w:tcPr>
            <w:tcW w:w="1800" w:type="dxa"/>
            <w:tcBorders>
              <w:top w:val="nil"/>
              <w:left w:val="nil"/>
              <w:bottom w:val="double" w:sz="6" w:space="0" w:color="3F3F3F"/>
              <w:right w:val="double" w:sz="6" w:space="0" w:color="3F3F3F"/>
            </w:tcBorders>
            <w:shd w:val="clear" w:color="000000" w:fill="A5A5A5"/>
            <w:noWrap/>
            <w:vAlign w:val="bottom"/>
            <w:hideMark/>
          </w:tcPr>
          <w:p w14:paraId="04CDB586"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83%</w:t>
            </w:r>
          </w:p>
        </w:tc>
      </w:tr>
      <w:tr w:rsidR="003B009B" w:rsidRPr="00D47073" w14:paraId="2E640E7F"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00C74C9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Costa Rica</w:t>
            </w:r>
          </w:p>
        </w:tc>
        <w:tc>
          <w:tcPr>
            <w:tcW w:w="551" w:type="dxa"/>
            <w:tcBorders>
              <w:top w:val="nil"/>
              <w:left w:val="nil"/>
              <w:bottom w:val="nil"/>
              <w:right w:val="nil"/>
            </w:tcBorders>
            <w:shd w:val="clear" w:color="auto" w:fill="auto"/>
            <w:noWrap/>
            <w:vAlign w:val="bottom"/>
            <w:hideMark/>
          </w:tcPr>
          <w:p w14:paraId="78D2E71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4DF774A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944262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911" w:type="dxa"/>
            <w:tcBorders>
              <w:top w:val="nil"/>
              <w:left w:val="nil"/>
              <w:bottom w:val="nil"/>
              <w:right w:val="nil"/>
            </w:tcBorders>
            <w:shd w:val="clear" w:color="auto" w:fill="auto"/>
            <w:noWrap/>
            <w:vAlign w:val="bottom"/>
            <w:hideMark/>
          </w:tcPr>
          <w:p w14:paraId="36798CE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0202E3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1D9B120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610FB38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3266BD6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877" w:type="dxa"/>
            <w:tcBorders>
              <w:top w:val="nil"/>
              <w:left w:val="nil"/>
              <w:bottom w:val="nil"/>
              <w:right w:val="nil"/>
            </w:tcBorders>
            <w:shd w:val="clear" w:color="auto" w:fill="auto"/>
            <w:noWrap/>
            <w:vAlign w:val="bottom"/>
            <w:hideMark/>
          </w:tcPr>
          <w:p w14:paraId="2A7CC1D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F25B33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3458475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9B523E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375AD65A" w14:textId="09576706"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9</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2DBFDE8C" w14:textId="69889220"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37</w:t>
            </w:r>
          </w:p>
        </w:tc>
        <w:tc>
          <w:tcPr>
            <w:tcW w:w="1800" w:type="dxa"/>
            <w:tcBorders>
              <w:top w:val="nil"/>
              <w:left w:val="nil"/>
              <w:bottom w:val="double" w:sz="6" w:space="0" w:color="3F3F3F"/>
              <w:right w:val="double" w:sz="6" w:space="0" w:color="3F3F3F"/>
            </w:tcBorders>
            <w:shd w:val="clear" w:color="000000" w:fill="A5A5A5"/>
            <w:noWrap/>
            <w:vAlign w:val="bottom"/>
            <w:hideMark/>
          </w:tcPr>
          <w:p w14:paraId="34C96CEA"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24%</w:t>
            </w:r>
          </w:p>
        </w:tc>
      </w:tr>
      <w:tr w:rsidR="003B009B" w:rsidRPr="00D47073" w14:paraId="3B1E0D3E"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4F8CEE8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Croatia</w:t>
            </w:r>
          </w:p>
        </w:tc>
        <w:tc>
          <w:tcPr>
            <w:tcW w:w="551" w:type="dxa"/>
            <w:tcBorders>
              <w:top w:val="nil"/>
              <w:left w:val="nil"/>
              <w:bottom w:val="nil"/>
              <w:right w:val="nil"/>
            </w:tcBorders>
            <w:shd w:val="clear" w:color="auto" w:fill="auto"/>
            <w:noWrap/>
            <w:vAlign w:val="bottom"/>
            <w:hideMark/>
          </w:tcPr>
          <w:p w14:paraId="6CA7D3C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7D74B3F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127EA0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7349374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AD97B0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45091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1F7624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0A815B9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877" w:type="dxa"/>
            <w:tcBorders>
              <w:top w:val="nil"/>
              <w:left w:val="nil"/>
              <w:bottom w:val="nil"/>
              <w:right w:val="nil"/>
            </w:tcBorders>
            <w:shd w:val="clear" w:color="auto" w:fill="auto"/>
            <w:noWrap/>
            <w:vAlign w:val="bottom"/>
            <w:hideMark/>
          </w:tcPr>
          <w:p w14:paraId="1FA2782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36E7928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CEC012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4F4B2E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0D1CD991" w14:textId="79180B65"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3</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2ACB3390" w14:textId="32DE16C9"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9</w:t>
            </w:r>
          </w:p>
        </w:tc>
        <w:tc>
          <w:tcPr>
            <w:tcW w:w="1800" w:type="dxa"/>
            <w:tcBorders>
              <w:top w:val="nil"/>
              <w:left w:val="nil"/>
              <w:bottom w:val="double" w:sz="6" w:space="0" w:color="3F3F3F"/>
              <w:right w:val="double" w:sz="6" w:space="0" w:color="3F3F3F"/>
            </w:tcBorders>
            <w:shd w:val="clear" w:color="000000" w:fill="A5A5A5"/>
            <w:noWrap/>
            <w:vAlign w:val="bottom"/>
            <w:hideMark/>
          </w:tcPr>
          <w:p w14:paraId="5085E138"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33%</w:t>
            </w:r>
          </w:p>
        </w:tc>
      </w:tr>
      <w:tr w:rsidR="003B009B" w:rsidRPr="00D47073" w14:paraId="00AB41FA"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0AEECC95" w14:textId="77777777" w:rsidR="003B009B" w:rsidRPr="00D47073" w:rsidRDefault="003B009B" w:rsidP="00D47073">
            <w:pPr>
              <w:jc w:val="both"/>
              <w:rPr>
                <w:rFonts w:ascii="Verdana" w:eastAsia="Times New Roman" w:hAnsi="Verdana" w:cs="Times New Roman"/>
                <w:color w:val="000000"/>
                <w:sz w:val="22"/>
                <w:szCs w:val="22"/>
              </w:rPr>
            </w:pPr>
            <w:proofErr w:type="spellStart"/>
            <w:r w:rsidRPr="00D47073">
              <w:rPr>
                <w:rFonts w:ascii="Verdana" w:eastAsia="Times New Roman" w:hAnsi="Verdana" w:cs="Times New Roman"/>
                <w:color w:val="000000"/>
                <w:sz w:val="22"/>
                <w:szCs w:val="22"/>
              </w:rPr>
              <w:t>Curucao</w:t>
            </w:r>
            <w:proofErr w:type="spellEnd"/>
          </w:p>
        </w:tc>
        <w:tc>
          <w:tcPr>
            <w:tcW w:w="551" w:type="dxa"/>
            <w:tcBorders>
              <w:top w:val="nil"/>
              <w:left w:val="nil"/>
              <w:bottom w:val="nil"/>
              <w:right w:val="nil"/>
            </w:tcBorders>
            <w:shd w:val="clear" w:color="auto" w:fill="auto"/>
            <w:noWrap/>
            <w:vAlign w:val="bottom"/>
            <w:hideMark/>
          </w:tcPr>
          <w:p w14:paraId="062B276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1" w:type="dxa"/>
            <w:tcBorders>
              <w:top w:val="nil"/>
              <w:left w:val="nil"/>
              <w:bottom w:val="nil"/>
              <w:right w:val="nil"/>
            </w:tcBorders>
            <w:shd w:val="clear" w:color="auto" w:fill="auto"/>
            <w:noWrap/>
            <w:vAlign w:val="bottom"/>
            <w:hideMark/>
          </w:tcPr>
          <w:p w14:paraId="40945C6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6A9090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6DCAFFF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FCAA51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C2B13E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BA67A0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1CA334F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3C34590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F472A5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830478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F353D3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06B105D" w14:textId="2A7A2711"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4DF79316" w14:textId="26D33A29"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w:t>
            </w:r>
          </w:p>
        </w:tc>
        <w:tc>
          <w:tcPr>
            <w:tcW w:w="1800" w:type="dxa"/>
            <w:tcBorders>
              <w:top w:val="nil"/>
              <w:left w:val="nil"/>
              <w:bottom w:val="double" w:sz="6" w:space="0" w:color="3F3F3F"/>
              <w:right w:val="double" w:sz="6" w:space="0" w:color="3F3F3F"/>
            </w:tcBorders>
            <w:shd w:val="clear" w:color="000000" w:fill="A5A5A5"/>
            <w:noWrap/>
            <w:vAlign w:val="bottom"/>
            <w:hideMark/>
          </w:tcPr>
          <w:p w14:paraId="2DD287AA"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100%</w:t>
            </w:r>
          </w:p>
        </w:tc>
      </w:tr>
      <w:tr w:rsidR="003B009B" w:rsidRPr="00D47073" w14:paraId="4E95EB1D"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450ED6A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Dem Rep</w:t>
            </w:r>
          </w:p>
        </w:tc>
        <w:tc>
          <w:tcPr>
            <w:tcW w:w="551" w:type="dxa"/>
            <w:tcBorders>
              <w:top w:val="nil"/>
              <w:left w:val="nil"/>
              <w:bottom w:val="nil"/>
              <w:right w:val="nil"/>
            </w:tcBorders>
            <w:shd w:val="clear" w:color="auto" w:fill="auto"/>
            <w:noWrap/>
            <w:vAlign w:val="bottom"/>
            <w:hideMark/>
          </w:tcPr>
          <w:p w14:paraId="654DC5C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73A8FA9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4A285D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59F657C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5A9388F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68F9A99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4CEB10F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70F6C62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auto" w:fill="auto"/>
            <w:noWrap/>
            <w:vAlign w:val="bottom"/>
            <w:hideMark/>
          </w:tcPr>
          <w:p w14:paraId="461C614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9CD4AC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3BB31B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F6E85B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46236B08" w14:textId="2B3976F1"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6</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65A27CE7" w14:textId="765F6E9D"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16</w:t>
            </w:r>
          </w:p>
        </w:tc>
        <w:tc>
          <w:tcPr>
            <w:tcW w:w="1800" w:type="dxa"/>
            <w:tcBorders>
              <w:top w:val="nil"/>
              <w:left w:val="nil"/>
              <w:bottom w:val="double" w:sz="6" w:space="0" w:color="3F3F3F"/>
              <w:right w:val="double" w:sz="6" w:space="0" w:color="3F3F3F"/>
            </w:tcBorders>
            <w:shd w:val="clear" w:color="000000" w:fill="A5A5A5"/>
            <w:noWrap/>
            <w:vAlign w:val="bottom"/>
            <w:hideMark/>
          </w:tcPr>
          <w:p w14:paraId="259E8D0D"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38%</w:t>
            </w:r>
          </w:p>
        </w:tc>
      </w:tr>
      <w:tr w:rsidR="003B009B" w:rsidRPr="00D47073" w14:paraId="1D51743C"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686984A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Egypt</w:t>
            </w:r>
          </w:p>
        </w:tc>
        <w:tc>
          <w:tcPr>
            <w:tcW w:w="551" w:type="dxa"/>
            <w:tcBorders>
              <w:top w:val="nil"/>
              <w:left w:val="nil"/>
              <w:bottom w:val="nil"/>
              <w:right w:val="nil"/>
            </w:tcBorders>
            <w:shd w:val="clear" w:color="auto" w:fill="auto"/>
            <w:noWrap/>
            <w:vAlign w:val="bottom"/>
            <w:hideMark/>
          </w:tcPr>
          <w:p w14:paraId="3312378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1" w:type="dxa"/>
            <w:tcBorders>
              <w:top w:val="nil"/>
              <w:left w:val="nil"/>
              <w:bottom w:val="nil"/>
              <w:right w:val="nil"/>
            </w:tcBorders>
            <w:shd w:val="clear" w:color="auto" w:fill="auto"/>
            <w:noWrap/>
            <w:vAlign w:val="bottom"/>
            <w:hideMark/>
          </w:tcPr>
          <w:p w14:paraId="5CE93FD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B42D00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4D32995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9319CD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F5B803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24534F3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2B13E87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877" w:type="dxa"/>
            <w:tcBorders>
              <w:top w:val="nil"/>
              <w:left w:val="nil"/>
              <w:bottom w:val="nil"/>
              <w:right w:val="nil"/>
            </w:tcBorders>
            <w:shd w:val="clear" w:color="auto" w:fill="auto"/>
            <w:noWrap/>
            <w:vAlign w:val="bottom"/>
            <w:hideMark/>
          </w:tcPr>
          <w:p w14:paraId="35C93EF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04819CF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B6F86A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08D5CC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0FD46757" w14:textId="5694C521"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6</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1D8DA36B" w14:textId="57CDDE42"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18</w:t>
            </w:r>
          </w:p>
        </w:tc>
        <w:tc>
          <w:tcPr>
            <w:tcW w:w="1800" w:type="dxa"/>
            <w:tcBorders>
              <w:top w:val="nil"/>
              <w:left w:val="nil"/>
              <w:bottom w:val="double" w:sz="6" w:space="0" w:color="3F3F3F"/>
              <w:right w:val="double" w:sz="6" w:space="0" w:color="3F3F3F"/>
            </w:tcBorders>
            <w:shd w:val="clear" w:color="000000" w:fill="A5A5A5"/>
            <w:noWrap/>
            <w:vAlign w:val="bottom"/>
            <w:hideMark/>
          </w:tcPr>
          <w:p w14:paraId="5DC302DB"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33%</w:t>
            </w:r>
          </w:p>
        </w:tc>
      </w:tr>
      <w:tr w:rsidR="003B009B" w:rsidRPr="00D47073" w14:paraId="262266E2"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58E4F21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El Salvador</w:t>
            </w:r>
          </w:p>
        </w:tc>
        <w:tc>
          <w:tcPr>
            <w:tcW w:w="551" w:type="dxa"/>
            <w:tcBorders>
              <w:top w:val="nil"/>
              <w:left w:val="nil"/>
              <w:bottom w:val="nil"/>
              <w:right w:val="nil"/>
            </w:tcBorders>
            <w:shd w:val="clear" w:color="auto" w:fill="auto"/>
            <w:noWrap/>
            <w:vAlign w:val="bottom"/>
            <w:hideMark/>
          </w:tcPr>
          <w:p w14:paraId="62295E4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1" w:type="dxa"/>
            <w:tcBorders>
              <w:top w:val="nil"/>
              <w:left w:val="nil"/>
              <w:bottom w:val="nil"/>
              <w:right w:val="nil"/>
            </w:tcBorders>
            <w:shd w:val="clear" w:color="auto" w:fill="auto"/>
            <w:noWrap/>
            <w:vAlign w:val="bottom"/>
            <w:hideMark/>
          </w:tcPr>
          <w:p w14:paraId="6813EEB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FBAB40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911" w:type="dxa"/>
            <w:tcBorders>
              <w:top w:val="nil"/>
              <w:left w:val="nil"/>
              <w:bottom w:val="nil"/>
              <w:right w:val="nil"/>
            </w:tcBorders>
            <w:shd w:val="clear" w:color="auto" w:fill="auto"/>
            <w:noWrap/>
            <w:vAlign w:val="bottom"/>
            <w:hideMark/>
          </w:tcPr>
          <w:p w14:paraId="18997BE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3336DC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707B78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7E19558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2CF38DB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auto" w:fill="auto"/>
            <w:noWrap/>
            <w:vAlign w:val="bottom"/>
            <w:hideMark/>
          </w:tcPr>
          <w:p w14:paraId="168F6AD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7025BA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083BDB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911BBF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E24A9D5" w14:textId="245B6B11"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5</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285DA727" w14:textId="628D3484"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5</w:t>
            </w:r>
          </w:p>
        </w:tc>
        <w:tc>
          <w:tcPr>
            <w:tcW w:w="1800" w:type="dxa"/>
            <w:tcBorders>
              <w:top w:val="nil"/>
              <w:left w:val="nil"/>
              <w:bottom w:val="double" w:sz="6" w:space="0" w:color="3F3F3F"/>
              <w:right w:val="double" w:sz="6" w:space="0" w:color="3F3F3F"/>
            </w:tcBorders>
            <w:shd w:val="clear" w:color="000000" w:fill="A5A5A5"/>
            <w:noWrap/>
            <w:vAlign w:val="bottom"/>
            <w:hideMark/>
          </w:tcPr>
          <w:p w14:paraId="2BE25D4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100%</w:t>
            </w:r>
          </w:p>
        </w:tc>
      </w:tr>
      <w:tr w:rsidR="003B009B" w:rsidRPr="00D47073" w14:paraId="0ADB8CDE"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10D1B50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Hong Kong</w:t>
            </w:r>
          </w:p>
        </w:tc>
        <w:tc>
          <w:tcPr>
            <w:tcW w:w="551" w:type="dxa"/>
            <w:tcBorders>
              <w:top w:val="nil"/>
              <w:left w:val="nil"/>
              <w:bottom w:val="nil"/>
              <w:right w:val="nil"/>
            </w:tcBorders>
            <w:shd w:val="clear" w:color="auto" w:fill="auto"/>
            <w:noWrap/>
            <w:vAlign w:val="bottom"/>
            <w:hideMark/>
          </w:tcPr>
          <w:p w14:paraId="5819DD7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1" w:type="dxa"/>
            <w:tcBorders>
              <w:top w:val="nil"/>
              <w:left w:val="nil"/>
              <w:bottom w:val="nil"/>
              <w:right w:val="nil"/>
            </w:tcBorders>
            <w:shd w:val="clear" w:color="auto" w:fill="auto"/>
            <w:noWrap/>
            <w:vAlign w:val="bottom"/>
            <w:hideMark/>
          </w:tcPr>
          <w:p w14:paraId="735168C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52E937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36DCBE3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4D79E00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7935DA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B7CC0F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0C03696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auto" w:fill="auto"/>
            <w:noWrap/>
            <w:vAlign w:val="bottom"/>
            <w:hideMark/>
          </w:tcPr>
          <w:p w14:paraId="79F015B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0A7E2A9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535526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9A707F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330A6DAC" w14:textId="62272A1D"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5FEFF034" w14:textId="3F943036"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23</w:t>
            </w:r>
          </w:p>
        </w:tc>
        <w:tc>
          <w:tcPr>
            <w:tcW w:w="1800" w:type="dxa"/>
            <w:tcBorders>
              <w:top w:val="nil"/>
              <w:left w:val="nil"/>
              <w:bottom w:val="double" w:sz="6" w:space="0" w:color="3F3F3F"/>
              <w:right w:val="double" w:sz="6" w:space="0" w:color="3F3F3F"/>
            </w:tcBorders>
            <w:shd w:val="clear" w:color="000000" w:fill="A5A5A5"/>
            <w:noWrap/>
            <w:vAlign w:val="bottom"/>
            <w:hideMark/>
          </w:tcPr>
          <w:p w14:paraId="12DEDD46"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17%</w:t>
            </w:r>
          </w:p>
        </w:tc>
      </w:tr>
      <w:tr w:rsidR="003B009B" w:rsidRPr="00D47073" w14:paraId="6BD65265"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23B7CA3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lastRenderedPageBreak/>
              <w:t>India</w:t>
            </w:r>
          </w:p>
        </w:tc>
        <w:tc>
          <w:tcPr>
            <w:tcW w:w="551" w:type="dxa"/>
            <w:tcBorders>
              <w:top w:val="nil"/>
              <w:left w:val="nil"/>
              <w:bottom w:val="nil"/>
              <w:right w:val="nil"/>
            </w:tcBorders>
            <w:shd w:val="clear" w:color="auto" w:fill="auto"/>
            <w:noWrap/>
            <w:vAlign w:val="bottom"/>
            <w:hideMark/>
          </w:tcPr>
          <w:p w14:paraId="5CD6325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2057206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984057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68D2501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675856F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30DAAF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E654A2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0EDBAF3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auto" w:fill="auto"/>
            <w:noWrap/>
            <w:vAlign w:val="bottom"/>
            <w:hideMark/>
          </w:tcPr>
          <w:p w14:paraId="1CDE79A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DECA70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AD057F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45CC515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490EDEEA" w14:textId="13878A8E"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5B42A732" w14:textId="321E2219"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30</w:t>
            </w:r>
          </w:p>
        </w:tc>
        <w:tc>
          <w:tcPr>
            <w:tcW w:w="1800" w:type="dxa"/>
            <w:tcBorders>
              <w:top w:val="nil"/>
              <w:left w:val="nil"/>
              <w:bottom w:val="double" w:sz="6" w:space="0" w:color="3F3F3F"/>
              <w:right w:val="double" w:sz="6" w:space="0" w:color="3F3F3F"/>
            </w:tcBorders>
            <w:shd w:val="clear" w:color="000000" w:fill="A5A5A5"/>
            <w:noWrap/>
            <w:vAlign w:val="bottom"/>
            <w:hideMark/>
          </w:tcPr>
          <w:p w14:paraId="2715010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13%</w:t>
            </w:r>
          </w:p>
        </w:tc>
      </w:tr>
      <w:tr w:rsidR="003B009B" w:rsidRPr="00D47073" w14:paraId="50BD901C"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1823E48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Ireland</w:t>
            </w:r>
          </w:p>
        </w:tc>
        <w:tc>
          <w:tcPr>
            <w:tcW w:w="551" w:type="dxa"/>
            <w:tcBorders>
              <w:top w:val="nil"/>
              <w:left w:val="nil"/>
              <w:bottom w:val="nil"/>
              <w:right w:val="nil"/>
            </w:tcBorders>
            <w:shd w:val="clear" w:color="auto" w:fill="auto"/>
            <w:noWrap/>
            <w:vAlign w:val="bottom"/>
            <w:hideMark/>
          </w:tcPr>
          <w:p w14:paraId="3401ED6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48FE29C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996174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6E06EF8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B2002D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61A6C4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EB93F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13D285E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0E67B94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3C3A86E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C56C7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83CDD6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28D135E" w14:textId="51DB3244"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160B2EFA" w14:textId="5A8A9BEF"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17</w:t>
            </w:r>
          </w:p>
        </w:tc>
        <w:tc>
          <w:tcPr>
            <w:tcW w:w="1800" w:type="dxa"/>
            <w:tcBorders>
              <w:top w:val="nil"/>
              <w:left w:val="nil"/>
              <w:bottom w:val="double" w:sz="6" w:space="0" w:color="3F3F3F"/>
              <w:right w:val="double" w:sz="6" w:space="0" w:color="3F3F3F"/>
            </w:tcBorders>
            <w:shd w:val="clear" w:color="000000" w:fill="A5A5A5"/>
            <w:noWrap/>
            <w:vAlign w:val="bottom"/>
            <w:hideMark/>
          </w:tcPr>
          <w:p w14:paraId="4615E34B"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6%</w:t>
            </w:r>
          </w:p>
        </w:tc>
      </w:tr>
      <w:tr w:rsidR="003B009B" w:rsidRPr="00D47073" w14:paraId="4BA05D17" w14:textId="77777777" w:rsidTr="003B009B">
        <w:trPr>
          <w:trHeight w:val="340"/>
        </w:trPr>
        <w:tc>
          <w:tcPr>
            <w:tcW w:w="2175" w:type="dxa"/>
            <w:gridSpan w:val="2"/>
            <w:tcBorders>
              <w:top w:val="nil"/>
              <w:left w:val="nil"/>
              <w:bottom w:val="nil"/>
              <w:right w:val="nil"/>
            </w:tcBorders>
            <w:shd w:val="clear" w:color="000000" w:fill="D9D9D9"/>
            <w:noWrap/>
            <w:vAlign w:val="bottom"/>
            <w:hideMark/>
          </w:tcPr>
          <w:p w14:paraId="134E502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Israel</w:t>
            </w:r>
          </w:p>
        </w:tc>
        <w:tc>
          <w:tcPr>
            <w:tcW w:w="551" w:type="dxa"/>
            <w:tcBorders>
              <w:top w:val="nil"/>
              <w:left w:val="nil"/>
              <w:bottom w:val="nil"/>
              <w:right w:val="nil"/>
            </w:tcBorders>
            <w:shd w:val="clear" w:color="000000" w:fill="D9D9D9"/>
            <w:noWrap/>
            <w:vAlign w:val="bottom"/>
            <w:hideMark/>
          </w:tcPr>
          <w:p w14:paraId="3E66853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1" w:type="dxa"/>
            <w:tcBorders>
              <w:top w:val="nil"/>
              <w:left w:val="nil"/>
              <w:bottom w:val="nil"/>
              <w:right w:val="nil"/>
            </w:tcBorders>
            <w:shd w:val="clear" w:color="000000" w:fill="D9D9D9"/>
            <w:noWrap/>
            <w:vAlign w:val="bottom"/>
            <w:hideMark/>
          </w:tcPr>
          <w:p w14:paraId="7E10A78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5FF6DF9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911" w:type="dxa"/>
            <w:tcBorders>
              <w:top w:val="nil"/>
              <w:left w:val="nil"/>
              <w:bottom w:val="nil"/>
              <w:right w:val="nil"/>
            </w:tcBorders>
            <w:shd w:val="clear" w:color="000000" w:fill="D9D9D9"/>
            <w:noWrap/>
            <w:vAlign w:val="bottom"/>
            <w:hideMark/>
          </w:tcPr>
          <w:p w14:paraId="1CEDB5F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666BCC4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000000" w:fill="D9D9D9"/>
            <w:noWrap/>
            <w:vAlign w:val="bottom"/>
            <w:hideMark/>
          </w:tcPr>
          <w:p w14:paraId="5089AFE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4D2E8D3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000000" w:fill="D9D9D9"/>
            <w:noWrap/>
            <w:vAlign w:val="bottom"/>
            <w:hideMark/>
          </w:tcPr>
          <w:p w14:paraId="0DEC04F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877" w:type="dxa"/>
            <w:tcBorders>
              <w:top w:val="nil"/>
              <w:left w:val="nil"/>
              <w:bottom w:val="nil"/>
              <w:right w:val="nil"/>
            </w:tcBorders>
            <w:shd w:val="clear" w:color="000000" w:fill="D9D9D9"/>
            <w:noWrap/>
            <w:vAlign w:val="bottom"/>
            <w:hideMark/>
          </w:tcPr>
          <w:p w14:paraId="32885CD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D9D9D9"/>
            <w:noWrap/>
            <w:vAlign w:val="bottom"/>
            <w:hideMark/>
          </w:tcPr>
          <w:p w14:paraId="345E726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2657D28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123366B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304F5D9" w14:textId="61243BE2"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13</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50A3F071" w14:textId="492CB412"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40</w:t>
            </w:r>
          </w:p>
        </w:tc>
        <w:tc>
          <w:tcPr>
            <w:tcW w:w="1800" w:type="dxa"/>
            <w:tcBorders>
              <w:top w:val="nil"/>
              <w:left w:val="nil"/>
              <w:bottom w:val="double" w:sz="6" w:space="0" w:color="3F3F3F"/>
              <w:right w:val="double" w:sz="6" w:space="0" w:color="3F3F3F"/>
            </w:tcBorders>
            <w:shd w:val="clear" w:color="000000" w:fill="A5A5A5"/>
            <w:noWrap/>
            <w:vAlign w:val="bottom"/>
            <w:hideMark/>
          </w:tcPr>
          <w:p w14:paraId="3C4C0674"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33%</w:t>
            </w:r>
          </w:p>
        </w:tc>
      </w:tr>
      <w:tr w:rsidR="003B009B" w:rsidRPr="00D47073" w14:paraId="41FF7AE6" w14:textId="77777777" w:rsidTr="003B009B">
        <w:trPr>
          <w:trHeight w:val="340"/>
        </w:trPr>
        <w:tc>
          <w:tcPr>
            <w:tcW w:w="2175" w:type="dxa"/>
            <w:gridSpan w:val="2"/>
            <w:tcBorders>
              <w:top w:val="nil"/>
              <w:left w:val="nil"/>
              <w:right w:val="nil"/>
            </w:tcBorders>
            <w:shd w:val="clear" w:color="auto" w:fill="auto"/>
            <w:noWrap/>
            <w:vAlign w:val="bottom"/>
            <w:hideMark/>
          </w:tcPr>
          <w:p w14:paraId="62202A1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Kosovo</w:t>
            </w:r>
          </w:p>
        </w:tc>
        <w:tc>
          <w:tcPr>
            <w:tcW w:w="551" w:type="dxa"/>
            <w:tcBorders>
              <w:top w:val="nil"/>
              <w:left w:val="nil"/>
              <w:right w:val="nil"/>
            </w:tcBorders>
            <w:shd w:val="clear" w:color="auto" w:fill="auto"/>
            <w:noWrap/>
            <w:vAlign w:val="bottom"/>
            <w:hideMark/>
          </w:tcPr>
          <w:p w14:paraId="06FBECC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right w:val="nil"/>
            </w:tcBorders>
            <w:shd w:val="clear" w:color="auto" w:fill="auto"/>
            <w:noWrap/>
            <w:vAlign w:val="bottom"/>
            <w:hideMark/>
          </w:tcPr>
          <w:p w14:paraId="09B682A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39BE1E2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right w:val="nil"/>
            </w:tcBorders>
            <w:shd w:val="clear" w:color="auto" w:fill="auto"/>
            <w:noWrap/>
            <w:vAlign w:val="bottom"/>
            <w:hideMark/>
          </w:tcPr>
          <w:p w14:paraId="4D97727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460F373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50C5253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3631CE0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right w:val="nil"/>
            </w:tcBorders>
            <w:shd w:val="clear" w:color="auto" w:fill="auto"/>
            <w:noWrap/>
            <w:vAlign w:val="bottom"/>
            <w:hideMark/>
          </w:tcPr>
          <w:p w14:paraId="2FBABA7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right w:val="nil"/>
            </w:tcBorders>
            <w:shd w:val="clear" w:color="auto" w:fill="auto"/>
            <w:noWrap/>
            <w:vAlign w:val="bottom"/>
            <w:hideMark/>
          </w:tcPr>
          <w:p w14:paraId="299036B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1C90730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6C9AD91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right w:val="nil"/>
            </w:tcBorders>
            <w:shd w:val="clear" w:color="auto" w:fill="auto"/>
            <w:noWrap/>
            <w:vAlign w:val="bottom"/>
            <w:hideMark/>
          </w:tcPr>
          <w:p w14:paraId="0B8754F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9A0180D" w14:textId="461A3D7E"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0</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0CD31953" w14:textId="00586179"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33</w:t>
            </w:r>
          </w:p>
        </w:tc>
        <w:tc>
          <w:tcPr>
            <w:tcW w:w="1800" w:type="dxa"/>
            <w:tcBorders>
              <w:top w:val="nil"/>
              <w:left w:val="nil"/>
              <w:bottom w:val="double" w:sz="6" w:space="0" w:color="3F3F3F"/>
              <w:right w:val="double" w:sz="6" w:space="0" w:color="3F3F3F"/>
            </w:tcBorders>
            <w:shd w:val="clear" w:color="000000" w:fill="A5A5A5"/>
            <w:noWrap/>
            <w:vAlign w:val="bottom"/>
            <w:hideMark/>
          </w:tcPr>
          <w:p w14:paraId="197F4179"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0%</w:t>
            </w:r>
          </w:p>
        </w:tc>
      </w:tr>
      <w:tr w:rsidR="003B009B" w:rsidRPr="00D47073" w14:paraId="41A25774" w14:textId="77777777" w:rsidTr="003B009B">
        <w:trPr>
          <w:trHeight w:val="340"/>
        </w:trPr>
        <w:tc>
          <w:tcPr>
            <w:tcW w:w="2175" w:type="dxa"/>
            <w:gridSpan w:val="2"/>
            <w:tcBorders>
              <w:top w:val="nil"/>
              <w:left w:val="nil"/>
              <w:bottom w:val="nil"/>
              <w:right w:val="nil"/>
            </w:tcBorders>
            <w:shd w:val="clear" w:color="000000" w:fill="auto"/>
            <w:noWrap/>
            <w:vAlign w:val="bottom"/>
            <w:hideMark/>
          </w:tcPr>
          <w:p w14:paraId="011AAF6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Latvia</w:t>
            </w:r>
          </w:p>
        </w:tc>
        <w:tc>
          <w:tcPr>
            <w:tcW w:w="551" w:type="dxa"/>
            <w:tcBorders>
              <w:top w:val="nil"/>
              <w:left w:val="nil"/>
              <w:bottom w:val="nil"/>
              <w:right w:val="nil"/>
            </w:tcBorders>
            <w:shd w:val="clear" w:color="000000" w:fill="auto"/>
            <w:noWrap/>
            <w:vAlign w:val="bottom"/>
            <w:hideMark/>
          </w:tcPr>
          <w:p w14:paraId="77C716A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1" w:type="dxa"/>
            <w:tcBorders>
              <w:top w:val="nil"/>
              <w:left w:val="nil"/>
              <w:bottom w:val="nil"/>
              <w:right w:val="nil"/>
            </w:tcBorders>
            <w:shd w:val="clear" w:color="000000" w:fill="auto"/>
            <w:noWrap/>
            <w:vAlign w:val="bottom"/>
            <w:hideMark/>
          </w:tcPr>
          <w:p w14:paraId="2BBD96A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auto"/>
            <w:noWrap/>
            <w:vAlign w:val="bottom"/>
            <w:hideMark/>
          </w:tcPr>
          <w:p w14:paraId="234A80A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000000" w:fill="auto"/>
            <w:noWrap/>
            <w:vAlign w:val="bottom"/>
            <w:hideMark/>
          </w:tcPr>
          <w:p w14:paraId="7C357E2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auto"/>
            <w:noWrap/>
            <w:vAlign w:val="bottom"/>
            <w:hideMark/>
          </w:tcPr>
          <w:p w14:paraId="2B35539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auto"/>
            <w:noWrap/>
            <w:vAlign w:val="bottom"/>
            <w:hideMark/>
          </w:tcPr>
          <w:p w14:paraId="37D4B55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auto"/>
            <w:noWrap/>
            <w:vAlign w:val="bottom"/>
            <w:hideMark/>
          </w:tcPr>
          <w:p w14:paraId="763D197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000000" w:fill="auto"/>
            <w:noWrap/>
            <w:vAlign w:val="bottom"/>
            <w:hideMark/>
          </w:tcPr>
          <w:p w14:paraId="21064AF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000000" w:fill="auto"/>
            <w:noWrap/>
            <w:vAlign w:val="bottom"/>
            <w:hideMark/>
          </w:tcPr>
          <w:p w14:paraId="0977894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000000" w:fill="auto"/>
            <w:noWrap/>
            <w:vAlign w:val="bottom"/>
            <w:hideMark/>
          </w:tcPr>
          <w:p w14:paraId="49DA399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auto"/>
            <w:noWrap/>
            <w:vAlign w:val="bottom"/>
            <w:hideMark/>
          </w:tcPr>
          <w:p w14:paraId="53DF422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auto"/>
            <w:noWrap/>
            <w:vAlign w:val="bottom"/>
            <w:hideMark/>
          </w:tcPr>
          <w:p w14:paraId="36FA6B4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C910D37" w14:textId="77B5F64B"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7</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6F8E174E" w14:textId="6DC7944C"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9</w:t>
            </w:r>
          </w:p>
        </w:tc>
        <w:tc>
          <w:tcPr>
            <w:tcW w:w="1800" w:type="dxa"/>
            <w:tcBorders>
              <w:top w:val="nil"/>
              <w:left w:val="nil"/>
              <w:bottom w:val="double" w:sz="6" w:space="0" w:color="3F3F3F"/>
              <w:right w:val="double" w:sz="6" w:space="0" w:color="3F3F3F"/>
            </w:tcBorders>
            <w:shd w:val="clear" w:color="000000" w:fill="A5A5A5"/>
            <w:noWrap/>
            <w:vAlign w:val="bottom"/>
            <w:hideMark/>
          </w:tcPr>
          <w:p w14:paraId="3920FD4D"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78%</w:t>
            </w:r>
          </w:p>
        </w:tc>
      </w:tr>
      <w:tr w:rsidR="003B009B" w:rsidRPr="00D47073" w14:paraId="0886DA1F"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0C01C6E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Lithuania</w:t>
            </w:r>
          </w:p>
        </w:tc>
        <w:tc>
          <w:tcPr>
            <w:tcW w:w="551" w:type="dxa"/>
            <w:tcBorders>
              <w:top w:val="nil"/>
              <w:left w:val="nil"/>
              <w:bottom w:val="nil"/>
              <w:right w:val="nil"/>
            </w:tcBorders>
            <w:shd w:val="clear" w:color="auto" w:fill="auto"/>
            <w:noWrap/>
            <w:vAlign w:val="bottom"/>
            <w:hideMark/>
          </w:tcPr>
          <w:p w14:paraId="3B3728A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1" w:type="dxa"/>
            <w:tcBorders>
              <w:top w:val="nil"/>
              <w:left w:val="nil"/>
              <w:bottom w:val="nil"/>
              <w:right w:val="nil"/>
            </w:tcBorders>
            <w:shd w:val="clear" w:color="auto" w:fill="auto"/>
            <w:noWrap/>
            <w:vAlign w:val="bottom"/>
            <w:hideMark/>
          </w:tcPr>
          <w:p w14:paraId="4E1FB87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1F42AE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7F1EEE4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auto" w:fill="auto"/>
            <w:noWrap/>
            <w:vAlign w:val="bottom"/>
            <w:hideMark/>
          </w:tcPr>
          <w:p w14:paraId="60A81E7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CA695A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DC6EA6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231B2BA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6465EB3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4FDCFD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81B0E5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10147D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46BC8800" w14:textId="1AB68E30"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13B84083" w14:textId="03B4B626"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28</w:t>
            </w:r>
          </w:p>
        </w:tc>
        <w:tc>
          <w:tcPr>
            <w:tcW w:w="1800" w:type="dxa"/>
            <w:tcBorders>
              <w:top w:val="nil"/>
              <w:left w:val="nil"/>
              <w:bottom w:val="double" w:sz="6" w:space="0" w:color="3F3F3F"/>
              <w:right w:val="double" w:sz="6" w:space="0" w:color="3F3F3F"/>
            </w:tcBorders>
            <w:shd w:val="clear" w:color="000000" w:fill="A5A5A5"/>
            <w:noWrap/>
            <w:vAlign w:val="bottom"/>
            <w:hideMark/>
          </w:tcPr>
          <w:p w14:paraId="1E8FAA59"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14%</w:t>
            </w:r>
          </w:p>
        </w:tc>
      </w:tr>
      <w:tr w:rsidR="003B009B" w:rsidRPr="00D47073" w14:paraId="071F3B41"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386A9D2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Mexico</w:t>
            </w:r>
          </w:p>
        </w:tc>
        <w:tc>
          <w:tcPr>
            <w:tcW w:w="551" w:type="dxa"/>
            <w:tcBorders>
              <w:top w:val="nil"/>
              <w:left w:val="nil"/>
              <w:bottom w:val="nil"/>
              <w:right w:val="nil"/>
            </w:tcBorders>
            <w:shd w:val="clear" w:color="auto" w:fill="auto"/>
            <w:noWrap/>
            <w:vAlign w:val="bottom"/>
            <w:hideMark/>
          </w:tcPr>
          <w:p w14:paraId="6D1C668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1" w:type="dxa"/>
            <w:tcBorders>
              <w:top w:val="nil"/>
              <w:left w:val="nil"/>
              <w:bottom w:val="nil"/>
              <w:right w:val="nil"/>
            </w:tcBorders>
            <w:shd w:val="clear" w:color="auto" w:fill="auto"/>
            <w:noWrap/>
            <w:vAlign w:val="bottom"/>
            <w:hideMark/>
          </w:tcPr>
          <w:p w14:paraId="7595C55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DC1AB4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911" w:type="dxa"/>
            <w:tcBorders>
              <w:top w:val="nil"/>
              <w:left w:val="nil"/>
              <w:bottom w:val="nil"/>
              <w:right w:val="nil"/>
            </w:tcBorders>
            <w:shd w:val="clear" w:color="auto" w:fill="auto"/>
            <w:noWrap/>
            <w:vAlign w:val="bottom"/>
            <w:hideMark/>
          </w:tcPr>
          <w:p w14:paraId="59D372B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FE4C6B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26A884C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29FB349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251C69D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4E14CAF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EBB8DF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C414E7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06AEA2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0ACFD785" w14:textId="6879937D"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9</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7E36EEDC" w14:textId="49BA4AAE"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24</w:t>
            </w:r>
          </w:p>
        </w:tc>
        <w:tc>
          <w:tcPr>
            <w:tcW w:w="1800" w:type="dxa"/>
            <w:tcBorders>
              <w:top w:val="nil"/>
              <w:left w:val="nil"/>
              <w:bottom w:val="double" w:sz="6" w:space="0" w:color="3F3F3F"/>
              <w:right w:val="double" w:sz="6" w:space="0" w:color="3F3F3F"/>
            </w:tcBorders>
            <w:shd w:val="clear" w:color="000000" w:fill="A5A5A5"/>
            <w:noWrap/>
            <w:vAlign w:val="bottom"/>
            <w:hideMark/>
          </w:tcPr>
          <w:p w14:paraId="1C7672C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38%</w:t>
            </w:r>
          </w:p>
        </w:tc>
      </w:tr>
      <w:tr w:rsidR="003B009B" w:rsidRPr="00D47073" w14:paraId="2061B8A4" w14:textId="77777777" w:rsidTr="003B009B">
        <w:trPr>
          <w:trHeight w:val="340"/>
        </w:trPr>
        <w:tc>
          <w:tcPr>
            <w:tcW w:w="2175" w:type="dxa"/>
            <w:gridSpan w:val="2"/>
            <w:tcBorders>
              <w:top w:val="nil"/>
              <w:left w:val="nil"/>
              <w:bottom w:val="nil"/>
              <w:right w:val="nil"/>
            </w:tcBorders>
            <w:shd w:val="clear" w:color="000000" w:fill="D9D9D9"/>
            <w:noWrap/>
            <w:vAlign w:val="bottom"/>
            <w:hideMark/>
          </w:tcPr>
          <w:p w14:paraId="5430EE1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Moldova</w:t>
            </w:r>
          </w:p>
        </w:tc>
        <w:tc>
          <w:tcPr>
            <w:tcW w:w="551" w:type="dxa"/>
            <w:tcBorders>
              <w:top w:val="nil"/>
              <w:left w:val="nil"/>
              <w:bottom w:val="nil"/>
              <w:right w:val="nil"/>
            </w:tcBorders>
            <w:shd w:val="clear" w:color="000000" w:fill="D9D9D9"/>
            <w:noWrap/>
            <w:vAlign w:val="bottom"/>
            <w:hideMark/>
          </w:tcPr>
          <w:p w14:paraId="742B2BD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c>
          <w:tcPr>
            <w:tcW w:w="551" w:type="dxa"/>
            <w:tcBorders>
              <w:top w:val="nil"/>
              <w:left w:val="nil"/>
              <w:bottom w:val="nil"/>
              <w:right w:val="nil"/>
            </w:tcBorders>
            <w:shd w:val="clear" w:color="000000" w:fill="D9D9D9"/>
            <w:noWrap/>
            <w:vAlign w:val="bottom"/>
            <w:hideMark/>
          </w:tcPr>
          <w:p w14:paraId="373DD37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D9D9D9"/>
            <w:noWrap/>
            <w:vAlign w:val="bottom"/>
            <w:hideMark/>
          </w:tcPr>
          <w:p w14:paraId="59E729F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911" w:type="dxa"/>
            <w:tcBorders>
              <w:top w:val="nil"/>
              <w:left w:val="nil"/>
              <w:bottom w:val="nil"/>
              <w:right w:val="nil"/>
            </w:tcBorders>
            <w:shd w:val="clear" w:color="000000" w:fill="D9D9D9"/>
            <w:noWrap/>
            <w:vAlign w:val="bottom"/>
            <w:hideMark/>
          </w:tcPr>
          <w:p w14:paraId="1441D47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000000" w:fill="D9D9D9"/>
            <w:noWrap/>
            <w:vAlign w:val="bottom"/>
            <w:hideMark/>
          </w:tcPr>
          <w:p w14:paraId="3C812DC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42C6F76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660CF8E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000000" w:fill="D9D9D9"/>
            <w:noWrap/>
            <w:vAlign w:val="bottom"/>
            <w:hideMark/>
          </w:tcPr>
          <w:p w14:paraId="1AB5F71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000000" w:fill="D9D9D9"/>
            <w:noWrap/>
            <w:vAlign w:val="bottom"/>
            <w:hideMark/>
          </w:tcPr>
          <w:p w14:paraId="51D4C4C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000000" w:fill="D9D9D9"/>
            <w:noWrap/>
            <w:vAlign w:val="bottom"/>
            <w:hideMark/>
          </w:tcPr>
          <w:p w14:paraId="6A8F0D6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0D02A20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390DDBE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27A274BA" w14:textId="1B1C0A43"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12</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14ECC731" w14:textId="628BC8C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47</w:t>
            </w:r>
          </w:p>
        </w:tc>
        <w:tc>
          <w:tcPr>
            <w:tcW w:w="1800" w:type="dxa"/>
            <w:tcBorders>
              <w:top w:val="nil"/>
              <w:left w:val="nil"/>
              <w:bottom w:val="double" w:sz="6" w:space="0" w:color="3F3F3F"/>
              <w:right w:val="double" w:sz="6" w:space="0" w:color="3F3F3F"/>
            </w:tcBorders>
            <w:shd w:val="clear" w:color="000000" w:fill="A5A5A5"/>
            <w:noWrap/>
            <w:vAlign w:val="bottom"/>
            <w:hideMark/>
          </w:tcPr>
          <w:p w14:paraId="5AA25347"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26%</w:t>
            </w:r>
          </w:p>
        </w:tc>
      </w:tr>
      <w:tr w:rsidR="003B009B" w:rsidRPr="00D47073" w14:paraId="07FC70E1" w14:textId="77777777" w:rsidTr="003B009B">
        <w:trPr>
          <w:trHeight w:val="340"/>
        </w:trPr>
        <w:tc>
          <w:tcPr>
            <w:tcW w:w="2175" w:type="dxa"/>
            <w:gridSpan w:val="2"/>
            <w:tcBorders>
              <w:top w:val="nil"/>
              <w:left w:val="nil"/>
              <w:bottom w:val="nil"/>
              <w:right w:val="nil"/>
            </w:tcBorders>
            <w:shd w:val="clear" w:color="000000" w:fill="D9D9D9"/>
            <w:noWrap/>
            <w:vAlign w:val="bottom"/>
            <w:hideMark/>
          </w:tcPr>
          <w:p w14:paraId="5FF529F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Mongolia</w:t>
            </w:r>
          </w:p>
        </w:tc>
        <w:tc>
          <w:tcPr>
            <w:tcW w:w="551" w:type="dxa"/>
            <w:tcBorders>
              <w:top w:val="nil"/>
              <w:left w:val="nil"/>
              <w:bottom w:val="nil"/>
              <w:right w:val="nil"/>
            </w:tcBorders>
            <w:shd w:val="clear" w:color="000000" w:fill="D9D9D9"/>
            <w:noWrap/>
            <w:vAlign w:val="bottom"/>
            <w:hideMark/>
          </w:tcPr>
          <w:p w14:paraId="5B58DAE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w:t>
            </w:r>
          </w:p>
        </w:tc>
        <w:tc>
          <w:tcPr>
            <w:tcW w:w="551" w:type="dxa"/>
            <w:tcBorders>
              <w:top w:val="nil"/>
              <w:left w:val="nil"/>
              <w:bottom w:val="nil"/>
              <w:right w:val="nil"/>
            </w:tcBorders>
            <w:shd w:val="clear" w:color="000000" w:fill="D9D9D9"/>
            <w:noWrap/>
            <w:vAlign w:val="bottom"/>
            <w:hideMark/>
          </w:tcPr>
          <w:p w14:paraId="7AD1A8E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5849847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000000" w:fill="D9D9D9"/>
            <w:noWrap/>
            <w:vAlign w:val="bottom"/>
            <w:hideMark/>
          </w:tcPr>
          <w:p w14:paraId="176C1F2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000000" w:fill="D9D9D9"/>
            <w:noWrap/>
            <w:vAlign w:val="bottom"/>
            <w:hideMark/>
          </w:tcPr>
          <w:p w14:paraId="29F3E50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000000" w:fill="D9D9D9"/>
            <w:noWrap/>
            <w:vAlign w:val="bottom"/>
            <w:hideMark/>
          </w:tcPr>
          <w:p w14:paraId="0CA6DAF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000000" w:fill="D9D9D9"/>
            <w:noWrap/>
            <w:vAlign w:val="bottom"/>
            <w:hideMark/>
          </w:tcPr>
          <w:p w14:paraId="782A4AB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000000" w:fill="D9D9D9"/>
            <w:noWrap/>
            <w:vAlign w:val="bottom"/>
            <w:hideMark/>
          </w:tcPr>
          <w:p w14:paraId="0981D97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877" w:type="dxa"/>
            <w:tcBorders>
              <w:top w:val="nil"/>
              <w:left w:val="nil"/>
              <w:bottom w:val="nil"/>
              <w:right w:val="nil"/>
            </w:tcBorders>
            <w:shd w:val="clear" w:color="000000" w:fill="D9D9D9"/>
            <w:noWrap/>
            <w:vAlign w:val="bottom"/>
            <w:hideMark/>
          </w:tcPr>
          <w:p w14:paraId="557FF1C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000000" w:fill="D9D9D9"/>
            <w:noWrap/>
            <w:vAlign w:val="bottom"/>
            <w:hideMark/>
          </w:tcPr>
          <w:p w14:paraId="286C74A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63C41E6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000000" w:fill="D9D9D9"/>
            <w:noWrap/>
            <w:vAlign w:val="bottom"/>
            <w:hideMark/>
          </w:tcPr>
          <w:p w14:paraId="75D0542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D69A403" w14:textId="1DC27CBE"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16</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30D1485F" w14:textId="1E64D5C5"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39</w:t>
            </w:r>
          </w:p>
        </w:tc>
        <w:tc>
          <w:tcPr>
            <w:tcW w:w="1800" w:type="dxa"/>
            <w:tcBorders>
              <w:top w:val="nil"/>
              <w:left w:val="nil"/>
              <w:bottom w:val="double" w:sz="6" w:space="0" w:color="3F3F3F"/>
              <w:right w:val="double" w:sz="6" w:space="0" w:color="3F3F3F"/>
            </w:tcBorders>
            <w:shd w:val="clear" w:color="000000" w:fill="A5A5A5"/>
            <w:noWrap/>
            <w:vAlign w:val="bottom"/>
            <w:hideMark/>
          </w:tcPr>
          <w:p w14:paraId="67D2405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41%</w:t>
            </w:r>
          </w:p>
        </w:tc>
      </w:tr>
      <w:tr w:rsidR="003B009B" w:rsidRPr="00D47073" w14:paraId="668BBEBF"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7A831E9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New Zealand</w:t>
            </w:r>
          </w:p>
        </w:tc>
        <w:tc>
          <w:tcPr>
            <w:tcW w:w="551" w:type="dxa"/>
            <w:tcBorders>
              <w:top w:val="nil"/>
              <w:left w:val="nil"/>
              <w:bottom w:val="nil"/>
              <w:right w:val="nil"/>
            </w:tcBorders>
            <w:shd w:val="clear" w:color="auto" w:fill="auto"/>
            <w:noWrap/>
            <w:vAlign w:val="bottom"/>
            <w:hideMark/>
          </w:tcPr>
          <w:p w14:paraId="133938D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1546233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EC1B4A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283CED1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4609DE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996FEF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0BF0A5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7BFD6F1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449AE4D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054A347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0ACBBF0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56D3F4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442A1F8" w14:textId="493834AD"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2</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36DF11FA" w14:textId="78C5B8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38</w:t>
            </w:r>
          </w:p>
        </w:tc>
        <w:tc>
          <w:tcPr>
            <w:tcW w:w="1800" w:type="dxa"/>
            <w:tcBorders>
              <w:top w:val="nil"/>
              <w:left w:val="nil"/>
              <w:bottom w:val="double" w:sz="6" w:space="0" w:color="3F3F3F"/>
              <w:right w:val="double" w:sz="6" w:space="0" w:color="3F3F3F"/>
            </w:tcBorders>
            <w:shd w:val="clear" w:color="000000" w:fill="A5A5A5"/>
            <w:noWrap/>
            <w:vAlign w:val="bottom"/>
            <w:hideMark/>
          </w:tcPr>
          <w:p w14:paraId="26C173F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5%</w:t>
            </w:r>
          </w:p>
        </w:tc>
      </w:tr>
      <w:tr w:rsidR="003B009B" w:rsidRPr="00D47073" w14:paraId="4516C5C8"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1A219FA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Norway</w:t>
            </w:r>
          </w:p>
        </w:tc>
        <w:tc>
          <w:tcPr>
            <w:tcW w:w="551" w:type="dxa"/>
            <w:tcBorders>
              <w:top w:val="nil"/>
              <w:left w:val="nil"/>
              <w:bottom w:val="nil"/>
              <w:right w:val="nil"/>
            </w:tcBorders>
            <w:shd w:val="clear" w:color="auto" w:fill="auto"/>
            <w:noWrap/>
            <w:vAlign w:val="bottom"/>
            <w:hideMark/>
          </w:tcPr>
          <w:p w14:paraId="16F74DB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1" w:type="dxa"/>
            <w:tcBorders>
              <w:top w:val="nil"/>
              <w:left w:val="nil"/>
              <w:bottom w:val="nil"/>
              <w:right w:val="nil"/>
            </w:tcBorders>
            <w:shd w:val="clear" w:color="auto" w:fill="auto"/>
            <w:noWrap/>
            <w:vAlign w:val="bottom"/>
            <w:hideMark/>
          </w:tcPr>
          <w:p w14:paraId="286E5E1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D1BAF8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1A29C9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030803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FB297C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175FED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16BF667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47C99DB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1CB47D2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332FF5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6679835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60FB227F" w14:textId="0C49BEC5"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5</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3735EC78" w14:textId="1B4C80EF"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23</w:t>
            </w:r>
          </w:p>
        </w:tc>
        <w:tc>
          <w:tcPr>
            <w:tcW w:w="1800" w:type="dxa"/>
            <w:tcBorders>
              <w:top w:val="nil"/>
              <w:left w:val="nil"/>
              <w:bottom w:val="double" w:sz="6" w:space="0" w:color="3F3F3F"/>
              <w:right w:val="double" w:sz="6" w:space="0" w:color="3F3F3F"/>
            </w:tcBorders>
            <w:shd w:val="clear" w:color="000000" w:fill="A5A5A5"/>
            <w:noWrap/>
            <w:vAlign w:val="bottom"/>
            <w:hideMark/>
          </w:tcPr>
          <w:p w14:paraId="2ABD8EA9"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22%</w:t>
            </w:r>
          </w:p>
        </w:tc>
      </w:tr>
      <w:tr w:rsidR="003B009B" w:rsidRPr="00D47073" w14:paraId="637C9D5F"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15AE621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Peru</w:t>
            </w:r>
          </w:p>
        </w:tc>
        <w:tc>
          <w:tcPr>
            <w:tcW w:w="551" w:type="dxa"/>
            <w:tcBorders>
              <w:top w:val="nil"/>
              <w:left w:val="nil"/>
              <w:bottom w:val="nil"/>
              <w:right w:val="nil"/>
            </w:tcBorders>
            <w:shd w:val="clear" w:color="auto" w:fill="auto"/>
            <w:noWrap/>
            <w:vAlign w:val="bottom"/>
            <w:hideMark/>
          </w:tcPr>
          <w:p w14:paraId="5DF5334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1" w:type="dxa"/>
            <w:tcBorders>
              <w:top w:val="nil"/>
              <w:left w:val="nil"/>
              <w:bottom w:val="nil"/>
              <w:right w:val="nil"/>
            </w:tcBorders>
            <w:shd w:val="clear" w:color="auto" w:fill="auto"/>
            <w:noWrap/>
            <w:vAlign w:val="bottom"/>
            <w:hideMark/>
          </w:tcPr>
          <w:p w14:paraId="22BC92A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753713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172BA66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09A5E5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D22ACB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7648B24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5DEC7C9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5474F0F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54C34F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798419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7192C9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C637845" w14:textId="042850F4"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6597B8DE" w14:textId="1D673B8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25</w:t>
            </w:r>
          </w:p>
        </w:tc>
        <w:tc>
          <w:tcPr>
            <w:tcW w:w="1800" w:type="dxa"/>
            <w:tcBorders>
              <w:top w:val="nil"/>
              <w:left w:val="nil"/>
              <w:bottom w:val="double" w:sz="6" w:space="0" w:color="3F3F3F"/>
              <w:right w:val="double" w:sz="6" w:space="0" w:color="3F3F3F"/>
            </w:tcBorders>
            <w:shd w:val="clear" w:color="000000" w:fill="A5A5A5"/>
            <w:noWrap/>
            <w:vAlign w:val="bottom"/>
            <w:hideMark/>
          </w:tcPr>
          <w:p w14:paraId="089BFE6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16%</w:t>
            </w:r>
          </w:p>
        </w:tc>
      </w:tr>
      <w:tr w:rsidR="003B009B" w:rsidRPr="00D47073" w14:paraId="3E08A87A"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3EAE366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Poland</w:t>
            </w:r>
          </w:p>
        </w:tc>
        <w:tc>
          <w:tcPr>
            <w:tcW w:w="551" w:type="dxa"/>
            <w:tcBorders>
              <w:top w:val="nil"/>
              <w:left w:val="nil"/>
              <w:bottom w:val="nil"/>
              <w:right w:val="nil"/>
            </w:tcBorders>
            <w:shd w:val="clear" w:color="auto" w:fill="auto"/>
            <w:noWrap/>
            <w:vAlign w:val="bottom"/>
            <w:hideMark/>
          </w:tcPr>
          <w:p w14:paraId="3C6AE98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6C8E02D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1F10A6D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5CDC3AD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7C9928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5B06679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FC1921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1028" w:type="dxa"/>
            <w:tcBorders>
              <w:top w:val="nil"/>
              <w:left w:val="nil"/>
              <w:bottom w:val="nil"/>
              <w:right w:val="nil"/>
            </w:tcBorders>
            <w:shd w:val="clear" w:color="auto" w:fill="auto"/>
            <w:noWrap/>
            <w:vAlign w:val="bottom"/>
            <w:hideMark/>
          </w:tcPr>
          <w:p w14:paraId="600EE5C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877" w:type="dxa"/>
            <w:tcBorders>
              <w:top w:val="nil"/>
              <w:left w:val="nil"/>
              <w:bottom w:val="nil"/>
              <w:right w:val="nil"/>
            </w:tcBorders>
            <w:shd w:val="clear" w:color="auto" w:fill="auto"/>
            <w:noWrap/>
            <w:vAlign w:val="bottom"/>
            <w:hideMark/>
          </w:tcPr>
          <w:p w14:paraId="3691160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707AAA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C2A3F1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BC2B28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2350D645" w14:textId="19B65BC3"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028D1B05" w14:textId="2F09BAD2"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18</w:t>
            </w:r>
          </w:p>
        </w:tc>
        <w:tc>
          <w:tcPr>
            <w:tcW w:w="1800" w:type="dxa"/>
            <w:tcBorders>
              <w:top w:val="nil"/>
              <w:left w:val="nil"/>
              <w:bottom w:val="double" w:sz="6" w:space="0" w:color="3F3F3F"/>
              <w:right w:val="double" w:sz="6" w:space="0" w:color="3F3F3F"/>
            </w:tcBorders>
            <w:shd w:val="clear" w:color="000000" w:fill="A5A5A5"/>
            <w:noWrap/>
            <w:vAlign w:val="bottom"/>
            <w:hideMark/>
          </w:tcPr>
          <w:p w14:paraId="7A523002"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22%</w:t>
            </w:r>
          </w:p>
        </w:tc>
      </w:tr>
      <w:tr w:rsidR="003B009B" w:rsidRPr="00D47073" w14:paraId="3095DDAC"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6D34228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Russia</w:t>
            </w:r>
          </w:p>
        </w:tc>
        <w:tc>
          <w:tcPr>
            <w:tcW w:w="551" w:type="dxa"/>
            <w:tcBorders>
              <w:top w:val="nil"/>
              <w:left w:val="nil"/>
              <w:bottom w:val="nil"/>
              <w:right w:val="nil"/>
            </w:tcBorders>
            <w:shd w:val="clear" w:color="auto" w:fill="auto"/>
            <w:noWrap/>
            <w:vAlign w:val="bottom"/>
            <w:hideMark/>
          </w:tcPr>
          <w:p w14:paraId="041D05C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6872BB37"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48521B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911" w:type="dxa"/>
            <w:tcBorders>
              <w:top w:val="nil"/>
              <w:left w:val="nil"/>
              <w:bottom w:val="nil"/>
              <w:right w:val="nil"/>
            </w:tcBorders>
            <w:shd w:val="clear" w:color="auto" w:fill="auto"/>
            <w:noWrap/>
            <w:vAlign w:val="bottom"/>
            <w:hideMark/>
          </w:tcPr>
          <w:p w14:paraId="526B698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550" w:type="dxa"/>
            <w:tcBorders>
              <w:top w:val="nil"/>
              <w:left w:val="nil"/>
              <w:bottom w:val="nil"/>
              <w:right w:val="nil"/>
            </w:tcBorders>
            <w:shd w:val="clear" w:color="auto" w:fill="auto"/>
            <w:noWrap/>
            <w:vAlign w:val="bottom"/>
            <w:hideMark/>
          </w:tcPr>
          <w:p w14:paraId="7DBC708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134E67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0" w:type="dxa"/>
            <w:tcBorders>
              <w:top w:val="nil"/>
              <w:left w:val="nil"/>
              <w:bottom w:val="nil"/>
              <w:right w:val="nil"/>
            </w:tcBorders>
            <w:shd w:val="clear" w:color="auto" w:fill="auto"/>
            <w:noWrap/>
            <w:vAlign w:val="bottom"/>
            <w:hideMark/>
          </w:tcPr>
          <w:p w14:paraId="257B63B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09AC30B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3</w:t>
            </w:r>
          </w:p>
        </w:tc>
        <w:tc>
          <w:tcPr>
            <w:tcW w:w="877" w:type="dxa"/>
            <w:tcBorders>
              <w:top w:val="nil"/>
              <w:left w:val="nil"/>
              <w:bottom w:val="nil"/>
              <w:right w:val="nil"/>
            </w:tcBorders>
            <w:shd w:val="clear" w:color="auto" w:fill="auto"/>
            <w:noWrap/>
            <w:vAlign w:val="bottom"/>
            <w:hideMark/>
          </w:tcPr>
          <w:p w14:paraId="2DD5341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73C5A3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15E574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B475AC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71808202" w14:textId="03EB0762"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9</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7593BB99" w14:textId="6F38CF95"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27</w:t>
            </w:r>
          </w:p>
        </w:tc>
        <w:tc>
          <w:tcPr>
            <w:tcW w:w="1800" w:type="dxa"/>
            <w:tcBorders>
              <w:top w:val="nil"/>
              <w:left w:val="nil"/>
              <w:bottom w:val="double" w:sz="6" w:space="0" w:color="3F3F3F"/>
              <w:right w:val="double" w:sz="6" w:space="0" w:color="3F3F3F"/>
            </w:tcBorders>
            <w:shd w:val="clear" w:color="000000" w:fill="A5A5A5"/>
            <w:noWrap/>
            <w:vAlign w:val="bottom"/>
            <w:hideMark/>
          </w:tcPr>
          <w:p w14:paraId="3F90C9AE"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33%</w:t>
            </w:r>
          </w:p>
        </w:tc>
      </w:tr>
      <w:tr w:rsidR="003B009B" w:rsidRPr="00D47073" w14:paraId="58CC5F09"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0065D19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Sierra Leone</w:t>
            </w:r>
          </w:p>
        </w:tc>
        <w:tc>
          <w:tcPr>
            <w:tcW w:w="551" w:type="dxa"/>
            <w:tcBorders>
              <w:top w:val="nil"/>
              <w:left w:val="nil"/>
              <w:bottom w:val="nil"/>
              <w:right w:val="nil"/>
            </w:tcBorders>
            <w:shd w:val="clear" w:color="auto" w:fill="auto"/>
            <w:noWrap/>
            <w:vAlign w:val="bottom"/>
            <w:hideMark/>
          </w:tcPr>
          <w:p w14:paraId="5D25AFD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09D6E6B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45D605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5D4567A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AA67C8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003775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005547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778529D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4AA2550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0A4AB3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848FCE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31AEBE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638C3173" w14:textId="6A86EF46"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0</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541730F7" w14:textId="6A0882BB"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0</w:t>
            </w:r>
          </w:p>
        </w:tc>
        <w:tc>
          <w:tcPr>
            <w:tcW w:w="1800" w:type="dxa"/>
            <w:tcBorders>
              <w:top w:val="nil"/>
              <w:left w:val="nil"/>
              <w:bottom w:val="double" w:sz="6" w:space="0" w:color="3F3F3F"/>
              <w:right w:val="double" w:sz="6" w:space="0" w:color="3F3F3F"/>
            </w:tcBorders>
            <w:shd w:val="clear" w:color="000000" w:fill="A5A5A5"/>
            <w:noWrap/>
            <w:vAlign w:val="bottom"/>
            <w:hideMark/>
          </w:tcPr>
          <w:p w14:paraId="18BE54EA"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NA</w:t>
            </w:r>
          </w:p>
        </w:tc>
      </w:tr>
      <w:tr w:rsidR="003B009B" w:rsidRPr="00D47073" w14:paraId="2D3E69F9"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3366C7C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Slovakia</w:t>
            </w:r>
          </w:p>
        </w:tc>
        <w:tc>
          <w:tcPr>
            <w:tcW w:w="551" w:type="dxa"/>
            <w:tcBorders>
              <w:top w:val="nil"/>
              <w:left w:val="nil"/>
              <w:bottom w:val="nil"/>
              <w:right w:val="nil"/>
            </w:tcBorders>
            <w:shd w:val="clear" w:color="auto" w:fill="auto"/>
            <w:noWrap/>
            <w:vAlign w:val="bottom"/>
            <w:hideMark/>
          </w:tcPr>
          <w:p w14:paraId="090B835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551" w:type="dxa"/>
            <w:tcBorders>
              <w:top w:val="nil"/>
              <w:left w:val="nil"/>
              <w:bottom w:val="nil"/>
              <w:right w:val="nil"/>
            </w:tcBorders>
            <w:shd w:val="clear" w:color="auto" w:fill="auto"/>
            <w:noWrap/>
            <w:vAlign w:val="bottom"/>
            <w:hideMark/>
          </w:tcPr>
          <w:p w14:paraId="19B9D30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8E29A0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783ACAA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27CCAD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087EB59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008EB4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7137AF1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00451D4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7680898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C27DE8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08FA50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2580ACC9" w14:textId="559644DE"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16285FBE" w14:textId="1451E9BD"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26</w:t>
            </w:r>
          </w:p>
        </w:tc>
        <w:tc>
          <w:tcPr>
            <w:tcW w:w="1800" w:type="dxa"/>
            <w:tcBorders>
              <w:top w:val="nil"/>
              <w:left w:val="nil"/>
              <w:bottom w:val="double" w:sz="6" w:space="0" w:color="3F3F3F"/>
              <w:right w:val="double" w:sz="6" w:space="0" w:color="3F3F3F"/>
            </w:tcBorders>
            <w:shd w:val="clear" w:color="000000" w:fill="A5A5A5"/>
            <w:noWrap/>
            <w:vAlign w:val="bottom"/>
            <w:hideMark/>
          </w:tcPr>
          <w:p w14:paraId="25EDC229"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15%</w:t>
            </w:r>
          </w:p>
        </w:tc>
      </w:tr>
      <w:tr w:rsidR="003B009B" w:rsidRPr="00D47073" w14:paraId="71775B68"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4E744F7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Thailand</w:t>
            </w:r>
          </w:p>
        </w:tc>
        <w:tc>
          <w:tcPr>
            <w:tcW w:w="551" w:type="dxa"/>
            <w:tcBorders>
              <w:top w:val="nil"/>
              <w:left w:val="nil"/>
              <w:bottom w:val="nil"/>
              <w:right w:val="nil"/>
            </w:tcBorders>
            <w:shd w:val="clear" w:color="auto" w:fill="auto"/>
            <w:noWrap/>
            <w:vAlign w:val="bottom"/>
            <w:hideMark/>
          </w:tcPr>
          <w:p w14:paraId="5F18A805"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4FF2BF5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EA2C87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35F24E7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BB9B42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E4206F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6127C7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5E3E8ED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20F9C5BD"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923A70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57CB4FF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DC7BF2D" w14:textId="77777777" w:rsidR="003B009B" w:rsidRPr="00D47073" w:rsidRDefault="003B009B" w:rsidP="00D47073">
            <w:pPr>
              <w:jc w:val="both"/>
              <w:rPr>
                <w:rFonts w:ascii="Verdana" w:eastAsia="Times New Roman" w:hAnsi="Verdana" w:cs="Times New Roman"/>
                <w:color w:val="000000"/>
                <w:sz w:val="22"/>
                <w:szCs w:val="22"/>
              </w:rPr>
            </w:pP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1E5DDBF4" w14:textId="00DCDCD5"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0</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43442180" w14:textId="54716C8A"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14</w:t>
            </w:r>
          </w:p>
        </w:tc>
        <w:tc>
          <w:tcPr>
            <w:tcW w:w="1800" w:type="dxa"/>
            <w:tcBorders>
              <w:top w:val="nil"/>
              <w:left w:val="nil"/>
              <w:bottom w:val="double" w:sz="6" w:space="0" w:color="3F3F3F"/>
              <w:right w:val="double" w:sz="6" w:space="0" w:color="3F3F3F"/>
            </w:tcBorders>
            <w:shd w:val="clear" w:color="000000" w:fill="A5A5A5"/>
            <w:noWrap/>
            <w:vAlign w:val="bottom"/>
            <w:hideMark/>
          </w:tcPr>
          <w:p w14:paraId="27C5FC93"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0%</w:t>
            </w:r>
          </w:p>
        </w:tc>
      </w:tr>
      <w:tr w:rsidR="003B009B" w:rsidRPr="00D47073" w14:paraId="0E959321"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0AFA93FA"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Turkey</w:t>
            </w:r>
          </w:p>
        </w:tc>
        <w:tc>
          <w:tcPr>
            <w:tcW w:w="551" w:type="dxa"/>
            <w:tcBorders>
              <w:top w:val="nil"/>
              <w:left w:val="nil"/>
              <w:bottom w:val="nil"/>
              <w:right w:val="nil"/>
            </w:tcBorders>
            <w:shd w:val="clear" w:color="auto" w:fill="auto"/>
            <w:noWrap/>
            <w:vAlign w:val="bottom"/>
            <w:hideMark/>
          </w:tcPr>
          <w:p w14:paraId="4A0BA69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3C023D8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3D00367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911" w:type="dxa"/>
            <w:tcBorders>
              <w:top w:val="nil"/>
              <w:left w:val="nil"/>
              <w:bottom w:val="nil"/>
              <w:right w:val="nil"/>
            </w:tcBorders>
            <w:shd w:val="clear" w:color="auto" w:fill="auto"/>
            <w:noWrap/>
            <w:vAlign w:val="bottom"/>
            <w:hideMark/>
          </w:tcPr>
          <w:p w14:paraId="4C376BA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052A6E8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7DF81CB"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4832488"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161D62C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006433C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1F243DCE"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4C63C4C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A7FFBD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52ED9D64" w14:textId="3410853C"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0</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35C548B8" w14:textId="11CBCFBF"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20</w:t>
            </w:r>
          </w:p>
        </w:tc>
        <w:tc>
          <w:tcPr>
            <w:tcW w:w="1800" w:type="dxa"/>
            <w:tcBorders>
              <w:top w:val="nil"/>
              <w:left w:val="nil"/>
              <w:bottom w:val="double" w:sz="6" w:space="0" w:color="3F3F3F"/>
              <w:right w:val="double" w:sz="6" w:space="0" w:color="3F3F3F"/>
            </w:tcBorders>
            <w:shd w:val="clear" w:color="000000" w:fill="A5A5A5"/>
            <w:noWrap/>
            <w:vAlign w:val="bottom"/>
            <w:hideMark/>
          </w:tcPr>
          <w:p w14:paraId="6C83926F"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0%</w:t>
            </w:r>
          </w:p>
        </w:tc>
      </w:tr>
      <w:tr w:rsidR="003B009B" w:rsidRPr="00D47073" w14:paraId="38C00C25" w14:textId="77777777" w:rsidTr="003B009B">
        <w:trPr>
          <w:trHeight w:val="340"/>
        </w:trPr>
        <w:tc>
          <w:tcPr>
            <w:tcW w:w="2175" w:type="dxa"/>
            <w:gridSpan w:val="2"/>
            <w:tcBorders>
              <w:top w:val="nil"/>
              <w:left w:val="nil"/>
              <w:bottom w:val="nil"/>
              <w:right w:val="nil"/>
            </w:tcBorders>
            <w:shd w:val="clear" w:color="auto" w:fill="auto"/>
            <w:noWrap/>
            <w:vAlign w:val="bottom"/>
            <w:hideMark/>
          </w:tcPr>
          <w:p w14:paraId="1B3A148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UAE</w:t>
            </w:r>
          </w:p>
        </w:tc>
        <w:tc>
          <w:tcPr>
            <w:tcW w:w="551" w:type="dxa"/>
            <w:tcBorders>
              <w:top w:val="nil"/>
              <w:left w:val="nil"/>
              <w:bottom w:val="nil"/>
              <w:right w:val="nil"/>
            </w:tcBorders>
            <w:shd w:val="clear" w:color="auto" w:fill="auto"/>
            <w:noWrap/>
            <w:vAlign w:val="bottom"/>
            <w:hideMark/>
          </w:tcPr>
          <w:p w14:paraId="1E3374F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1" w:type="dxa"/>
            <w:tcBorders>
              <w:top w:val="nil"/>
              <w:left w:val="nil"/>
              <w:bottom w:val="nil"/>
              <w:right w:val="nil"/>
            </w:tcBorders>
            <w:shd w:val="clear" w:color="auto" w:fill="auto"/>
            <w:noWrap/>
            <w:vAlign w:val="bottom"/>
            <w:hideMark/>
          </w:tcPr>
          <w:p w14:paraId="3719DD80"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65347D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2</w:t>
            </w:r>
          </w:p>
        </w:tc>
        <w:tc>
          <w:tcPr>
            <w:tcW w:w="911" w:type="dxa"/>
            <w:tcBorders>
              <w:top w:val="nil"/>
              <w:left w:val="nil"/>
              <w:bottom w:val="nil"/>
              <w:right w:val="nil"/>
            </w:tcBorders>
            <w:shd w:val="clear" w:color="auto" w:fill="auto"/>
            <w:noWrap/>
            <w:vAlign w:val="bottom"/>
            <w:hideMark/>
          </w:tcPr>
          <w:p w14:paraId="73F738B3"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6E471D2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w:t>
            </w:r>
          </w:p>
        </w:tc>
        <w:tc>
          <w:tcPr>
            <w:tcW w:w="550" w:type="dxa"/>
            <w:tcBorders>
              <w:top w:val="nil"/>
              <w:left w:val="nil"/>
              <w:bottom w:val="nil"/>
              <w:right w:val="nil"/>
            </w:tcBorders>
            <w:shd w:val="clear" w:color="auto" w:fill="auto"/>
            <w:noWrap/>
            <w:vAlign w:val="bottom"/>
            <w:hideMark/>
          </w:tcPr>
          <w:p w14:paraId="3935E07F"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62F229B2"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28" w:type="dxa"/>
            <w:tcBorders>
              <w:top w:val="nil"/>
              <w:left w:val="nil"/>
              <w:bottom w:val="nil"/>
              <w:right w:val="nil"/>
            </w:tcBorders>
            <w:shd w:val="clear" w:color="auto" w:fill="auto"/>
            <w:noWrap/>
            <w:vAlign w:val="bottom"/>
            <w:hideMark/>
          </w:tcPr>
          <w:p w14:paraId="7F368F64"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877" w:type="dxa"/>
            <w:tcBorders>
              <w:top w:val="nil"/>
              <w:left w:val="nil"/>
              <w:bottom w:val="nil"/>
              <w:right w:val="nil"/>
            </w:tcBorders>
            <w:shd w:val="clear" w:color="auto" w:fill="auto"/>
            <w:noWrap/>
            <w:vAlign w:val="bottom"/>
            <w:hideMark/>
          </w:tcPr>
          <w:p w14:paraId="6B27E796"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4EC53DC"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295A0E31"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550" w:type="dxa"/>
            <w:tcBorders>
              <w:top w:val="nil"/>
              <w:left w:val="nil"/>
              <w:bottom w:val="nil"/>
              <w:right w:val="nil"/>
            </w:tcBorders>
            <w:shd w:val="clear" w:color="auto" w:fill="auto"/>
            <w:noWrap/>
            <w:vAlign w:val="bottom"/>
            <w:hideMark/>
          </w:tcPr>
          <w:p w14:paraId="7EDF3D99" w14:textId="77777777" w:rsidR="003B009B" w:rsidRPr="00D47073" w:rsidRDefault="003B009B"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0</w:t>
            </w:r>
          </w:p>
        </w:tc>
        <w:tc>
          <w:tcPr>
            <w:tcW w:w="1042" w:type="dxa"/>
            <w:tcBorders>
              <w:top w:val="double" w:sz="6" w:space="0" w:color="3F3F3F"/>
              <w:left w:val="double" w:sz="6" w:space="0" w:color="3F3F3F"/>
              <w:bottom w:val="double" w:sz="6" w:space="0" w:color="3F3F3F"/>
              <w:right w:val="double" w:sz="6" w:space="0" w:color="3F3F3F"/>
            </w:tcBorders>
            <w:shd w:val="clear" w:color="auto" w:fill="B3B3B3"/>
            <w:vAlign w:val="bottom"/>
          </w:tcPr>
          <w:p w14:paraId="4167B210" w14:textId="78D42EEE" w:rsidR="003B009B" w:rsidRPr="00D47073" w:rsidRDefault="003B009B" w:rsidP="00D47073">
            <w:pPr>
              <w:jc w:val="both"/>
              <w:rPr>
                <w:rFonts w:ascii="Verdana" w:eastAsia="Times New Roman" w:hAnsi="Verdana" w:cs="Times New Roman"/>
                <w:b/>
                <w:bCs/>
                <w:color w:val="FFFFFF" w:themeColor="background1"/>
                <w:sz w:val="22"/>
                <w:szCs w:val="22"/>
              </w:rPr>
            </w:pPr>
            <w:r w:rsidRPr="00D47073">
              <w:rPr>
                <w:rFonts w:ascii="Verdana" w:eastAsia="Times New Roman" w:hAnsi="Verdana" w:cs="Times New Roman"/>
                <w:color w:val="FFFFFF" w:themeColor="background1"/>
                <w:sz w:val="22"/>
                <w:szCs w:val="22"/>
              </w:rPr>
              <w:t>4</w:t>
            </w:r>
          </w:p>
        </w:tc>
        <w:tc>
          <w:tcPr>
            <w:tcW w:w="1042" w:type="dxa"/>
            <w:tcBorders>
              <w:top w:val="nil"/>
              <w:left w:val="double" w:sz="6" w:space="0" w:color="3F3F3F"/>
              <w:bottom w:val="double" w:sz="6" w:space="0" w:color="3F3F3F"/>
              <w:right w:val="double" w:sz="6" w:space="0" w:color="3F3F3F"/>
            </w:tcBorders>
            <w:shd w:val="clear" w:color="000000" w:fill="A5A5A5"/>
            <w:noWrap/>
            <w:vAlign w:val="bottom"/>
            <w:hideMark/>
          </w:tcPr>
          <w:p w14:paraId="3988734B" w14:textId="00BBD85A"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4</w:t>
            </w:r>
          </w:p>
        </w:tc>
        <w:tc>
          <w:tcPr>
            <w:tcW w:w="1800" w:type="dxa"/>
            <w:tcBorders>
              <w:top w:val="nil"/>
              <w:left w:val="nil"/>
              <w:bottom w:val="double" w:sz="6" w:space="0" w:color="3F3F3F"/>
              <w:right w:val="double" w:sz="6" w:space="0" w:color="3F3F3F"/>
            </w:tcBorders>
            <w:shd w:val="clear" w:color="000000" w:fill="A5A5A5"/>
            <w:noWrap/>
            <w:vAlign w:val="bottom"/>
            <w:hideMark/>
          </w:tcPr>
          <w:p w14:paraId="42BBC6A2" w14:textId="77777777" w:rsidR="003B009B" w:rsidRPr="00D47073" w:rsidRDefault="003B009B" w:rsidP="00D47073">
            <w:pPr>
              <w:jc w:val="both"/>
              <w:rPr>
                <w:rFonts w:ascii="Verdana" w:eastAsia="Times New Roman" w:hAnsi="Verdana" w:cs="Times New Roman"/>
                <w:b/>
                <w:bCs/>
                <w:color w:val="FFFFFF"/>
                <w:sz w:val="22"/>
                <w:szCs w:val="22"/>
              </w:rPr>
            </w:pPr>
            <w:r w:rsidRPr="00D47073">
              <w:rPr>
                <w:rFonts w:ascii="Verdana" w:eastAsia="Times New Roman" w:hAnsi="Verdana" w:cs="Times New Roman"/>
                <w:b/>
                <w:bCs/>
                <w:color w:val="FFFFFF"/>
                <w:sz w:val="22"/>
                <w:szCs w:val="22"/>
              </w:rPr>
              <w:t>100%</w:t>
            </w:r>
          </w:p>
        </w:tc>
      </w:tr>
    </w:tbl>
    <w:p w14:paraId="3A9EB25F" w14:textId="77777777" w:rsidR="00DD4A90" w:rsidRPr="00D47073" w:rsidRDefault="00DD4A90" w:rsidP="00D47073">
      <w:pPr>
        <w:jc w:val="both"/>
        <w:rPr>
          <w:rFonts w:ascii="Verdana" w:hAnsi="Verdana"/>
          <w:sz w:val="22"/>
          <w:szCs w:val="22"/>
        </w:rPr>
        <w:sectPr w:rsidR="00DD4A90" w:rsidRPr="00D47073" w:rsidSect="0086561C">
          <w:pgSz w:w="15840" w:h="12240" w:orient="landscape"/>
          <w:pgMar w:top="1800" w:right="1440" w:bottom="1800" w:left="1440" w:header="720" w:footer="720" w:gutter="0"/>
          <w:cols w:space="720"/>
          <w:docGrid w:linePitch="360"/>
        </w:sectPr>
      </w:pPr>
    </w:p>
    <w:tbl>
      <w:tblPr>
        <w:tblpPr w:leftFromText="180" w:rightFromText="180" w:horzAnchor="page" w:tblpX="1909" w:tblpY="-540"/>
        <w:tblW w:w="7780" w:type="dxa"/>
        <w:tblLook w:val="04A0" w:firstRow="1" w:lastRow="0" w:firstColumn="1" w:lastColumn="0" w:noHBand="0" w:noVBand="1"/>
      </w:tblPr>
      <w:tblGrid>
        <w:gridCol w:w="1359"/>
        <w:gridCol w:w="5000"/>
        <w:gridCol w:w="1480"/>
      </w:tblGrid>
      <w:tr w:rsidR="00037AF4" w:rsidRPr="00D47073" w14:paraId="75282629" w14:textId="77777777" w:rsidTr="00037AF4">
        <w:trPr>
          <w:trHeight w:val="300"/>
        </w:trPr>
        <w:tc>
          <w:tcPr>
            <w:tcW w:w="7780" w:type="dxa"/>
            <w:gridSpan w:val="3"/>
            <w:tcBorders>
              <w:top w:val="nil"/>
              <w:left w:val="nil"/>
              <w:bottom w:val="nil"/>
              <w:right w:val="nil"/>
            </w:tcBorders>
            <w:shd w:val="clear" w:color="auto" w:fill="auto"/>
            <w:noWrap/>
            <w:vAlign w:val="bottom"/>
            <w:hideMark/>
          </w:tcPr>
          <w:p w14:paraId="752DB290" w14:textId="77777777" w:rsidR="00037AF4" w:rsidRPr="00D47073" w:rsidRDefault="00037AF4"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lastRenderedPageBreak/>
              <w:t>Table 2: Most common indicators that can be disaggregated by disability</w:t>
            </w:r>
          </w:p>
        </w:tc>
      </w:tr>
      <w:tr w:rsidR="00037AF4" w:rsidRPr="00D47073" w14:paraId="748413D5" w14:textId="77777777" w:rsidTr="00037AF4">
        <w:trPr>
          <w:trHeight w:val="600"/>
        </w:trPr>
        <w:tc>
          <w:tcPr>
            <w:tcW w:w="1300" w:type="dxa"/>
            <w:tcBorders>
              <w:top w:val="nil"/>
              <w:left w:val="nil"/>
              <w:bottom w:val="nil"/>
              <w:right w:val="nil"/>
            </w:tcBorders>
            <w:shd w:val="clear" w:color="auto" w:fill="auto"/>
            <w:vAlign w:val="bottom"/>
            <w:hideMark/>
          </w:tcPr>
          <w:p w14:paraId="204CE9CF" w14:textId="77777777" w:rsidR="00037AF4" w:rsidRPr="00D47073" w:rsidRDefault="00037AF4"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Indicator Number</w:t>
            </w:r>
          </w:p>
        </w:tc>
        <w:tc>
          <w:tcPr>
            <w:tcW w:w="5000" w:type="dxa"/>
            <w:tcBorders>
              <w:top w:val="nil"/>
              <w:left w:val="nil"/>
              <w:bottom w:val="nil"/>
              <w:right w:val="nil"/>
            </w:tcBorders>
            <w:shd w:val="clear" w:color="auto" w:fill="auto"/>
            <w:noWrap/>
            <w:vAlign w:val="bottom"/>
            <w:hideMark/>
          </w:tcPr>
          <w:p w14:paraId="41B267DE" w14:textId="77777777" w:rsidR="00037AF4" w:rsidRPr="00D47073" w:rsidRDefault="00037AF4"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Description of indicator</w:t>
            </w:r>
          </w:p>
        </w:tc>
        <w:tc>
          <w:tcPr>
            <w:tcW w:w="1480" w:type="dxa"/>
            <w:tcBorders>
              <w:top w:val="nil"/>
              <w:left w:val="nil"/>
              <w:bottom w:val="nil"/>
              <w:right w:val="nil"/>
            </w:tcBorders>
            <w:shd w:val="clear" w:color="auto" w:fill="auto"/>
            <w:vAlign w:val="bottom"/>
            <w:hideMark/>
          </w:tcPr>
          <w:p w14:paraId="744775EE" w14:textId="77777777" w:rsidR="00037AF4" w:rsidRPr="00D47073" w:rsidRDefault="00037AF4"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Number of Countries (out of 32)</w:t>
            </w:r>
          </w:p>
        </w:tc>
      </w:tr>
      <w:tr w:rsidR="00037AF4" w:rsidRPr="00D47073" w14:paraId="5DD48D3D" w14:textId="77777777" w:rsidTr="00037AF4">
        <w:trPr>
          <w:trHeight w:val="300"/>
        </w:trPr>
        <w:tc>
          <w:tcPr>
            <w:tcW w:w="1300" w:type="dxa"/>
            <w:tcBorders>
              <w:top w:val="nil"/>
              <w:left w:val="nil"/>
              <w:bottom w:val="nil"/>
              <w:right w:val="nil"/>
            </w:tcBorders>
            <w:shd w:val="clear" w:color="auto" w:fill="auto"/>
            <w:vAlign w:val="bottom"/>
            <w:hideMark/>
          </w:tcPr>
          <w:p w14:paraId="09F9D3A2" w14:textId="77777777" w:rsidR="00037AF4" w:rsidRPr="00D47073" w:rsidRDefault="00037AF4" w:rsidP="00D47073">
            <w:pPr>
              <w:jc w:val="both"/>
              <w:rPr>
                <w:rFonts w:ascii="Verdana" w:eastAsia="Times New Roman" w:hAnsi="Verdana" w:cs="Times New Roman"/>
                <w:b/>
                <w:bCs/>
                <w:color w:val="000000"/>
                <w:sz w:val="22"/>
                <w:szCs w:val="22"/>
              </w:rPr>
            </w:pPr>
          </w:p>
        </w:tc>
        <w:tc>
          <w:tcPr>
            <w:tcW w:w="5000" w:type="dxa"/>
            <w:tcBorders>
              <w:top w:val="nil"/>
              <w:left w:val="nil"/>
              <w:bottom w:val="nil"/>
              <w:right w:val="nil"/>
            </w:tcBorders>
            <w:shd w:val="clear" w:color="auto" w:fill="auto"/>
            <w:noWrap/>
            <w:vAlign w:val="bottom"/>
            <w:hideMark/>
          </w:tcPr>
          <w:p w14:paraId="5038AE10" w14:textId="77777777" w:rsidR="00037AF4" w:rsidRPr="00D47073" w:rsidRDefault="00037AF4" w:rsidP="00D47073">
            <w:pPr>
              <w:jc w:val="both"/>
              <w:rPr>
                <w:rFonts w:ascii="Verdana" w:eastAsia="Times New Roman" w:hAnsi="Verdana" w:cs="Times New Roman"/>
                <w:b/>
                <w:bCs/>
                <w:color w:val="000000"/>
                <w:sz w:val="22"/>
                <w:szCs w:val="22"/>
              </w:rPr>
            </w:pPr>
          </w:p>
        </w:tc>
        <w:tc>
          <w:tcPr>
            <w:tcW w:w="1480" w:type="dxa"/>
            <w:tcBorders>
              <w:top w:val="nil"/>
              <w:left w:val="nil"/>
              <w:bottom w:val="nil"/>
              <w:right w:val="nil"/>
            </w:tcBorders>
            <w:shd w:val="clear" w:color="auto" w:fill="auto"/>
            <w:vAlign w:val="bottom"/>
            <w:hideMark/>
          </w:tcPr>
          <w:p w14:paraId="297A8F34" w14:textId="77777777" w:rsidR="00037AF4" w:rsidRPr="00D47073" w:rsidRDefault="00037AF4" w:rsidP="00D47073">
            <w:pPr>
              <w:jc w:val="both"/>
              <w:rPr>
                <w:rFonts w:ascii="Verdana" w:eastAsia="Times New Roman" w:hAnsi="Verdana" w:cs="Times New Roman"/>
                <w:b/>
                <w:bCs/>
                <w:color w:val="000000"/>
                <w:sz w:val="22"/>
                <w:szCs w:val="22"/>
              </w:rPr>
            </w:pPr>
          </w:p>
        </w:tc>
      </w:tr>
      <w:tr w:rsidR="00037AF4" w:rsidRPr="00D47073" w14:paraId="02C7D502" w14:textId="77777777" w:rsidTr="00037AF4">
        <w:trPr>
          <w:trHeight w:val="300"/>
        </w:trPr>
        <w:tc>
          <w:tcPr>
            <w:tcW w:w="7780" w:type="dxa"/>
            <w:gridSpan w:val="3"/>
            <w:tcBorders>
              <w:top w:val="nil"/>
              <w:left w:val="nil"/>
              <w:bottom w:val="nil"/>
              <w:right w:val="nil"/>
            </w:tcBorders>
            <w:shd w:val="clear" w:color="000000" w:fill="D9D9D9"/>
            <w:vAlign w:val="bottom"/>
            <w:hideMark/>
          </w:tcPr>
          <w:p w14:paraId="3E3B44B6" w14:textId="77777777" w:rsidR="00037AF4" w:rsidRPr="00D47073" w:rsidRDefault="00037AF4"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More than 10 countries can produce</w:t>
            </w:r>
          </w:p>
        </w:tc>
      </w:tr>
      <w:tr w:rsidR="00037AF4" w:rsidRPr="00D47073" w14:paraId="1D1E2C2F" w14:textId="77777777" w:rsidTr="00037AF4">
        <w:trPr>
          <w:trHeight w:val="720"/>
        </w:trPr>
        <w:tc>
          <w:tcPr>
            <w:tcW w:w="1300" w:type="dxa"/>
            <w:tcBorders>
              <w:top w:val="nil"/>
              <w:left w:val="nil"/>
              <w:bottom w:val="nil"/>
              <w:right w:val="nil"/>
            </w:tcBorders>
            <w:shd w:val="clear" w:color="auto" w:fill="auto"/>
            <w:noWrap/>
            <w:hideMark/>
          </w:tcPr>
          <w:p w14:paraId="47436DDD"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1.1.1</w:t>
            </w:r>
          </w:p>
        </w:tc>
        <w:tc>
          <w:tcPr>
            <w:tcW w:w="5000" w:type="dxa"/>
            <w:tcBorders>
              <w:top w:val="nil"/>
              <w:left w:val="nil"/>
              <w:bottom w:val="nil"/>
              <w:right w:val="nil"/>
            </w:tcBorders>
            <w:shd w:val="clear" w:color="auto" w:fill="auto"/>
            <w:vAlign w:val="bottom"/>
            <w:hideMark/>
          </w:tcPr>
          <w:p w14:paraId="00DAA3B7"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population below the international poverty line, by sex, age, employment status and geographical location (urban/rural)</w:t>
            </w:r>
          </w:p>
        </w:tc>
        <w:tc>
          <w:tcPr>
            <w:tcW w:w="1480" w:type="dxa"/>
            <w:tcBorders>
              <w:top w:val="nil"/>
              <w:left w:val="nil"/>
              <w:bottom w:val="nil"/>
              <w:right w:val="nil"/>
            </w:tcBorders>
            <w:shd w:val="clear" w:color="auto" w:fill="auto"/>
            <w:noWrap/>
            <w:vAlign w:val="bottom"/>
            <w:hideMark/>
          </w:tcPr>
          <w:p w14:paraId="5EC7413A"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11</w:t>
            </w:r>
          </w:p>
        </w:tc>
      </w:tr>
      <w:tr w:rsidR="00037AF4" w:rsidRPr="00D47073" w14:paraId="440D85FA" w14:textId="77777777" w:rsidTr="00037AF4">
        <w:trPr>
          <w:trHeight w:val="480"/>
        </w:trPr>
        <w:tc>
          <w:tcPr>
            <w:tcW w:w="1300" w:type="dxa"/>
            <w:tcBorders>
              <w:top w:val="nil"/>
              <w:left w:val="nil"/>
              <w:bottom w:val="nil"/>
              <w:right w:val="nil"/>
            </w:tcBorders>
            <w:shd w:val="clear" w:color="auto" w:fill="auto"/>
            <w:noWrap/>
            <w:hideMark/>
          </w:tcPr>
          <w:p w14:paraId="2991CB69"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1.2.1</w:t>
            </w:r>
          </w:p>
        </w:tc>
        <w:tc>
          <w:tcPr>
            <w:tcW w:w="5000" w:type="dxa"/>
            <w:tcBorders>
              <w:top w:val="nil"/>
              <w:left w:val="nil"/>
              <w:bottom w:val="nil"/>
              <w:right w:val="nil"/>
            </w:tcBorders>
            <w:shd w:val="clear" w:color="auto" w:fill="auto"/>
            <w:vAlign w:val="bottom"/>
            <w:hideMark/>
          </w:tcPr>
          <w:p w14:paraId="593547CC"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 xml:space="preserve">Proportion of population living below the national poverty line, by sex and age </w:t>
            </w:r>
          </w:p>
        </w:tc>
        <w:tc>
          <w:tcPr>
            <w:tcW w:w="1480" w:type="dxa"/>
            <w:tcBorders>
              <w:top w:val="nil"/>
              <w:left w:val="nil"/>
              <w:bottom w:val="nil"/>
              <w:right w:val="nil"/>
            </w:tcBorders>
            <w:shd w:val="clear" w:color="auto" w:fill="auto"/>
            <w:noWrap/>
            <w:vAlign w:val="bottom"/>
            <w:hideMark/>
          </w:tcPr>
          <w:p w14:paraId="6C102FFA"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11</w:t>
            </w:r>
          </w:p>
        </w:tc>
      </w:tr>
      <w:tr w:rsidR="00037AF4" w:rsidRPr="00D47073" w14:paraId="130949E0" w14:textId="77777777" w:rsidTr="00037AF4">
        <w:trPr>
          <w:trHeight w:val="480"/>
        </w:trPr>
        <w:tc>
          <w:tcPr>
            <w:tcW w:w="1300" w:type="dxa"/>
            <w:tcBorders>
              <w:top w:val="nil"/>
              <w:left w:val="nil"/>
              <w:bottom w:val="nil"/>
              <w:right w:val="nil"/>
            </w:tcBorders>
            <w:shd w:val="clear" w:color="auto" w:fill="auto"/>
            <w:noWrap/>
            <w:hideMark/>
          </w:tcPr>
          <w:p w14:paraId="55D9A0E9"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6.1.1</w:t>
            </w:r>
          </w:p>
        </w:tc>
        <w:tc>
          <w:tcPr>
            <w:tcW w:w="5000" w:type="dxa"/>
            <w:tcBorders>
              <w:top w:val="nil"/>
              <w:left w:val="nil"/>
              <w:bottom w:val="nil"/>
              <w:right w:val="nil"/>
            </w:tcBorders>
            <w:shd w:val="clear" w:color="auto" w:fill="auto"/>
            <w:vAlign w:val="center"/>
            <w:hideMark/>
          </w:tcPr>
          <w:p w14:paraId="18FEE35D"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population using safely managed drinking water services</w:t>
            </w:r>
          </w:p>
        </w:tc>
        <w:tc>
          <w:tcPr>
            <w:tcW w:w="1480" w:type="dxa"/>
            <w:tcBorders>
              <w:top w:val="nil"/>
              <w:left w:val="nil"/>
              <w:bottom w:val="nil"/>
              <w:right w:val="nil"/>
            </w:tcBorders>
            <w:shd w:val="clear" w:color="auto" w:fill="auto"/>
            <w:noWrap/>
            <w:vAlign w:val="bottom"/>
            <w:hideMark/>
          </w:tcPr>
          <w:p w14:paraId="05651CAA"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11</w:t>
            </w:r>
          </w:p>
        </w:tc>
      </w:tr>
      <w:tr w:rsidR="00037AF4" w:rsidRPr="00D47073" w14:paraId="0490D60B" w14:textId="77777777" w:rsidTr="00037AF4">
        <w:trPr>
          <w:trHeight w:val="300"/>
        </w:trPr>
        <w:tc>
          <w:tcPr>
            <w:tcW w:w="1300" w:type="dxa"/>
            <w:tcBorders>
              <w:top w:val="nil"/>
              <w:left w:val="nil"/>
              <w:bottom w:val="nil"/>
              <w:right w:val="nil"/>
            </w:tcBorders>
            <w:shd w:val="clear" w:color="auto" w:fill="auto"/>
            <w:noWrap/>
            <w:hideMark/>
          </w:tcPr>
          <w:p w14:paraId="6663DEFA"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7.1.1</w:t>
            </w:r>
          </w:p>
        </w:tc>
        <w:tc>
          <w:tcPr>
            <w:tcW w:w="5000" w:type="dxa"/>
            <w:tcBorders>
              <w:top w:val="nil"/>
              <w:left w:val="nil"/>
              <w:bottom w:val="nil"/>
              <w:right w:val="nil"/>
            </w:tcBorders>
            <w:shd w:val="clear" w:color="auto" w:fill="auto"/>
            <w:noWrap/>
            <w:vAlign w:val="center"/>
            <w:hideMark/>
          </w:tcPr>
          <w:p w14:paraId="206E1D66"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Percentage of population with access to electricity</w:t>
            </w:r>
          </w:p>
        </w:tc>
        <w:tc>
          <w:tcPr>
            <w:tcW w:w="1480" w:type="dxa"/>
            <w:tcBorders>
              <w:top w:val="nil"/>
              <w:left w:val="nil"/>
              <w:bottom w:val="nil"/>
              <w:right w:val="nil"/>
            </w:tcBorders>
            <w:shd w:val="clear" w:color="auto" w:fill="auto"/>
            <w:noWrap/>
            <w:vAlign w:val="bottom"/>
            <w:hideMark/>
          </w:tcPr>
          <w:p w14:paraId="3B6AA035"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11</w:t>
            </w:r>
          </w:p>
        </w:tc>
      </w:tr>
      <w:tr w:rsidR="00037AF4" w:rsidRPr="00D47073" w14:paraId="11AE7E9B" w14:textId="77777777" w:rsidTr="00037AF4">
        <w:trPr>
          <w:trHeight w:val="520"/>
        </w:trPr>
        <w:tc>
          <w:tcPr>
            <w:tcW w:w="1300" w:type="dxa"/>
            <w:tcBorders>
              <w:top w:val="nil"/>
              <w:left w:val="nil"/>
              <w:bottom w:val="nil"/>
              <w:right w:val="nil"/>
            </w:tcBorders>
            <w:shd w:val="clear" w:color="auto" w:fill="auto"/>
            <w:noWrap/>
            <w:hideMark/>
          </w:tcPr>
          <w:p w14:paraId="43700DBB"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8.6.1</w:t>
            </w:r>
          </w:p>
        </w:tc>
        <w:tc>
          <w:tcPr>
            <w:tcW w:w="5000" w:type="dxa"/>
            <w:tcBorders>
              <w:top w:val="nil"/>
              <w:left w:val="nil"/>
              <w:bottom w:val="nil"/>
              <w:right w:val="nil"/>
            </w:tcBorders>
            <w:shd w:val="clear" w:color="auto" w:fill="auto"/>
            <w:vAlign w:val="center"/>
            <w:hideMark/>
          </w:tcPr>
          <w:p w14:paraId="3CCB9F71"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youth (aged 15-24 years) not in education, employment or training</w:t>
            </w:r>
          </w:p>
        </w:tc>
        <w:tc>
          <w:tcPr>
            <w:tcW w:w="1480" w:type="dxa"/>
            <w:tcBorders>
              <w:top w:val="nil"/>
              <w:left w:val="nil"/>
              <w:bottom w:val="nil"/>
              <w:right w:val="nil"/>
            </w:tcBorders>
            <w:shd w:val="clear" w:color="auto" w:fill="auto"/>
            <w:noWrap/>
            <w:vAlign w:val="bottom"/>
            <w:hideMark/>
          </w:tcPr>
          <w:p w14:paraId="6AB08A17"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14</w:t>
            </w:r>
          </w:p>
        </w:tc>
      </w:tr>
      <w:tr w:rsidR="00037AF4" w:rsidRPr="00D47073" w14:paraId="78EAA153" w14:textId="77777777" w:rsidTr="00037AF4">
        <w:trPr>
          <w:trHeight w:val="300"/>
        </w:trPr>
        <w:tc>
          <w:tcPr>
            <w:tcW w:w="1300" w:type="dxa"/>
            <w:tcBorders>
              <w:top w:val="nil"/>
              <w:left w:val="nil"/>
              <w:bottom w:val="nil"/>
              <w:right w:val="nil"/>
            </w:tcBorders>
            <w:shd w:val="clear" w:color="auto" w:fill="auto"/>
            <w:noWrap/>
            <w:vAlign w:val="bottom"/>
            <w:hideMark/>
          </w:tcPr>
          <w:p w14:paraId="6E3BC983" w14:textId="77777777" w:rsidR="00037AF4" w:rsidRPr="00D47073" w:rsidRDefault="00037AF4" w:rsidP="00D47073">
            <w:pPr>
              <w:jc w:val="both"/>
              <w:rPr>
                <w:rFonts w:ascii="Verdana" w:eastAsia="Times New Roman" w:hAnsi="Verdana" w:cs="Times New Roman"/>
                <w:color w:val="000000"/>
                <w:sz w:val="22"/>
                <w:szCs w:val="22"/>
              </w:rPr>
            </w:pPr>
          </w:p>
        </w:tc>
        <w:tc>
          <w:tcPr>
            <w:tcW w:w="5000" w:type="dxa"/>
            <w:tcBorders>
              <w:top w:val="nil"/>
              <w:left w:val="nil"/>
              <w:bottom w:val="nil"/>
              <w:right w:val="nil"/>
            </w:tcBorders>
            <w:shd w:val="clear" w:color="auto" w:fill="auto"/>
            <w:noWrap/>
            <w:vAlign w:val="center"/>
            <w:hideMark/>
          </w:tcPr>
          <w:p w14:paraId="06AE9231" w14:textId="77777777" w:rsidR="00037AF4" w:rsidRPr="00D47073" w:rsidRDefault="00037AF4" w:rsidP="00D47073">
            <w:pPr>
              <w:jc w:val="both"/>
              <w:rPr>
                <w:rFonts w:ascii="Verdana" w:eastAsia="Times New Roman" w:hAnsi="Verdana" w:cs="Times New Roman"/>
                <w:color w:val="000000"/>
                <w:sz w:val="22"/>
                <w:szCs w:val="22"/>
              </w:rPr>
            </w:pPr>
          </w:p>
        </w:tc>
        <w:tc>
          <w:tcPr>
            <w:tcW w:w="1480" w:type="dxa"/>
            <w:tcBorders>
              <w:top w:val="nil"/>
              <w:left w:val="nil"/>
              <w:bottom w:val="nil"/>
              <w:right w:val="nil"/>
            </w:tcBorders>
            <w:shd w:val="clear" w:color="auto" w:fill="auto"/>
            <w:noWrap/>
            <w:vAlign w:val="bottom"/>
            <w:hideMark/>
          </w:tcPr>
          <w:p w14:paraId="722B0EFB" w14:textId="77777777" w:rsidR="00037AF4" w:rsidRPr="00D47073" w:rsidRDefault="00037AF4" w:rsidP="00D47073">
            <w:pPr>
              <w:jc w:val="both"/>
              <w:rPr>
                <w:rFonts w:ascii="Verdana" w:eastAsia="Times New Roman" w:hAnsi="Verdana" w:cs="Times New Roman"/>
                <w:color w:val="000000"/>
                <w:sz w:val="22"/>
                <w:szCs w:val="22"/>
              </w:rPr>
            </w:pPr>
          </w:p>
        </w:tc>
      </w:tr>
      <w:tr w:rsidR="00037AF4" w:rsidRPr="00D47073" w14:paraId="02248CC6" w14:textId="77777777" w:rsidTr="00037AF4">
        <w:trPr>
          <w:trHeight w:val="300"/>
        </w:trPr>
        <w:tc>
          <w:tcPr>
            <w:tcW w:w="7780" w:type="dxa"/>
            <w:gridSpan w:val="3"/>
            <w:tcBorders>
              <w:top w:val="nil"/>
              <w:left w:val="nil"/>
              <w:bottom w:val="nil"/>
              <w:right w:val="nil"/>
            </w:tcBorders>
            <w:shd w:val="clear" w:color="000000" w:fill="D9D9D9"/>
            <w:noWrap/>
            <w:vAlign w:val="bottom"/>
            <w:hideMark/>
          </w:tcPr>
          <w:p w14:paraId="5C3BEDF4" w14:textId="77777777" w:rsidR="00037AF4" w:rsidRPr="00D47073" w:rsidRDefault="00037AF4" w:rsidP="00D47073">
            <w:pPr>
              <w:jc w:val="both"/>
              <w:rPr>
                <w:rFonts w:ascii="Verdana" w:eastAsia="Times New Roman" w:hAnsi="Verdana" w:cs="Times New Roman"/>
                <w:b/>
                <w:bCs/>
                <w:color w:val="000000"/>
                <w:sz w:val="22"/>
                <w:szCs w:val="22"/>
              </w:rPr>
            </w:pPr>
            <w:r w:rsidRPr="00D47073">
              <w:rPr>
                <w:rFonts w:ascii="Verdana" w:eastAsia="Times New Roman" w:hAnsi="Verdana" w:cs="Times New Roman"/>
                <w:b/>
                <w:bCs/>
                <w:color w:val="000000"/>
                <w:sz w:val="22"/>
                <w:szCs w:val="22"/>
              </w:rPr>
              <w:t>5 to 10 countries can produce</w:t>
            </w:r>
          </w:p>
        </w:tc>
      </w:tr>
      <w:tr w:rsidR="00037AF4" w:rsidRPr="00D47073" w14:paraId="7F44ED2A" w14:textId="77777777" w:rsidTr="00037AF4">
        <w:trPr>
          <w:trHeight w:val="1200"/>
        </w:trPr>
        <w:tc>
          <w:tcPr>
            <w:tcW w:w="1300" w:type="dxa"/>
            <w:tcBorders>
              <w:top w:val="nil"/>
              <w:left w:val="nil"/>
              <w:bottom w:val="nil"/>
              <w:right w:val="nil"/>
            </w:tcBorders>
            <w:shd w:val="clear" w:color="auto" w:fill="auto"/>
            <w:noWrap/>
            <w:hideMark/>
          </w:tcPr>
          <w:p w14:paraId="4F394752"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1.3.1</w:t>
            </w:r>
          </w:p>
        </w:tc>
        <w:tc>
          <w:tcPr>
            <w:tcW w:w="5000" w:type="dxa"/>
            <w:tcBorders>
              <w:top w:val="nil"/>
              <w:left w:val="nil"/>
              <w:bottom w:val="nil"/>
              <w:right w:val="nil"/>
            </w:tcBorders>
            <w:shd w:val="clear" w:color="auto" w:fill="auto"/>
            <w:vAlign w:val="bottom"/>
            <w:hideMark/>
          </w:tcPr>
          <w:p w14:paraId="6371E1E4"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population covered by social protection floors/systems, by sex, distinguishing children, unemployed persons, older persons, persons with disabilities, pregnant women, newborns, work-injury victims and the poor and the vulnerable</w:t>
            </w:r>
          </w:p>
        </w:tc>
        <w:tc>
          <w:tcPr>
            <w:tcW w:w="1480" w:type="dxa"/>
            <w:tcBorders>
              <w:top w:val="nil"/>
              <w:left w:val="nil"/>
              <w:bottom w:val="nil"/>
              <w:right w:val="nil"/>
            </w:tcBorders>
            <w:shd w:val="clear" w:color="auto" w:fill="auto"/>
            <w:noWrap/>
            <w:vAlign w:val="bottom"/>
            <w:hideMark/>
          </w:tcPr>
          <w:p w14:paraId="22F3D527"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r>
      <w:tr w:rsidR="00037AF4" w:rsidRPr="00D47073" w14:paraId="3E9C31E1" w14:textId="77777777" w:rsidTr="00037AF4">
        <w:trPr>
          <w:trHeight w:val="1200"/>
        </w:trPr>
        <w:tc>
          <w:tcPr>
            <w:tcW w:w="1300" w:type="dxa"/>
            <w:tcBorders>
              <w:top w:val="nil"/>
              <w:left w:val="nil"/>
              <w:bottom w:val="nil"/>
              <w:right w:val="nil"/>
            </w:tcBorders>
            <w:shd w:val="clear" w:color="auto" w:fill="auto"/>
            <w:noWrap/>
            <w:hideMark/>
          </w:tcPr>
          <w:p w14:paraId="124B66B6"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4.1.1</w:t>
            </w:r>
          </w:p>
        </w:tc>
        <w:tc>
          <w:tcPr>
            <w:tcW w:w="5000" w:type="dxa"/>
            <w:tcBorders>
              <w:top w:val="nil"/>
              <w:left w:val="nil"/>
              <w:bottom w:val="nil"/>
              <w:right w:val="nil"/>
            </w:tcBorders>
            <w:shd w:val="clear" w:color="auto" w:fill="auto"/>
            <w:vAlign w:val="bottom"/>
            <w:hideMark/>
          </w:tcPr>
          <w:p w14:paraId="71B010BB"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children and young people: (a) in grades 2/3; (b) at the end of primary; and (c) at the end of lower secondary achieving at least a minimum proficiency level in (</w:t>
            </w:r>
            <w:proofErr w:type="spellStart"/>
            <w:r w:rsidRPr="00D47073">
              <w:rPr>
                <w:rFonts w:ascii="Verdana" w:eastAsia="Times New Roman" w:hAnsi="Verdana" w:cs="Times New Roman"/>
                <w:color w:val="000000"/>
                <w:sz w:val="22"/>
                <w:szCs w:val="22"/>
              </w:rPr>
              <w:t>i</w:t>
            </w:r>
            <w:proofErr w:type="spellEnd"/>
            <w:r w:rsidRPr="00D47073">
              <w:rPr>
                <w:rFonts w:ascii="Verdana" w:eastAsia="Times New Roman" w:hAnsi="Verdana" w:cs="Times New Roman"/>
                <w:color w:val="000000"/>
                <w:sz w:val="22"/>
                <w:szCs w:val="22"/>
              </w:rPr>
              <w:t>) reading and (ii) mathematics, by sex</w:t>
            </w:r>
          </w:p>
        </w:tc>
        <w:tc>
          <w:tcPr>
            <w:tcW w:w="1480" w:type="dxa"/>
            <w:tcBorders>
              <w:top w:val="nil"/>
              <w:left w:val="nil"/>
              <w:bottom w:val="nil"/>
              <w:right w:val="nil"/>
            </w:tcBorders>
            <w:shd w:val="clear" w:color="auto" w:fill="auto"/>
            <w:noWrap/>
            <w:vAlign w:val="bottom"/>
            <w:hideMark/>
          </w:tcPr>
          <w:p w14:paraId="0A7ED41E"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r>
      <w:tr w:rsidR="00037AF4" w:rsidRPr="00D47073" w14:paraId="060AD8F0" w14:textId="77777777" w:rsidTr="00037AF4">
        <w:trPr>
          <w:trHeight w:val="480"/>
        </w:trPr>
        <w:tc>
          <w:tcPr>
            <w:tcW w:w="1300" w:type="dxa"/>
            <w:tcBorders>
              <w:top w:val="nil"/>
              <w:left w:val="nil"/>
              <w:bottom w:val="nil"/>
              <w:right w:val="nil"/>
            </w:tcBorders>
            <w:shd w:val="clear" w:color="auto" w:fill="auto"/>
            <w:noWrap/>
            <w:hideMark/>
          </w:tcPr>
          <w:p w14:paraId="09325A4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4.2.2</w:t>
            </w:r>
          </w:p>
        </w:tc>
        <w:tc>
          <w:tcPr>
            <w:tcW w:w="5000" w:type="dxa"/>
            <w:tcBorders>
              <w:top w:val="nil"/>
              <w:left w:val="nil"/>
              <w:bottom w:val="nil"/>
              <w:right w:val="nil"/>
            </w:tcBorders>
            <w:shd w:val="clear" w:color="auto" w:fill="auto"/>
            <w:vAlign w:val="bottom"/>
            <w:hideMark/>
          </w:tcPr>
          <w:p w14:paraId="6BBF4CC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Participation rate in organized learning (one year before the official primary entry age), by sex</w:t>
            </w:r>
          </w:p>
        </w:tc>
        <w:tc>
          <w:tcPr>
            <w:tcW w:w="1480" w:type="dxa"/>
            <w:tcBorders>
              <w:top w:val="nil"/>
              <w:left w:val="nil"/>
              <w:bottom w:val="nil"/>
              <w:right w:val="nil"/>
            </w:tcBorders>
            <w:shd w:val="clear" w:color="auto" w:fill="auto"/>
            <w:noWrap/>
            <w:vAlign w:val="bottom"/>
            <w:hideMark/>
          </w:tcPr>
          <w:p w14:paraId="24F27F50"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7</w:t>
            </w:r>
          </w:p>
        </w:tc>
      </w:tr>
      <w:tr w:rsidR="00037AF4" w:rsidRPr="00D47073" w14:paraId="6DC41AED" w14:textId="77777777" w:rsidTr="00037AF4">
        <w:trPr>
          <w:trHeight w:val="1200"/>
        </w:trPr>
        <w:tc>
          <w:tcPr>
            <w:tcW w:w="1300" w:type="dxa"/>
            <w:tcBorders>
              <w:top w:val="nil"/>
              <w:left w:val="nil"/>
              <w:bottom w:val="nil"/>
              <w:right w:val="nil"/>
            </w:tcBorders>
            <w:shd w:val="clear" w:color="auto" w:fill="auto"/>
            <w:noWrap/>
            <w:hideMark/>
          </w:tcPr>
          <w:p w14:paraId="69311D7E"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4.5.1</w:t>
            </w:r>
          </w:p>
        </w:tc>
        <w:tc>
          <w:tcPr>
            <w:tcW w:w="5000" w:type="dxa"/>
            <w:tcBorders>
              <w:top w:val="nil"/>
              <w:left w:val="nil"/>
              <w:bottom w:val="nil"/>
              <w:right w:val="nil"/>
            </w:tcBorders>
            <w:shd w:val="clear" w:color="auto" w:fill="auto"/>
            <w:vAlign w:val="bottom"/>
            <w:hideMark/>
          </w:tcPr>
          <w:p w14:paraId="1C454E5B"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Parity indices (female/male, rural/urban, bottom/top wealth quintile and others such as disability status, indigenous peoples and conflict-affected, as data become available) for all education indicators on this list that can be disaggregated</w:t>
            </w:r>
          </w:p>
        </w:tc>
        <w:tc>
          <w:tcPr>
            <w:tcW w:w="1480" w:type="dxa"/>
            <w:tcBorders>
              <w:top w:val="nil"/>
              <w:left w:val="nil"/>
              <w:bottom w:val="nil"/>
              <w:right w:val="nil"/>
            </w:tcBorders>
            <w:shd w:val="clear" w:color="auto" w:fill="auto"/>
            <w:noWrap/>
            <w:vAlign w:val="bottom"/>
            <w:hideMark/>
          </w:tcPr>
          <w:p w14:paraId="29DBBBE5"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8</w:t>
            </w:r>
          </w:p>
        </w:tc>
      </w:tr>
      <w:tr w:rsidR="00037AF4" w:rsidRPr="00D47073" w14:paraId="54FDB370" w14:textId="77777777" w:rsidTr="00037AF4">
        <w:trPr>
          <w:trHeight w:val="300"/>
        </w:trPr>
        <w:tc>
          <w:tcPr>
            <w:tcW w:w="1300" w:type="dxa"/>
            <w:tcBorders>
              <w:top w:val="nil"/>
              <w:left w:val="nil"/>
              <w:bottom w:val="nil"/>
              <w:right w:val="nil"/>
            </w:tcBorders>
            <w:shd w:val="clear" w:color="auto" w:fill="auto"/>
            <w:noWrap/>
            <w:hideMark/>
          </w:tcPr>
          <w:p w14:paraId="1749F507"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5.5.2</w:t>
            </w:r>
          </w:p>
        </w:tc>
        <w:tc>
          <w:tcPr>
            <w:tcW w:w="5000" w:type="dxa"/>
            <w:tcBorders>
              <w:top w:val="nil"/>
              <w:left w:val="nil"/>
              <w:bottom w:val="nil"/>
              <w:right w:val="nil"/>
            </w:tcBorders>
            <w:shd w:val="clear" w:color="auto" w:fill="auto"/>
            <w:vAlign w:val="bottom"/>
            <w:hideMark/>
          </w:tcPr>
          <w:p w14:paraId="0B49DBF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 xml:space="preserve">Proportion of women in managerial </w:t>
            </w:r>
            <w:r w:rsidRPr="00D47073">
              <w:rPr>
                <w:rFonts w:ascii="Verdana" w:eastAsia="Times New Roman" w:hAnsi="Verdana" w:cs="Times New Roman"/>
                <w:color w:val="000000"/>
                <w:sz w:val="22"/>
                <w:szCs w:val="22"/>
              </w:rPr>
              <w:lastRenderedPageBreak/>
              <w:t>positions</w:t>
            </w:r>
          </w:p>
        </w:tc>
        <w:tc>
          <w:tcPr>
            <w:tcW w:w="1480" w:type="dxa"/>
            <w:tcBorders>
              <w:top w:val="nil"/>
              <w:left w:val="nil"/>
              <w:bottom w:val="nil"/>
              <w:right w:val="nil"/>
            </w:tcBorders>
            <w:shd w:val="clear" w:color="auto" w:fill="auto"/>
            <w:noWrap/>
            <w:vAlign w:val="bottom"/>
            <w:hideMark/>
          </w:tcPr>
          <w:p w14:paraId="2B897FE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lastRenderedPageBreak/>
              <w:t>6</w:t>
            </w:r>
          </w:p>
        </w:tc>
      </w:tr>
      <w:tr w:rsidR="00037AF4" w:rsidRPr="00D47073" w14:paraId="0BA2297E" w14:textId="77777777" w:rsidTr="00037AF4">
        <w:trPr>
          <w:trHeight w:val="480"/>
        </w:trPr>
        <w:tc>
          <w:tcPr>
            <w:tcW w:w="1300" w:type="dxa"/>
            <w:tcBorders>
              <w:top w:val="nil"/>
              <w:left w:val="nil"/>
              <w:bottom w:val="nil"/>
              <w:right w:val="nil"/>
            </w:tcBorders>
            <w:shd w:val="clear" w:color="auto" w:fill="auto"/>
            <w:noWrap/>
            <w:hideMark/>
          </w:tcPr>
          <w:p w14:paraId="23D9B1B2"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lastRenderedPageBreak/>
              <w:t>5.b.1</w:t>
            </w:r>
          </w:p>
        </w:tc>
        <w:tc>
          <w:tcPr>
            <w:tcW w:w="5000" w:type="dxa"/>
            <w:tcBorders>
              <w:top w:val="nil"/>
              <w:left w:val="nil"/>
              <w:bottom w:val="nil"/>
              <w:right w:val="nil"/>
            </w:tcBorders>
            <w:shd w:val="clear" w:color="auto" w:fill="auto"/>
            <w:vAlign w:val="bottom"/>
            <w:hideMark/>
          </w:tcPr>
          <w:p w14:paraId="7182C39E"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individuals who own a mobile telephone, by sex</w:t>
            </w:r>
          </w:p>
        </w:tc>
        <w:tc>
          <w:tcPr>
            <w:tcW w:w="1480" w:type="dxa"/>
            <w:tcBorders>
              <w:top w:val="nil"/>
              <w:left w:val="nil"/>
              <w:bottom w:val="nil"/>
              <w:right w:val="nil"/>
            </w:tcBorders>
            <w:shd w:val="clear" w:color="auto" w:fill="auto"/>
            <w:noWrap/>
            <w:vAlign w:val="bottom"/>
            <w:hideMark/>
          </w:tcPr>
          <w:p w14:paraId="409768F4"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r>
      <w:tr w:rsidR="00037AF4" w:rsidRPr="00D47073" w14:paraId="5B8A0DD6" w14:textId="77777777" w:rsidTr="00037AF4">
        <w:trPr>
          <w:trHeight w:val="720"/>
        </w:trPr>
        <w:tc>
          <w:tcPr>
            <w:tcW w:w="1300" w:type="dxa"/>
            <w:tcBorders>
              <w:top w:val="nil"/>
              <w:left w:val="nil"/>
              <w:bottom w:val="nil"/>
              <w:right w:val="nil"/>
            </w:tcBorders>
            <w:shd w:val="clear" w:color="auto" w:fill="auto"/>
            <w:noWrap/>
            <w:hideMark/>
          </w:tcPr>
          <w:p w14:paraId="671E79D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6.2.1</w:t>
            </w:r>
          </w:p>
        </w:tc>
        <w:tc>
          <w:tcPr>
            <w:tcW w:w="5000" w:type="dxa"/>
            <w:tcBorders>
              <w:top w:val="nil"/>
              <w:left w:val="nil"/>
              <w:bottom w:val="nil"/>
              <w:right w:val="nil"/>
            </w:tcBorders>
            <w:shd w:val="clear" w:color="auto" w:fill="auto"/>
            <w:vAlign w:val="bottom"/>
            <w:hideMark/>
          </w:tcPr>
          <w:p w14:paraId="17365B92"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population using safely managed sanitation services, including a hand-washing facility with soap and water</w:t>
            </w:r>
          </w:p>
        </w:tc>
        <w:tc>
          <w:tcPr>
            <w:tcW w:w="1480" w:type="dxa"/>
            <w:tcBorders>
              <w:top w:val="nil"/>
              <w:left w:val="nil"/>
              <w:bottom w:val="nil"/>
              <w:right w:val="nil"/>
            </w:tcBorders>
            <w:shd w:val="clear" w:color="auto" w:fill="auto"/>
            <w:noWrap/>
            <w:vAlign w:val="bottom"/>
            <w:hideMark/>
          </w:tcPr>
          <w:p w14:paraId="1B63B7AC"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7</w:t>
            </w:r>
          </w:p>
        </w:tc>
      </w:tr>
      <w:tr w:rsidR="00037AF4" w:rsidRPr="00D47073" w14:paraId="1FDB940B" w14:textId="77777777" w:rsidTr="00037AF4">
        <w:trPr>
          <w:trHeight w:val="520"/>
        </w:trPr>
        <w:tc>
          <w:tcPr>
            <w:tcW w:w="1300" w:type="dxa"/>
            <w:tcBorders>
              <w:top w:val="nil"/>
              <w:left w:val="nil"/>
              <w:bottom w:val="nil"/>
              <w:right w:val="nil"/>
            </w:tcBorders>
            <w:shd w:val="clear" w:color="auto" w:fill="auto"/>
            <w:noWrap/>
            <w:hideMark/>
          </w:tcPr>
          <w:p w14:paraId="5A41A81A"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8.3.1</w:t>
            </w:r>
          </w:p>
        </w:tc>
        <w:tc>
          <w:tcPr>
            <w:tcW w:w="5000" w:type="dxa"/>
            <w:tcBorders>
              <w:top w:val="nil"/>
              <w:left w:val="nil"/>
              <w:bottom w:val="nil"/>
              <w:right w:val="nil"/>
            </w:tcBorders>
            <w:shd w:val="clear" w:color="auto" w:fill="auto"/>
            <w:vAlign w:val="center"/>
            <w:hideMark/>
          </w:tcPr>
          <w:p w14:paraId="23DAD3B9"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Proportion of informal employment in non-agriculture employment, by sex</w:t>
            </w:r>
          </w:p>
        </w:tc>
        <w:tc>
          <w:tcPr>
            <w:tcW w:w="1480" w:type="dxa"/>
            <w:tcBorders>
              <w:top w:val="nil"/>
              <w:left w:val="nil"/>
              <w:bottom w:val="nil"/>
              <w:right w:val="nil"/>
            </w:tcBorders>
            <w:shd w:val="clear" w:color="auto" w:fill="auto"/>
            <w:noWrap/>
            <w:vAlign w:val="bottom"/>
            <w:hideMark/>
          </w:tcPr>
          <w:p w14:paraId="1CF937BA"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r>
      <w:tr w:rsidR="00037AF4" w:rsidRPr="00D47073" w14:paraId="727D6803" w14:textId="77777777" w:rsidTr="00037AF4">
        <w:trPr>
          <w:trHeight w:val="780"/>
        </w:trPr>
        <w:tc>
          <w:tcPr>
            <w:tcW w:w="1300" w:type="dxa"/>
            <w:tcBorders>
              <w:top w:val="nil"/>
              <w:left w:val="nil"/>
              <w:bottom w:val="nil"/>
              <w:right w:val="nil"/>
            </w:tcBorders>
            <w:shd w:val="clear" w:color="auto" w:fill="auto"/>
            <w:noWrap/>
            <w:hideMark/>
          </w:tcPr>
          <w:p w14:paraId="45CB29A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8.5.1</w:t>
            </w:r>
          </w:p>
        </w:tc>
        <w:tc>
          <w:tcPr>
            <w:tcW w:w="5000" w:type="dxa"/>
            <w:tcBorders>
              <w:top w:val="nil"/>
              <w:left w:val="nil"/>
              <w:bottom w:val="nil"/>
              <w:right w:val="nil"/>
            </w:tcBorders>
            <w:shd w:val="clear" w:color="auto" w:fill="auto"/>
            <w:vAlign w:val="center"/>
            <w:hideMark/>
          </w:tcPr>
          <w:p w14:paraId="1E0B078D"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Average hourly earnings of female and male employees, by occupation, age and persons with disabilities</w:t>
            </w:r>
          </w:p>
        </w:tc>
        <w:tc>
          <w:tcPr>
            <w:tcW w:w="1480" w:type="dxa"/>
            <w:tcBorders>
              <w:top w:val="nil"/>
              <w:left w:val="nil"/>
              <w:bottom w:val="nil"/>
              <w:right w:val="nil"/>
            </w:tcBorders>
            <w:shd w:val="clear" w:color="auto" w:fill="auto"/>
            <w:noWrap/>
            <w:vAlign w:val="bottom"/>
            <w:hideMark/>
          </w:tcPr>
          <w:p w14:paraId="282D720F"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r>
      <w:tr w:rsidR="00037AF4" w:rsidRPr="00D47073" w14:paraId="06B9DDBC" w14:textId="77777777" w:rsidTr="00037AF4">
        <w:trPr>
          <w:trHeight w:val="520"/>
        </w:trPr>
        <w:tc>
          <w:tcPr>
            <w:tcW w:w="1300" w:type="dxa"/>
            <w:tcBorders>
              <w:top w:val="nil"/>
              <w:left w:val="nil"/>
              <w:bottom w:val="nil"/>
              <w:right w:val="nil"/>
            </w:tcBorders>
            <w:shd w:val="clear" w:color="auto" w:fill="auto"/>
            <w:noWrap/>
            <w:hideMark/>
          </w:tcPr>
          <w:p w14:paraId="500C2EA1"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8.7.1</w:t>
            </w:r>
          </w:p>
        </w:tc>
        <w:tc>
          <w:tcPr>
            <w:tcW w:w="5000" w:type="dxa"/>
            <w:tcBorders>
              <w:top w:val="nil"/>
              <w:left w:val="nil"/>
              <w:bottom w:val="nil"/>
              <w:right w:val="nil"/>
            </w:tcBorders>
            <w:shd w:val="clear" w:color="auto" w:fill="auto"/>
            <w:vAlign w:val="center"/>
            <w:hideMark/>
          </w:tcPr>
          <w:p w14:paraId="7E65B3EC"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 xml:space="preserve">Proportion and number of children aged 5-17 years engaged in child </w:t>
            </w:r>
            <w:proofErr w:type="spellStart"/>
            <w:r w:rsidRPr="00D47073">
              <w:rPr>
                <w:rFonts w:ascii="Verdana" w:eastAsia="Times New Roman" w:hAnsi="Verdana" w:cs="Times New Roman"/>
                <w:color w:val="000000"/>
                <w:sz w:val="22"/>
                <w:szCs w:val="22"/>
              </w:rPr>
              <w:t>labour</w:t>
            </w:r>
            <w:proofErr w:type="spellEnd"/>
            <w:r w:rsidRPr="00D47073">
              <w:rPr>
                <w:rFonts w:ascii="Verdana" w:eastAsia="Times New Roman" w:hAnsi="Verdana" w:cs="Times New Roman"/>
                <w:color w:val="000000"/>
                <w:sz w:val="22"/>
                <w:szCs w:val="22"/>
              </w:rPr>
              <w:t>, sex and age</w:t>
            </w:r>
          </w:p>
        </w:tc>
        <w:tc>
          <w:tcPr>
            <w:tcW w:w="1480" w:type="dxa"/>
            <w:tcBorders>
              <w:top w:val="nil"/>
              <w:left w:val="nil"/>
              <w:bottom w:val="nil"/>
              <w:right w:val="nil"/>
            </w:tcBorders>
            <w:shd w:val="clear" w:color="auto" w:fill="auto"/>
            <w:noWrap/>
            <w:vAlign w:val="bottom"/>
            <w:hideMark/>
          </w:tcPr>
          <w:p w14:paraId="1EB451FB" w14:textId="77777777" w:rsidR="00037AF4" w:rsidRPr="00D47073" w:rsidRDefault="00037AF4" w:rsidP="00D47073">
            <w:pPr>
              <w:jc w:val="both"/>
              <w:rPr>
                <w:rFonts w:ascii="Verdana" w:eastAsia="Times New Roman" w:hAnsi="Verdana" w:cs="Times New Roman"/>
                <w:color w:val="000000"/>
                <w:sz w:val="22"/>
                <w:szCs w:val="22"/>
              </w:rPr>
            </w:pPr>
            <w:r w:rsidRPr="00D47073">
              <w:rPr>
                <w:rFonts w:ascii="Verdana" w:eastAsia="Times New Roman" w:hAnsi="Verdana" w:cs="Times New Roman"/>
                <w:color w:val="000000"/>
                <w:sz w:val="22"/>
                <w:szCs w:val="22"/>
              </w:rPr>
              <w:t>5</w:t>
            </w:r>
          </w:p>
        </w:tc>
      </w:tr>
    </w:tbl>
    <w:p w14:paraId="237C16B8" w14:textId="77777777" w:rsidR="0086561C" w:rsidRPr="00D47073" w:rsidRDefault="0086561C" w:rsidP="00D47073">
      <w:pPr>
        <w:jc w:val="both"/>
        <w:rPr>
          <w:rFonts w:ascii="Verdana" w:hAnsi="Verdana"/>
          <w:sz w:val="22"/>
          <w:szCs w:val="22"/>
        </w:rPr>
      </w:pPr>
    </w:p>
    <w:sectPr w:rsidR="0086561C" w:rsidRPr="00D47073" w:rsidSect="00DD4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03CE"/>
    <w:multiLevelType w:val="hybridMultilevel"/>
    <w:tmpl w:val="5082E284"/>
    <w:lvl w:ilvl="0" w:tplc="91D28914">
      <w:start w:val="1"/>
      <w:numFmt w:val="bullet"/>
      <w:lvlText w:val="•"/>
      <w:lvlJc w:val="left"/>
      <w:pPr>
        <w:tabs>
          <w:tab w:val="num" w:pos="720"/>
        </w:tabs>
        <w:ind w:left="720" w:hanging="360"/>
      </w:pPr>
      <w:rPr>
        <w:rFonts w:ascii="Arial" w:hAnsi="Arial" w:hint="default"/>
      </w:rPr>
    </w:lvl>
    <w:lvl w:ilvl="1" w:tplc="282C7982">
      <w:numFmt w:val="bullet"/>
      <w:lvlText w:val="•"/>
      <w:lvlJc w:val="left"/>
      <w:pPr>
        <w:tabs>
          <w:tab w:val="num" w:pos="1440"/>
        </w:tabs>
        <w:ind w:left="1440" w:hanging="360"/>
      </w:pPr>
      <w:rPr>
        <w:rFonts w:ascii="Arial" w:hAnsi="Arial" w:hint="default"/>
      </w:rPr>
    </w:lvl>
    <w:lvl w:ilvl="2" w:tplc="14101808" w:tentative="1">
      <w:start w:val="1"/>
      <w:numFmt w:val="bullet"/>
      <w:lvlText w:val="•"/>
      <w:lvlJc w:val="left"/>
      <w:pPr>
        <w:tabs>
          <w:tab w:val="num" w:pos="2160"/>
        </w:tabs>
        <w:ind w:left="2160" w:hanging="360"/>
      </w:pPr>
      <w:rPr>
        <w:rFonts w:ascii="Arial" w:hAnsi="Arial" w:hint="default"/>
      </w:rPr>
    </w:lvl>
    <w:lvl w:ilvl="3" w:tplc="65AE59B8" w:tentative="1">
      <w:start w:val="1"/>
      <w:numFmt w:val="bullet"/>
      <w:lvlText w:val="•"/>
      <w:lvlJc w:val="left"/>
      <w:pPr>
        <w:tabs>
          <w:tab w:val="num" w:pos="2880"/>
        </w:tabs>
        <w:ind w:left="2880" w:hanging="360"/>
      </w:pPr>
      <w:rPr>
        <w:rFonts w:ascii="Arial" w:hAnsi="Arial" w:hint="default"/>
      </w:rPr>
    </w:lvl>
    <w:lvl w:ilvl="4" w:tplc="4B6CC98A" w:tentative="1">
      <w:start w:val="1"/>
      <w:numFmt w:val="bullet"/>
      <w:lvlText w:val="•"/>
      <w:lvlJc w:val="left"/>
      <w:pPr>
        <w:tabs>
          <w:tab w:val="num" w:pos="3600"/>
        </w:tabs>
        <w:ind w:left="3600" w:hanging="360"/>
      </w:pPr>
      <w:rPr>
        <w:rFonts w:ascii="Arial" w:hAnsi="Arial" w:hint="default"/>
      </w:rPr>
    </w:lvl>
    <w:lvl w:ilvl="5" w:tplc="40160C76" w:tentative="1">
      <w:start w:val="1"/>
      <w:numFmt w:val="bullet"/>
      <w:lvlText w:val="•"/>
      <w:lvlJc w:val="left"/>
      <w:pPr>
        <w:tabs>
          <w:tab w:val="num" w:pos="4320"/>
        </w:tabs>
        <w:ind w:left="4320" w:hanging="360"/>
      </w:pPr>
      <w:rPr>
        <w:rFonts w:ascii="Arial" w:hAnsi="Arial" w:hint="default"/>
      </w:rPr>
    </w:lvl>
    <w:lvl w:ilvl="6" w:tplc="4E64C6AE" w:tentative="1">
      <w:start w:val="1"/>
      <w:numFmt w:val="bullet"/>
      <w:lvlText w:val="•"/>
      <w:lvlJc w:val="left"/>
      <w:pPr>
        <w:tabs>
          <w:tab w:val="num" w:pos="5040"/>
        </w:tabs>
        <w:ind w:left="5040" w:hanging="360"/>
      </w:pPr>
      <w:rPr>
        <w:rFonts w:ascii="Arial" w:hAnsi="Arial" w:hint="default"/>
      </w:rPr>
    </w:lvl>
    <w:lvl w:ilvl="7" w:tplc="76CAC90A" w:tentative="1">
      <w:start w:val="1"/>
      <w:numFmt w:val="bullet"/>
      <w:lvlText w:val="•"/>
      <w:lvlJc w:val="left"/>
      <w:pPr>
        <w:tabs>
          <w:tab w:val="num" w:pos="5760"/>
        </w:tabs>
        <w:ind w:left="5760" w:hanging="360"/>
      </w:pPr>
      <w:rPr>
        <w:rFonts w:ascii="Arial" w:hAnsi="Arial" w:hint="default"/>
      </w:rPr>
    </w:lvl>
    <w:lvl w:ilvl="8" w:tplc="08B66D8C" w:tentative="1">
      <w:start w:val="1"/>
      <w:numFmt w:val="bullet"/>
      <w:lvlText w:val="•"/>
      <w:lvlJc w:val="left"/>
      <w:pPr>
        <w:tabs>
          <w:tab w:val="num" w:pos="6480"/>
        </w:tabs>
        <w:ind w:left="6480" w:hanging="360"/>
      </w:pPr>
      <w:rPr>
        <w:rFonts w:ascii="Arial" w:hAnsi="Arial" w:hint="default"/>
      </w:rPr>
    </w:lvl>
  </w:abstractNum>
  <w:abstractNum w:abstractNumId="1">
    <w:nsid w:val="11145497"/>
    <w:multiLevelType w:val="hybridMultilevel"/>
    <w:tmpl w:val="F91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7025E"/>
    <w:multiLevelType w:val="hybridMultilevel"/>
    <w:tmpl w:val="F65A644A"/>
    <w:lvl w:ilvl="0" w:tplc="F0AC7552">
      <w:start w:val="1"/>
      <w:numFmt w:val="bullet"/>
      <w:lvlText w:val="•"/>
      <w:lvlJc w:val="left"/>
      <w:pPr>
        <w:tabs>
          <w:tab w:val="num" w:pos="720"/>
        </w:tabs>
        <w:ind w:left="720" w:hanging="360"/>
      </w:pPr>
      <w:rPr>
        <w:rFonts w:ascii="Arial" w:hAnsi="Arial" w:hint="default"/>
      </w:rPr>
    </w:lvl>
    <w:lvl w:ilvl="1" w:tplc="4022CBC6" w:tentative="1">
      <w:start w:val="1"/>
      <w:numFmt w:val="bullet"/>
      <w:lvlText w:val="•"/>
      <w:lvlJc w:val="left"/>
      <w:pPr>
        <w:tabs>
          <w:tab w:val="num" w:pos="1440"/>
        </w:tabs>
        <w:ind w:left="1440" w:hanging="360"/>
      </w:pPr>
      <w:rPr>
        <w:rFonts w:ascii="Arial" w:hAnsi="Arial" w:hint="default"/>
      </w:rPr>
    </w:lvl>
    <w:lvl w:ilvl="2" w:tplc="DE8058AE" w:tentative="1">
      <w:start w:val="1"/>
      <w:numFmt w:val="bullet"/>
      <w:lvlText w:val="•"/>
      <w:lvlJc w:val="left"/>
      <w:pPr>
        <w:tabs>
          <w:tab w:val="num" w:pos="2160"/>
        </w:tabs>
        <w:ind w:left="2160" w:hanging="360"/>
      </w:pPr>
      <w:rPr>
        <w:rFonts w:ascii="Arial" w:hAnsi="Arial" w:hint="default"/>
      </w:rPr>
    </w:lvl>
    <w:lvl w:ilvl="3" w:tplc="8C203A60" w:tentative="1">
      <w:start w:val="1"/>
      <w:numFmt w:val="bullet"/>
      <w:lvlText w:val="•"/>
      <w:lvlJc w:val="left"/>
      <w:pPr>
        <w:tabs>
          <w:tab w:val="num" w:pos="2880"/>
        </w:tabs>
        <w:ind w:left="2880" w:hanging="360"/>
      </w:pPr>
      <w:rPr>
        <w:rFonts w:ascii="Arial" w:hAnsi="Arial" w:hint="default"/>
      </w:rPr>
    </w:lvl>
    <w:lvl w:ilvl="4" w:tplc="C978815E" w:tentative="1">
      <w:start w:val="1"/>
      <w:numFmt w:val="bullet"/>
      <w:lvlText w:val="•"/>
      <w:lvlJc w:val="left"/>
      <w:pPr>
        <w:tabs>
          <w:tab w:val="num" w:pos="3600"/>
        </w:tabs>
        <w:ind w:left="3600" w:hanging="360"/>
      </w:pPr>
      <w:rPr>
        <w:rFonts w:ascii="Arial" w:hAnsi="Arial" w:hint="default"/>
      </w:rPr>
    </w:lvl>
    <w:lvl w:ilvl="5" w:tplc="7F6CD3FA" w:tentative="1">
      <w:start w:val="1"/>
      <w:numFmt w:val="bullet"/>
      <w:lvlText w:val="•"/>
      <w:lvlJc w:val="left"/>
      <w:pPr>
        <w:tabs>
          <w:tab w:val="num" w:pos="4320"/>
        </w:tabs>
        <w:ind w:left="4320" w:hanging="360"/>
      </w:pPr>
      <w:rPr>
        <w:rFonts w:ascii="Arial" w:hAnsi="Arial" w:hint="default"/>
      </w:rPr>
    </w:lvl>
    <w:lvl w:ilvl="6" w:tplc="D504B694" w:tentative="1">
      <w:start w:val="1"/>
      <w:numFmt w:val="bullet"/>
      <w:lvlText w:val="•"/>
      <w:lvlJc w:val="left"/>
      <w:pPr>
        <w:tabs>
          <w:tab w:val="num" w:pos="5040"/>
        </w:tabs>
        <w:ind w:left="5040" w:hanging="360"/>
      </w:pPr>
      <w:rPr>
        <w:rFonts w:ascii="Arial" w:hAnsi="Arial" w:hint="default"/>
      </w:rPr>
    </w:lvl>
    <w:lvl w:ilvl="7" w:tplc="F508D90C" w:tentative="1">
      <w:start w:val="1"/>
      <w:numFmt w:val="bullet"/>
      <w:lvlText w:val="•"/>
      <w:lvlJc w:val="left"/>
      <w:pPr>
        <w:tabs>
          <w:tab w:val="num" w:pos="5760"/>
        </w:tabs>
        <w:ind w:left="5760" w:hanging="360"/>
      </w:pPr>
      <w:rPr>
        <w:rFonts w:ascii="Arial" w:hAnsi="Arial" w:hint="default"/>
      </w:rPr>
    </w:lvl>
    <w:lvl w:ilvl="8" w:tplc="34E6BD00" w:tentative="1">
      <w:start w:val="1"/>
      <w:numFmt w:val="bullet"/>
      <w:lvlText w:val="•"/>
      <w:lvlJc w:val="left"/>
      <w:pPr>
        <w:tabs>
          <w:tab w:val="num" w:pos="6480"/>
        </w:tabs>
        <w:ind w:left="6480" w:hanging="360"/>
      </w:pPr>
      <w:rPr>
        <w:rFonts w:ascii="Arial" w:hAnsi="Arial" w:hint="default"/>
      </w:rPr>
    </w:lvl>
  </w:abstractNum>
  <w:abstractNum w:abstractNumId="3">
    <w:nsid w:val="7BA70BA4"/>
    <w:multiLevelType w:val="hybridMultilevel"/>
    <w:tmpl w:val="C8E6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83"/>
    <w:rsid w:val="00037AF4"/>
    <w:rsid w:val="000902BD"/>
    <w:rsid w:val="001227A1"/>
    <w:rsid w:val="0017329F"/>
    <w:rsid w:val="00197486"/>
    <w:rsid w:val="00283093"/>
    <w:rsid w:val="00375927"/>
    <w:rsid w:val="003B009B"/>
    <w:rsid w:val="00401D13"/>
    <w:rsid w:val="00692683"/>
    <w:rsid w:val="007077A1"/>
    <w:rsid w:val="007C6B50"/>
    <w:rsid w:val="00815186"/>
    <w:rsid w:val="008533A1"/>
    <w:rsid w:val="00862F3C"/>
    <w:rsid w:val="0086561C"/>
    <w:rsid w:val="0096130A"/>
    <w:rsid w:val="009E6BAF"/>
    <w:rsid w:val="00A031DF"/>
    <w:rsid w:val="00A3756A"/>
    <w:rsid w:val="00A40D06"/>
    <w:rsid w:val="00A830E3"/>
    <w:rsid w:val="00BB57EC"/>
    <w:rsid w:val="00C2529B"/>
    <w:rsid w:val="00CD45DA"/>
    <w:rsid w:val="00D47073"/>
    <w:rsid w:val="00D6009C"/>
    <w:rsid w:val="00DD4A90"/>
    <w:rsid w:val="00F31638"/>
    <w:rsid w:val="00F5611B"/>
    <w:rsid w:val="00F723DC"/>
    <w:rsid w:val="00F9342C"/>
    <w:rsid w:val="00FF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B0E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320">
      <w:bodyDiv w:val="1"/>
      <w:marLeft w:val="0"/>
      <w:marRight w:val="0"/>
      <w:marTop w:val="0"/>
      <w:marBottom w:val="0"/>
      <w:divBdr>
        <w:top w:val="none" w:sz="0" w:space="0" w:color="auto"/>
        <w:left w:val="none" w:sz="0" w:space="0" w:color="auto"/>
        <w:bottom w:val="none" w:sz="0" w:space="0" w:color="auto"/>
        <w:right w:val="none" w:sz="0" w:space="0" w:color="auto"/>
      </w:divBdr>
    </w:div>
    <w:div w:id="149906090">
      <w:bodyDiv w:val="1"/>
      <w:marLeft w:val="0"/>
      <w:marRight w:val="0"/>
      <w:marTop w:val="0"/>
      <w:marBottom w:val="0"/>
      <w:divBdr>
        <w:top w:val="none" w:sz="0" w:space="0" w:color="auto"/>
        <w:left w:val="none" w:sz="0" w:space="0" w:color="auto"/>
        <w:bottom w:val="none" w:sz="0" w:space="0" w:color="auto"/>
        <w:right w:val="none" w:sz="0" w:space="0" w:color="auto"/>
      </w:divBdr>
    </w:div>
    <w:div w:id="251202395">
      <w:bodyDiv w:val="1"/>
      <w:marLeft w:val="0"/>
      <w:marRight w:val="0"/>
      <w:marTop w:val="0"/>
      <w:marBottom w:val="0"/>
      <w:divBdr>
        <w:top w:val="none" w:sz="0" w:space="0" w:color="auto"/>
        <w:left w:val="none" w:sz="0" w:space="0" w:color="auto"/>
        <w:bottom w:val="none" w:sz="0" w:space="0" w:color="auto"/>
        <w:right w:val="none" w:sz="0" w:space="0" w:color="auto"/>
      </w:divBdr>
    </w:div>
    <w:div w:id="335573483">
      <w:bodyDiv w:val="1"/>
      <w:marLeft w:val="0"/>
      <w:marRight w:val="0"/>
      <w:marTop w:val="0"/>
      <w:marBottom w:val="0"/>
      <w:divBdr>
        <w:top w:val="none" w:sz="0" w:space="0" w:color="auto"/>
        <w:left w:val="none" w:sz="0" w:space="0" w:color="auto"/>
        <w:bottom w:val="none" w:sz="0" w:space="0" w:color="auto"/>
        <w:right w:val="none" w:sz="0" w:space="0" w:color="auto"/>
      </w:divBdr>
    </w:div>
    <w:div w:id="362219467">
      <w:bodyDiv w:val="1"/>
      <w:marLeft w:val="0"/>
      <w:marRight w:val="0"/>
      <w:marTop w:val="0"/>
      <w:marBottom w:val="0"/>
      <w:divBdr>
        <w:top w:val="none" w:sz="0" w:space="0" w:color="auto"/>
        <w:left w:val="none" w:sz="0" w:space="0" w:color="auto"/>
        <w:bottom w:val="none" w:sz="0" w:space="0" w:color="auto"/>
        <w:right w:val="none" w:sz="0" w:space="0" w:color="auto"/>
      </w:divBdr>
    </w:div>
    <w:div w:id="608784374">
      <w:bodyDiv w:val="1"/>
      <w:marLeft w:val="0"/>
      <w:marRight w:val="0"/>
      <w:marTop w:val="0"/>
      <w:marBottom w:val="0"/>
      <w:divBdr>
        <w:top w:val="none" w:sz="0" w:space="0" w:color="auto"/>
        <w:left w:val="none" w:sz="0" w:space="0" w:color="auto"/>
        <w:bottom w:val="none" w:sz="0" w:space="0" w:color="auto"/>
        <w:right w:val="none" w:sz="0" w:space="0" w:color="auto"/>
      </w:divBdr>
      <w:divsChild>
        <w:div w:id="1212889431">
          <w:marLeft w:val="734"/>
          <w:marRight w:val="0"/>
          <w:marTop w:val="115"/>
          <w:marBottom w:val="0"/>
          <w:divBdr>
            <w:top w:val="none" w:sz="0" w:space="0" w:color="auto"/>
            <w:left w:val="none" w:sz="0" w:space="0" w:color="auto"/>
            <w:bottom w:val="none" w:sz="0" w:space="0" w:color="auto"/>
            <w:right w:val="none" w:sz="0" w:space="0" w:color="auto"/>
          </w:divBdr>
        </w:div>
        <w:div w:id="1474256176">
          <w:marLeft w:val="1426"/>
          <w:marRight w:val="0"/>
          <w:marTop w:val="106"/>
          <w:marBottom w:val="0"/>
          <w:divBdr>
            <w:top w:val="none" w:sz="0" w:space="0" w:color="auto"/>
            <w:left w:val="none" w:sz="0" w:space="0" w:color="auto"/>
            <w:bottom w:val="none" w:sz="0" w:space="0" w:color="auto"/>
            <w:right w:val="none" w:sz="0" w:space="0" w:color="auto"/>
          </w:divBdr>
        </w:div>
        <w:div w:id="2009793387">
          <w:marLeft w:val="734"/>
          <w:marRight w:val="0"/>
          <w:marTop w:val="115"/>
          <w:marBottom w:val="0"/>
          <w:divBdr>
            <w:top w:val="none" w:sz="0" w:space="0" w:color="auto"/>
            <w:left w:val="none" w:sz="0" w:space="0" w:color="auto"/>
            <w:bottom w:val="none" w:sz="0" w:space="0" w:color="auto"/>
            <w:right w:val="none" w:sz="0" w:space="0" w:color="auto"/>
          </w:divBdr>
        </w:div>
      </w:divsChild>
    </w:div>
    <w:div w:id="638265923">
      <w:bodyDiv w:val="1"/>
      <w:marLeft w:val="0"/>
      <w:marRight w:val="0"/>
      <w:marTop w:val="0"/>
      <w:marBottom w:val="0"/>
      <w:divBdr>
        <w:top w:val="none" w:sz="0" w:space="0" w:color="auto"/>
        <w:left w:val="none" w:sz="0" w:space="0" w:color="auto"/>
        <w:bottom w:val="none" w:sz="0" w:space="0" w:color="auto"/>
        <w:right w:val="none" w:sz="0" w:space="0" w:color="auto"/>
      </w:divBdr>
    </w:div>
    <w:div w:id="652753185">
      <w:bodyDiv w:val="1"/>
      <w:marLeft w:val="0"/>
      <w:marRight w:val="0"/>
      <w:marTop w:val="0"/>
      <w:marBottom w:val="0"/>
      <w:divBdr>
        <w:top w:val="none" w:sz="0" w:space="0" w:color="auto"/>
        <w:left w:val="none" w:sz="0" w:space="0" w:color="auto"/>
        <w:bottom w:val="none" w:sz="0" w:space="0" w:color="auto"/>
        <w:right w:val="none" w:sz="0" w:space="0" w:color="auto"/>
      </w:divBdr>
    </w:div>
    <w:div w:id="1035345104">
      <w:bodyDiv w:val="1"/>
      <w:marLeft w:val="0"/>
      <w:marRight w:val="0"/>
      <w:marTop w:val="0"/>
      <w:marBottom w:val="0"/>
      <w:divBdr>
        <w:top w:val="none" w:sz="0" w:space="0" w:color="auto"/>
        <w:left w:val="none" w:sz="0" w:space="0" w:color="auto"/>
        <w:bottom w:val="none" w:sz="0" w:space="0" w:color="auto"/>
        <w:right w:val="none" w:sz="0" w:space="0" w:color="auto"/>
      </w:divBdr>
      <w:divsChild>
        <w:div w:id="856699305">
          <w:marLeft w:val="734"/>
          <w:marRight w:val="0"/>
          <w:marTop w:val="125"/>
          <w:marBottom w:val="0"/>
          <w:divBdr>
            <w:top w:val="none" w:sz="0" w:space="0" w:color="auto"/>
            <w:left w:val="none" w:sz="0" w:space="0" w:color="auto"/>
            <w:bottom w:val="none" w:sz="0" w:space="0" w:color="auto"/>
            <w:right w:val="none" w:sz="0" w:space="0" w:color="auto"/>
          </w:divBdr>
        </w:div>
      </w:divsChild>
    </w:div>
    <w:div w:id="1049187761">
      <w:bodyDiv w:val="1"/>
      <w:marLeft w:val="0"/>
      <w:marRight w:val="0"/>
      <w:marTop w:val="0"/>
      <w:marBottom w:val="0"/>
      <w:divBdr>
        <w:top w:val="none" w:sz="0" w:space="0" w:color="auto"/>
        <w:left w:val="none" w:sz="0" w:space="0" w:color="auto"/>
        <w:bottom w:val="none" w:sz="0" w:space="0" w:color="auto"/>
        <w:right w:val="none" w:sz="0" w:space="0" w:color="auto"/>
      </w:divBdr>
    </w:div>
    <w:div w:id="1257522198">
      <w:bodyDiv w:val="1"/>
      <w:marLeft w:val="0"/>
      <w:marRight w:val="0"/>
      <w:marTop w:val="0"/>
      <w:marBottom w:val="0"/>
      <w:divBdr>
        <w:top w:val="none" w:sz="0" w:space="0" w:color="auto"/>
        <w:left w:val="none" w:sz="0" w:space="0" w:color="auto"/>
        <w:bottom w:val="none" w:sz="0" w:space="0" w:color="auto"/>
        <w:right w:val="none" w:sz="0" w:space="0" w:color="auto"/>
      </w:divBdr>
    </w:div>
    <w:div w:id="1277442484">
      <w:bodyDiv w:val="1"/>
      <w:marLeft w:val="0"/>
      <w:marRight w:val="0"/>
      <w:marTop w:val="0"/>
      <w:marBottom w:val="0"/>
      <w:divBdr>
        <w:top w:val="none" w:sz="0" w:space="0" w:color="auto"/>
        <w:left w:val="none" w:sz="0" w:space="0" w:color="auto"/>
        <w:bottom w:val="none" w:sz="0" w:space="0" w:color="auto"/>
        <w:right w:val="none" w:sz="0" w:space="0" w:color="auto"/>
      </w:divBdr>
    </w:div>
    <w:div w:id="1726952065">
      <w:bodyDiv w:val="1"/>
      <w:marLeft w:val="0"/>
      <w:marRight w:val="0"/>
      <w:marTop w:val="0"/>
      <w:marBottom w:val="0"/>
      <w:divBdr>
        <w:top w:val="none" w:sz="0" w:space="0" w:color="auto"/>
        <w:left w:val="none" w:sz="0" w:space="0" w:color="auto"/>
        <w:bottom w:val="none" w:sz="0" w:space="0" w:color="auto"/>
        <w:right w:val="none" w:sz="0" w:space="0" w:color="auto"/>
      </w:divBdr>
      <w:divsChild>
        <w:div w:id="1087505868">
          <w:marLeft w:val="734"/>
          <w:marRight w:val="0"/>
          <w:marTop w:val="96"/>
          <w:marBottom w:val="0"/>
          <w:divBdr>
            <w:top w:val="none" w:sz="0" w:space="0" w:color="auto"/>
            <w:left w:val="none" w:sz="0" w:space="0" w:color="auto"/>
            <w:bottom w:val="none" w:sz="0" w:space="0" w:color="auto"/>
            <w:right w:val="none" w:sz="0" w:space="0" w:color="auto"/>
          </w:divBdr>
        </w:div>
      </w:divsChild>
    </w:div>
    <w:div w:id="1944796309">
      <w:bodyDiv w:val="1"/>
      <w:marLeft w:val="0"/>
      <w:marRight w:val="0"/>
      <w:marTop w:val="0"/>
      <w:marBottom w:val="0"/>
      <w:divBdr>
        <w:top w:val="none" w:sz="0" w:space="0" w:color="auto"/>
        <w:left w:val="none" w:sz="0" w:space="0" w:color="auto"/>
        <w:bottom w:val="none" w:sz="0" w:space="0" w:color="auto"/>
        <w:right w:val="none" w:sz="0" w:space="0" w:color="auto"/>
      </w:divBdr>
    </w:div>
    <w:div w:id="1977296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1771</Words>
  <Characters>10101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 M. Lockwood</cp:lastModifiedBy>
  <cp:revision>2</cp:revision>
  <dcterms:created xsi:type="dcterms:W3CDTF">2016-07-12T21:53:00Z</dcterms:created>
  <dcterms:modified xsi:type="dcterms:W3CDTF">2016-07-12T21:53:00Z</dcterms:modified>
</cp:coreProperties>
</file>