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98943" w14:textId="77777777" w:rsidR="00A523CD" w:rsidRDefault="00A523CD" w:rsidP="00F654CB">
      <w:pPr>
        <w:jc w:val="center"/>
        <w:rPr>
          <w:rFonts w:cstheme="minorHAnsi"/>
          <w:sz w:val="36"/>
          <w:szCs w:val="36"/>
        </w:rPr>
      </w:pPr>
      <w:r w:rsidRPr="00A523CD">
        <w:rPr>
          <w:sz w:val="36"/>
          <w:szCs w:val="36"/>
        </w:rPr>
        <w:t>Disability Rights Monitor Report</w:t>
      </w:r>
      <w:r w:rsidR="00E01732" w:rsidRPr="00283A68">
        <w:rPr>
          <w:rFonts w:cstheme="minorHAnsi"/>
          <w:sz w:val="36"/>
          <w:szCs w:val="36"/>
        </w:rPr>
        <w:t xml:space="preserve"> Presentation </w:t>
      </w:r>
    </w:p>
    <w:p w14:paraId="4B8A78AB" w14:textId="32CDB0FC" w:rsidR="00A523CD" w:rsidRDefault="00E01732" w:rsidP="00F654CB">
      <w:pPr>
        <w:jc w:val="center"/>
        <w:rPr>
          <w:rFonts w:cstheme="minorHAnsi"/>
          <w:sz w:val="36"/>
          <w:szCs w:val="36"/>
        </w:rPr>
      </w:pPr>
      <w:r w:rsidRPr="00283A68">
        <w:rPr>
          <w:rFonts w:cstheme="minorHAnsi"/>
          <w:sz w:val="36"/>
          <w:szCs w:val="36"/>
        </w:rPr>
        <w:t>Feb</w:t>
      </w:r>
      <w:r w:rsidR="00A523CD">
        <w:rPr>
          <w:rFonts w:cstheme="minorHAnsi"/>
          <w:sz w:val="36"/>
          <w:szCs w:val="36"/>
        </w:rPr>
        <w:t>ruary</w:t>
      </w:r>
      <w:r w:rsidRPr="00283A68">
        <w:rPr>
          <w:rFonts w:cstheme="minorHAnsi"/>
          <w:sz w:val="36"/>
          <w:szCs w:val="36"/>
        </w:rPr>
        <w:t xml:space="preserve"> 24</w:t>
      </w:r>
      <w:r w:rsidR="00F654CB">
        <w:rPr>
          <w:rFonts w:cstheme="minorHAnsi"/>
          <w:sz w:val="36"/>
          <w:szCs w:val="36"/>
        </w:rPr>
        <w:t xml:space="preserve">, 2021 </w:t>
      </w:r>
    </w:p>
    <w:p w14:paraId="3423E44C" w14:textId="5613AAC0" w:rsidR="00085133" w:rsidRDefault="00F654CB" w:rsidP="00F654CB">
      <w:pPr>
        <w:jc w:val="center"/>
        <w:rPr>
          <w:rFonts w:cstheme="minorHAnsi"/>
          <w:sz w:val="36"/>
          <w:szCs w:val="36"/>
        </w:rPr>
      </w:pPr>
      <w:r>
        <w:rPr>
          <w:rFonts w:cstheme="minorHAnsi"/>
          <w:sz w:val="36"/>
          <w:szCs w:val="36"/>
        </w:rPr>
        <w:t>Stakeholder Group of Persons with Disabilities’</w:t>
      </w:r>
      <w:r w:rsidR="00E01732" w:rsidRPr="00283A68">
        <w:rPr>
          <w:rFonts w:cstheme="minorHAnsi"/>
          <w:sz w:val="36"/>
          <w:szCs w:val="36"/>
        </w:rPr>
        <w:t xml:space="preserve"> Disability Data Webinar</w:t>
      </w:r>
    </w:p>
    <w:p w14:paraId="0CC26F03" w14:textId="7C13338A" w:rsidR="008D43F8" w:rsidRDefault="008D43F8" w:rsidP="00F654CB">
      <w:pPr>
        <w:jc w:val="center"/>
        <w:rPr>
          <w:rFonts w:cstheme="minorHAnsi"/>
          <w:sz w:val="36"/>
          <w:szCs w:val="36"/>
        </w:rPr>
      </w:pPr>
      <w:r>
        <w:rPr>
          <w:rFonts w:cstheme="minorHAnsi"/>
          <w:sz w:val="36"/>
          <w:szCs w:val="36"/>
        </w:rPr>
        <w:t>Bethany Brown, the International Disability Alliance</w:t>
      </w:r>
    </w:p>
    <w:sdt>
      <w:sdtPr>
        <w:rPr>
          <w:rFonts w:asciiTheme="minorHAnsi" w:eastAsiaTheme="minorHAnsi" w:hAnsiTheme="minorHAnsi" w:cstheme="minorHAnsi"/>
          <w:color w:val="auto"/>
          <w:sz w:val="24"/>
          <w:szCs w:val="24"/>
        </w:rPr>
        <w:id w:val="-363218230"/>
        <w:docPartObj>
          <w:docPartGallery w:val="Table of Contents"/>
          <w:docPartUnique/>
        </w:docPartObj>
      </w:sdtPr>
      <w:sdtEndPr>
        <w:rPr>
          <w:b/>
          <w:bCs/>
          <w:noProof/>
        </w:rPr>
      </w:sdtEndPr>
      <w:sdtContent>
        <w:p w14:paraId="2EA676D4" w14:textId="521929A2" w:rsidR="00283A68" w:rsidRPr="00283A68" w:rsidRDefault="00283A68" w:rsidP="00283A68">
          <w:pPr>
            <w:pStyle w:val="TOCHeading"/>
            <w:rPr>
              <w:rFonts w:asciiTheme="minorHAnsi" w:hAnsiTheme="minorHAnsi" w:cstheme="minorHAnsi"/>
              <w:sz w:val="24"/>
              <w:szCs w:val="24"/>
            </w:rPr>
          </w:pPr>
          <w:r>
            <w:rPr>
              <w:rFonts w:asciiTheme="minorHAnsi" w:hAnsiTheme="minorHAnsi" w:cstheme="minorHAnsi"/>
              <w:sz w:val="24"/>
              <w:szCs w:val="24"/>
            </w:rPr>
            <w:t>Outline</w:t>
          </w:r>
        </w:p>
        <w:p w14:paraId="42867BA3" w14:textId="718CBCD1" w:rsidR="00FA3934" w:rsidRDefault="00E01732">
          <w:pPr>
            <w:pStyle w:val="TOC1"/>
            <w:tabs>
              <w:tab w:val="right" w:leader="dot" w:pos="9350"/>
            </w:tabs>
            <w:rPr>
              <w:rFonts w:eastAsiaTheme="minorEastAsia"/>
              <w:noProof/>
            </w:rPr>
          </w:pPr>
          <w:r w:rsidRPr="00283A68">
            <w:rPr>
              <w:rFonts w:cstheme="minorHAnsi"/>
              <w:sz w:val="24"/>
              <w:szCs w:val="24"/>
            </w:rPr>
            <w:fldChar w:fldCharType="begin"/>
          </w:r>
          <w:r w:rsidRPr="00283A68">
            <w:rPr>
              <w:rFonts w:cstheme="minorHAnsi"/>
              <w:sz w:val="24"/>
              <w:szCs w:val="24"/>
            </w:rPr>
            <w:instrText xml:space="preserve"> TOC \o "1-3" \h \z \u </w:instrText>
          </w:r>
          <w:r w:rsidRPr="00283A68">
            <w:rPr>
              <w:rFonts w:cstheme="minorHAnsi"/>
              <w:sz w:val="24"/>
              <w:szCs w:val="24"/>
            </w:rPr>
            <w:fldChar w:fldCharType="separate"/>
          </w:r>
          <w:hyperlink w:anchor="_Toc65063848" w:history="1">
            <w:r w:rsidR="00FA3934" w:rsidRPr="00650955">
              <w:rPr>
                <w:rStyle w:val="Hyperlink"/>
                <w:rFonts w:cstheme="minorHAnsi"/>
                <w:noProof/>
              </w:rPr>
              <w:t>Overview of Importance of Report</w:t>
            </w:r>
            <w:r w:rsidR="00FA3934">
              <w:rPr>
                <w:noProof/>
                <w:webHidden/>
              </w:rPr>
              <w:tab/>
            </w:r>
            <w:r w:rsidR="00FA3934">
              <w:rPr>
                <w:noProof/>
                <w:webHidden/>
              </w:rPr>
              <w:fldChar w:fldCharType="begin"/>
            </w:r>
            <w:r w:rsidR="00FA3934">
              <w:rPr>
                <w:noProof/>
                <w:webHidden/>
              </w:rPr>
              <w:instrText xml:space="preserve"> PAGEREF _Toc65063848 \h </w:instrText>
            </w:r>
            <w:r w:rsidR="00FA3934">
              <w:rPr>
                <w:noProof/>
                <w:webHidden/>
              </w:rPr>
            </w:r>
            <w:r w:rsidR="00FA3934">
              <w:rPr>
                <w:noProof/>
                <w:webHidden/>
              </w:rPr>
              <w:fldChar w:fldCharType="separate"/>
            </w:r>
            <w:r w:rsidR="00FA3934">
              <w:rPr>
                <w:noProof/>
                <w:webHidden/>
              </w:rPr>
              <w:t>2</w:t>
            </w:r>
            <w:r w:rsidR="00FA3934">
              <w:rPr>
                <w:noProof/>
                <w:webHidden/>
              </w:rPr>
              <w:fldChar w:fldCharType="end"/>
            </w:r>
          </w:hyperlink>
        </w:p>
        <w:p w14:paraId="3C42044A" w14:textId="3E90128B" w:rsidR="00FA3934" w:rsidRDefault="00845ACC">
          <w:pPr>
            <w:pStyle w:val="TOC1"/>
            <w:tabs>
              <w:tab w:val="right" w:leader="dot" w:pos="9350"/>
            </w:tabs>
            <w:rPr>
              <w:rFonts w:eastAsiaTheme="minorEastAsia"/>
              <w:noProof/>
            </w:rPr>
          </w:pPr>
          <w:hyperlink w:anchor="_Toc65063849" w:history="1">
            <w:r w:rsidR="00FA3934" w:rsidRPr="00650955">
              <w:rPr>
                <w:rStyle w:val="Hyperlink"/>
                <w:rFonts w:cstheme="minorHAnsi"/>
                <w:noProof/>
              </w:rPr>
              <w:t>Explanation of Methodology</w:t>
            </w:r>
            <w:r w:rsidR="00FA3934">
              <w:rPr>
                <w:noProof/>
                <w:webHidden/>
              </w:rPr>
              <w:tab/>
            </w:r>
            <w:r w:rsidR="00FA3934">
              <w:rPr>
                <w:noProof/>
                <w:webHidden/>
              </w:rPr>
              <w:fldChar w:fldCharType="begin"/>
            </w:r>
            <w:r w:rsidR="00FA3934">
              <w:rPr>
                <w:noProof/>
                <w:webHidden/>
              </w:rPr>
              <w:instrText xml:space="preserve"> PAGEREF _Toc65063849 \h </w:instrText>
            </w:r>
            <w:r w:rsidR="00FA3934">
              <w:rPr>
                <w:noProof/>
                <w:webHidden/>
              </w:rPr>
            </w:r>
            <w:r w:rsidR="00FA3934">
              <w:rPr>
                <w:noProof/>
                <w:webHidden/>
              </w:rPr>
              <w:fldChar w:fldCharType="separate"/>
            </w:r>
            <w:r w:rsidR="00FA3934">
              <w:rPr>
                <w:noProof/>
                <w:webHidden/>
              </w:rPr>
              <w:t>2</w:t>
            </w:r>
            <w:r w:rsidR="00FA3934">
              <w:rPr>
                <w:noProof/>
                <w:webHidden/>
              </w:rPr>
              <w:fldChar w:fldCharType="end"/>
            </w:r>
          </w:hyperlink>
        </w:p>
        <w:p w14:paraId="4BAB702F" w14:textId="09D48437" w:rsidR="00FA3934" w:rsidRDefault="00845ACC">
          <w:pPr>
            <w:pStyle w:val="TOC1"/>
            <w:tabs>
              <w:tab w:val="right" w:leader="dot" w:pos="9350"/>
            </w:tabs>
            <w:rPr>
              <w:rFonts w:eastAsiaTheme="minorEastAsia"/>
              <w:noProof/>
            </w:rPr>
          </w:pPr>
          <w:hyperlink w:anchor="_Toc65063850" w:history="1">
            <w:r w:rsidR="00FA3934" w:rsidRPr="00650955">
              <w:rPr>
                <w:rStyle w:val="Hyperlink"/>
                <w:rFonts w:cstheme="minorHAnsi"/>
                <w:noProof/>
              </w:rPr>
              <w:t>Further Detail of Some Findings</w:t>
            </w:r>
            <w:r w:rsidR="00FA3934">
              <w:rPr>
                <w:noProof/>
                <w:webHidden/>
              </w:rPr>
              <w:tab/>
            </w:r>
            <w:r w:rsidR="00FA3934">
              <w:rPr>
                <w:noProof/>
                <w:webHidden/>
              </w:rPr>
              <w:fldChar w:fldCharType="begin"/>
            </w:r>
            <w:r w:rsidR="00FA3934">
              <w:rPr>
                <w:noProof/>
                <w:webHidden/>
              </w:rPr>
              <w:instrText xml:space="preserve"> PAGEREF _Toc65063850 \h </w:instrText>
            </w:r>
            <w:r w:rsidR="00FA3934">
              <w:rPr>
                <w:noProof/>
                <w:webHidden/>
              </w:rPr>
            </w:r>
            <w:r w:rsidR="00FA3934">
              <w:rPr>
                <w:noProof/>
                <w:webHidden/>
              </w:rPr>
              <w:fldChar w:fldCharType="separate"/>
            </w:r>
            <w:r w:rsidR="00FA3934">
              <w:rPr>
                <w:noProof/>
                <w:webHidden/>
              </w:rPr>
              <w:t>2</w:t>
            </w:r>
            <w:r w:rsidR="00FA3934">
              <w:rPr>
                <w:noProof/>
                <w:webHidden/>
              </w:rPr>
              <w:fldChar w:fldCharType="end"/>
            </w:r>
          </w:hyperlink>
        </w:p>
        <w:p w14:paraId="0AFBAB18" w14:textId="65DF480B" w:rsidR="00FA3934" w:rsidRDefault="00845ACC">
          <w:pPr>
            <w:pStyle w:val="TOC2"/>
            <w:tabs>
              <w:tab w:val="right" w:leader="dot" w:pos="9350"/>
            </w:tabs>
            <w:rPr>
              <w:rFonts w:eastAsiaTheme="minorEastAsia"/>
              <w:noProof/>
            </w:rPr>
          </w:pPr>
          <w:hyperlink w:anchor="_Toc65063851" w:history="1">
            <w:r w:rsidR="00FA3934" w:rsidRPr="00650955">
              <w:rPr>
                <w:rStyle w:val="Hyperlink"/>
                <w:rFonts w:cstheme="minorHAnsi"/>
                <w:noProof/>
              </w:rPr>
              <w:t>Deinstitutionalization:</w:t>
            </w:r>
            <w:r w:rsidR="00FA3934">
              <w:rPr>
                <w:noProof/>
                <w:webHidden/>
              </w:rPr>
              <w:tab/>
            </w:r>
            <w:r w:rsidR="00FA3934">
              <w:rPr>
                <w:noProof/>
                <w:webHidden/>
              </w:rPr>
              <w:fldChar w:fldCharType="begin"/>
            </w:r>
            <w:r w:rsidR="00FA3934">
              <w:rPr>
                <w:noProof/>
                <w:webHidden/>
              </w:rPr>
              <w:instrText xml:space="preserve"> PAGEREF _Toc65063851 \h </w:instrText>
            </w:r>
            <w:r w:rsidR="00FA3934">
              <w:rPr>
                <w:noProof/>
                <w:webHidden/>
              </w:rPr>
            </w:r>
            <w:r w:rsidR="00FA3934">
              <w:rPr>
                <w:noProof/>
                <w:webHidden/>
              </w:rPr>
              <w:fldChar w:fldCharType="separate"/>
            </w:r>
            <w:r w:rsidR="00FA3934">
              <w:rPr>
                <w:noProof/>
                <w:webHidden/>
              </w:rPr>
              <w:t>2</w:t>
            </w:r>
            <w:r w:rsidR="00FA3934">
              <w:rPr>
                <w:noProof/>
                <w:webHidden/>
              </w:rPr>
              <w:fldChar w:fldCharType="end"/>
            </w:r>
          </w:hyperlink>
        </w:p>
        <w:p w14:paraId="73DF8065" w14:textId="197E632F" w:rsidR="00FA3934" w:rsidRDefault="00845ACC">
          <w:pPr>
            <w:pStyle w:val="TOC3"/>
            <w:tabs>
              <w:tab w:val="right" w:leader="dot" w:pos="9350"/>
            </w:tabs>
            <w:rPr>
              <w:rFonts w:eastAsiaTheme="minorEastAsia"/>
              <w:noProof/>
            </w:rPr>
          </w:pPr>
          <w:hyperlink w:anchor="_Toc65063852" w:history="1">
            <w:r w:rsidR="00FA3934" w:rsidRPr="00650955">
              <w:rPr>
                <w:rStyle w:val="Hyperlink"/>
                <w:noProof/>
              </w:rPr>
              <w:t>Older persons with disabilities in institutions</w:t>
            </w:r>
            <w:r w:rsidR="00FA3934">
              <w:rPr>
                <w:noProof/>
                <w:webHidden/>
              </w:rPr>
              <w:tab/>
            </w:r>
            <w:r w:rsidR="00FA3934">
              <w:rPr>
                <w:noProof/>
                <w:webHidden/>
              </w:rPr>
              <w:fldChar w:fldCharType="begin"/>
            </w:r>
            <w:r w:rsidR="00FA3934">
              <w:rPr>
                <w:noProof/>
                <w:webHidden/>
              </w:rPr>
              <w:instrText xml:space="preserve"> PAGEREF _Toc65063852 \h </w:instrText>
            </w:r>
            <w:r w:rsidR="00FA3934">
              <w:rPr>
                <w:noProof/>
                <w:webHidden/>
              </w:rPr>
            </w:r>
            <w:r w:rsidR="00FA3934">
              <w:rPr>
                <w:noProof/>
                <w:webHidden/>
              </w:rPr>
              <w:fldChar w:fldCharType="separate"/>
            </w:r>
            <w:r w:rsidR="00FA3934">
              <w:rPr>
                <w:noProof/>
                <w:webHidden/>
              </w:rPr>
              <w:t>3</w:t>
            </w:r>
            <w:r w:rsidR="00FA3934">
              <w:rPr>
                <w:noProof/>
                <w:webHidden/>
              </w:rPr>
              <w:fldChar w:fldCharType="end"/>
            </w:r>
          </w:hyperlink>
        </w:p>
        <w:p w14:paraId="604DAA3C" w14:textId="73EED51E" w:rsidR="00FA3934" w:rsidRDefault="00845ACC">
          <w:pPr>
            <w:pStyle w:val="TOC3"/>
            <w:tabs>
              <w:tab w:val="right" w:leader="dot" w:pos="9350"/>
            </w:tabs>
            <w:rPr>
              <w:rFonts w:eastAsiaTheme="minorEastAsia"/>
              <w:noProof/>
            </w:rPr>
          </w:pPr>
          <w:hyperlink w:anchor="_Toc65063853" w:history="1">
            <w:r w:rsidR="00FA3934" w:rsidRPr="00650955">
              <w:rPr>
                <w:rStyle w:val="Hyperlink"/>
                <w:noProof/>
              </w:rPr>
              <w:t>Restrictions on right to privacy, deprivation of liberty, impacting right to health:</w:t>
            </w:r>
            <w:r w:rsidR="00FA3934">
              <w:rPr>
                <w:noProof/>
                <w:webHidden/>
              </w:rPr>
              <w:tab/>
            </w:r>
            <w:r w:rsidR="00FA3934">
              <w:rPr>
                <w:noProof/>
                <w:webHidden/>
              </w:rPr>
              <w:fldChar w:fldCharType="begin"/>
            </w:r>
            <w:r w:rsidR="00FA3934">
              <w:rPr>
                <w:noProof/>
                <w:webHidden/>
              </w:rPr>
              <w:instrText xml:space="preserve"> PAGEREF _Toc65063853 \h </w:instrText>
            </w:r>
            <w:r w:rsidR="00FA3934">
              <w:rPr>
                <w:noProof/>
                <w:webHidden/>
              </w:rPr>
            </w:r>
            <w:r w:rsidR="00FA3934">
              <w:rPr>
                <w:noProof/>
                <w:webHidden/>
              </w:rPr>
              <w:fldChar w:fldCharType="separate"/>
            </w:r>
            <w:r w:rsidR="00FA3934">
              <w:rPr>
                <w:noProof/>
                <w:webHidden/>
              </w:rPr>
              <w:t>3</w:t>
            </w:r>
            <w:r w:rsidR="00FA3934">
              <w:rPr>
                <w:noProof/>
                <w:webHidden/>
              </w:rPr>
              <w:fldChar w:fldCharType="end"/>
            </w:r>
          </w:hyperlink>
        </w:p>
        <w:p w14:paraId="1E88B044" w14:textId="65E87ACE" w:rsidR="00FA3934" w:rsidRDefault="00845ACC">
          <w:pPr>
            <w:pStyle w:val="TOC2"/>
            <w:tabs>
              <w:tab w:val="right" w:leader="dot" w:pos="9350"/>
            </w:tabs>
            <w:rPr>
              <w:rFonts w:eastAsiaTheme="minorEastAsia"/>
              <w:noProof/>
            </w:rPr>
          </w:pPr>
          <w:hyperlink w:anchor="_Toc65063854" w:history="1">
            <w:r w:rsidR="00FA3934" w:rsidRPr="00650955">
              <w:rPr>
                <w:rStyle w:val="Hyperlink"/>
                <w:rFonts w:cstheme="minorHAnsi"/>
                <w:noProof/>
              </w:rPr>
              <w:t>Breakdown of community supports</w:t>
            </w:r>
            <w:r w:rsidR="00FA3934">
              <w:rPr>
                <w:noProof/>
                <w:webHidden/>
              </w:rPr>
              <w:tab/>
            </w:r>
            <w:r w:rsidR="00FA3934">
              <w:rPr>
                <w:noProof/>
                <w:webHidden/>
              </w:rPr>
              <w:fldChar w:fldCharType="begin"/>
            </w:r>
            <w:r w:rsidR="00FA3934">
              <w:rPr>
                <w:noProof/>
                <w:webHidden/>
              </w:rPr>
              <w:instrText xml:space="preserve"> PAGEREF _Toc65063854 \h </w:instrText>
            </w:r>
            <w:r w:rsidR="00FA3934">
              <w:rPr>
                <w:noProof/>
                <w:webHidden/>
              </w:rPr>
            </w:r>
            <w:r w:rsidR="00FA3934">
              <w:rPr>
                <w:noProof/>
                <w:webHidden/>
              </w:rPr>
              <w:fldChar w:fldCharType="separate"/>
            </w:r>
            <w:r w:rsidR="00FA3934">
              <w:rPr>
                <w:noProof/>
                <w:webHidden/>
              </w:rPr>
              <w:t>3</w:t>
            </w:r>
            <w:r w:rsidR="00FA3934">
              <w:rPr>
                <w:noProof/>
                <w:webHidden/>
              </w:rPr>
              <w:fldChar w:fldCharType="end"/>
            </w:r>
          </w:hyperlink>
        </w:p>
        <w:p w14:paraId="7CDEECD4" w14:textId="75D8720D" w:rsidR="00FA3934" w:rsidRDefault="00845ACC">
          <w:pPr>
            <w:pStyle w:val="TOC3"/>
            <w:tabs>
              <w:tab w:val="right" w:leader="dot" w:pos="9350"/>
            </w:tabs>
            <w:rPr>
              <w:rFonts w:eastAsiaTheme="minorEastAsia"/>
              <w:noProof/>
            </w:rPr>
          </w:pPr>
          <w:hyperlink w:anchor="_Toc65063855" w:history="1">
            <w:r w:rsidR="00FA3934" w:rsidRPr="00650955">
              <w:rPr>
                <w:rStyle w:val="Hyperlink"/>
                <w:noProof/>
              </w:rPr>
              <w:t>Access to information</w:t>
            </w:r>
            <w:r w:rsidR="00FA3934">
              <w:rPr>
                <w:noProof/>
                <w:webHidden/>
              </w:rPr>
              <w:tab/>
            </w:r>
            <w:r w:rsidR="00FA3934">
              <w:rPr>
                <w:noProof/>
                <w:webHidden/>
              </w:rPr>
              <w:fldChar w:fldCharType="begin"/>
            </w:r>
            <w:r w:rsidR="00FA3934">
              <w:rPr>
                <w:noProof/>
                <w:webHidden/>
              </w:rPr>
              <w:instrText xml:space="preserve"> PAGEREF _Toc65063855 \h </w:instrText>
            </w:r>
            <w:r w:rsidR="00FA3934">
              <w:rPr>
                <w:noProof/>
                <w:webHidden/>
              </w:rPr>
            </w:r>
            <w:r w:rsidR="00FA3934">
              <w:rPr>
                <w:noProof/>
                <w:webHidden/>
              </w:rPr>
              <w:fldChar w:fldCharType="separate"/>
            </w:r>
            <w:r w:rsidR="00FA3934">
              <w:rPr>
                <w:noProof/>
                <w:webHidden/>
              </w:rPr>
              <w:t>3</w:t>
            </w:r>
            <w:r w:rsidR="00FA3934">
              <w:rPr>
                <w:noProof/>
                <w:webHidden/>
              </w:rPr>
              <w:fldChar w:fldCharType="end"/>
            </w:r>
          </w:hyperlink>
        </w:p>
        <w:p w14:paraId="0F306FD6" w14:textId="092D47C1" w:rsidR="00FA3934" w:rsidRDefault="00845ACC">
          <w:pPr>
            <w:pStyle w:val="TOC2"/>
            <w:tabs>
              <w:tab w:val="right" w:leader="dot" w:pos="9350"/>
            </w:tabs>
            <w:rPr>
              <w:rFonts w:eastAsiaTheme="minorEastAsia"/>
              <w:noProof/>
            </w:rPr>
          </w:pPr>
          <w:hyperlink w:anchor="_Toc65063856" w:history="1">
            <w:r w:rsidR="00FA3934" w:rsidRPr="00650955">
              <w:rPr>
                <w:rStyle w:val="Hyperlink"/>
                <w:rFonts w:cstheme="minorHAnsi"/>
                <w:noProof/>
              </w:rPr>
              <w:t>Access to food</w:t>
            </w:r>
            <w:r w:rsidR="00FA3934">
              <w:rPr>
                <w:noProof/>
                <w:webHidden/>
              </w:rPr>
              <w:tab/>
            </w:r>
            <w:r w:rsidR="00FA3934">
              <w:rPr>
                <w:noProof/>
                <w:webHidden/>
              </w:rPr>
              <w:fldChar w:fldCharType="begin"/>
            </w:r>
            <w:r w:rsidR="00FA3934">
              <w:rPr>
                <w:noProof/>
                <w:webHidden/>
              </w:rPr>
              <w:instrText xml:space="preserve"> PAGEREF _Toc65063856 \h </w:instrText>
            </w:r>
            <w:r w:rsidR="00FA3934">
              <w:rPr>
                <w:noProof/>
                <w:webHidden/>
              </w:rPr>
            </w:r>
            <w:r w:rsidR="00FA3934">
              <w:rPr>
                <w:noProof/>
                <w:webHidden/>
              </w:rPr>
              <w:fldChar w:fldCharType="separate"/>
            </w:r>
            <w:r w:rsidR="00FA3934">
              <w:rPr>
                <w:noProof/>
                <w:webHidden/>
              </w:rPr>
              <w:t>3</w:t>
            </w:r>
            <w:r w:rsidR="00FA3934">
              <w:rPr>
                <w:noProof/>
                <w:webHidden/>
              </w:rPr>
              <w:fldChar w:fldCharType="end"/>
            </w:r>
          </w:hyperlink>
        </w:p>
        <w:p w14:paraId="503F3118" w14:textId="5EE321AE" w:rsidR="00FA3934" w:rsidRDefault="00845ACC">
          <w:pPr>
            <w:pStyle w:val="TOC2"/>
            <w:tabs>
              <w:tab w:val="right" w:leader="dot" w:pos="9350"/>
            </w:tabs>
            <w:rPr>
              <w:rFonts w:eastAsiaTheme="minorEastAsia"/>
              <w:noProof/>
            </w:rPr>
          </w:pPr>
          <w:hyperlink w:anchor="_Toc65063857" w:history="1">
            <w:r w:rsidR="00FA3934" w:rsidRPr="00650955">
              <w:rPr>
                <w:rStyle w:val="Hyperlink"/>
                <w:rFonts w:cstheme="minorHAnsi"/>
                <w:noProof/>
              </w:rPr>
              <w:t>Police harassment</w:t>
            </w:r>
            <w:r w:rsidR="00FA3934">
              <w:rPr>
                <w:noProof/>
                <w:webHidden/>
              </w:rPr>
              <w:tab/>
            </w:r>
            <w:r w:rsidR="00FA3934">
              <w:rPr>
                <w:noProof/>
                <w:webHidden/>
              </w:rPr>
              <w:fldChar w:fldCharType="begin"/>
            </w:r>
            <w:r w:rsidR="00FA3934">
              <w:rPr>
                <w:noProof/>
                <w:webHidden/>
              </w:rPr>
              <w:instrText xml:space="preserve"> PAGEREF _Toc65063857 \h </w:instrText>
            </w:r>
            <w:r w:rsidR="00FA3934">
              <w:rPr>
                <w:noProof/>
                <w:webHidden/>
              </w:rPr>
            </w:r>
            <w:r w:rsidR="00FA3934">
              <w:rPr>
                <w:noProof/>
                <w:webHidden/>
              </w:rPr>
              <w:fldChar w:fldCharType="separate"/>
            </w:r>
            <w:r w:rsidR="00FA3934">
              <w:rPr>
                <w:noProof/>
                <w:webHidden/>
              </w:rPr>
              <w:t>4</w:t>
            </w:r>
            <w:r w:rsidR="00FA3934">
              <w:rPr>
                <w:noProof/>
                <w:webHidden/>
              </w:rPr>
              <w:fldChar w:fldCharType="end"/>
            </w:r>
          </w:hyperlink>
        </w:p>
        <w:p w14:paraId="234B4315" w14:textId="373C7729" w:rsidR="00FA3934" w:rsidRDefault="00845ACC">
          <w:pPr>
            <w:pStyle w:val="TOC2"/>
            <w:tabs>
              <w:tab w:val="right" w:leader="dot" w:pos="9350"/>
            </w:tabs>
            <w:rPr>
              <w:rFonts w:eastAsiaTheme="minorEastAsia"/>
              <w:noProof/>
            </w:rPr>
          </w:pPr>
          <w:hyperlink w:anchor="_Toc65063858" w:history="1">
            <w:r w:rsidR="00FA3934" w:rsidRPr="00650955">
              <w:rPr>
                <w:rStyle w:val="Hyperlink"/>
                <w:rFonts w:cstheme="minorHAnsi"/>
                <w:noProof/>
              </w:rPr>
              <w:t>Denial of health treatment for COVID-19 and triage discrimination</w:t>
            </w:r>
            <w:r w:rsidR="00FA3934">
              <w:rPr>
                <w:noProof/>
                <w:webHidden/>
              </w:rPr>
              <w:tab/>
            </w:r>
            <w:r w:rsidR="00FA3934">
              <w:rPr>
                <w:noProof/>
                <w:webHidden/>
              </w:rPr>
              <w:fldChar w:fldCharType="begin"/>
            </w:r>
            <w:r w:rsidR="00FA3934">
              <w:rPr>
                <w:noProof/>
                <w:webHidden/>
              </w:rPr>
              <w:instrText xml:space="preserve"> PAGEREF _Toc65063858 \h </w:instrText>
            </w:r>
            <w:r w:rsidR="00FA3934">
              <w:rPr>
                <w:noProof/>
                <w:webHidden/>
              </w:rPr>
            </w:r>
            <w:r w:rsidR="00FA3934">
              <w:rPr>
                <w:noProof/>
                <w:webHidden/>
              </w:rPr>
              <w:fldChar w:fldCharType="separate"/>
            </w:r>
            <w:r w:rsidR="00FA3934">
              <w:rPr>
                <w:noProof/>
                <w:webHidden/>
              </w:rPr>
              <w:t>4</w:t>
            </w:r>
            <w:r w:rsidR="00FA3934">
              <w:rPr>
                <w:noProof/>
                <w:webHidden/>
              </w:rPr>
              <w:fldChar w:fldCharType="end"/>
            </w:r>
          </w:hyperlink>
        </w:p>
        <w:p w14:paraId="19593C8C" w14:textId="1D120D35" w:rsidR="00FA3934" w:rsidRDefault="00845ACC">
          <w:pPr>
            <w:pStyle w:val="TOC1"/>
            <w:tabs>
              <w:tab w:val="right" w:leader="dot" w:pos="9350"/>
            </w:tabs>
            <w:rPr>
              <w:rFonts w:eastAsiaTheme="minorEastAsia"/>
              <w:noProof/>
            </w:rPr>
          </w:pPr>
          <w:hyperlink w:anchor="_Toc65063859" w:history="1">
            <w:r w:rsidR="00FA3934" w:rsidRPr="00650955">
              <w:rPr>
                <w:rStyle w:val="Hyperlink"/>
                <w:rFonts w:cstheme="minorHAnsi"/>
                <w:noProof/>
              </w:rPr>
              <w:t>Where to go from here</w:t>
            </w:r>
            <w:r w:rsidR="00FA3934">
              <w:rPr>
                <w:noProof/>
                <w:webHidden/>
              </w:rPr>
              <w:tab/>
            </w:r>
            <w:r w:rsidR="00FA3934">
              <w:rPr>
                <w:noProof/>
                <w:webHidden/>
              </w:rPr>
              <w:fldChar w:fldCharType="begin"/>
            </w:r>
            <w:r w:rsidR="00FA3934">
              <w:rPr>
                <w:noProof/>
                <w:webHidden/>
              </w:rPr>
              <w:instrText xml:space="preserve"> PAGEREF _Toc65063859 \h </w:instrText>
            </w:r>
            <w:r w:rsidR="00FA3934">
              <w:rPr>
                <w:noProof/>
                <w:webHidden/>
              </w:rPr>
            </w:r>
            <w:r w:rsidR="00FA3934">
              <w:rPr>
                <w:noProof/>
                <w:webHidden/>
              </w:rPr>
              <w:fldChar w:fldCharType="separate"/>
            </w:r>
            <w:r w:rsidR="00FA3934">
              <w:rPr>
                <w:noProof/>
                <w:webHidden/>
              </w:rPr>
              <w:t>4</w:t>
            </w:r>
            <w:r w:rsidR="00FA3934">
              <w:rPr>
                <w:noProof/>
                <w:webHidden/>
              </w:rPr>
              <w:fldChar w:fldCharType="end"/>
            </w:r>
          </w:hyperlink>
        </w:p>
        <w:p w14:paraId="56638C5A" w14:textId="0F747804" w:rsidR="00E01732" w:rsidRPr="00283A68" w:rsidRDefault="00E01732" w:rsidP="008412D6">
          <w:pPr>
            <w:rPr>
              <w:rFonts w:cstheme="minorHAnsi"/>
              <w:sz w:val="24"/>
              <w:szCs w:val="24"/>
            </w:rPr>
          </w:pPr>
          <w:r w:rsidRPr="00283A68">
            <w:rPr>
              <w:rFonts w:cstheme="minorHAnsi"/>
              <w:b/>
              <w:bCs/>
              <w:noProof/>
              <w:sz w:val="24"/>
              <w:szCs w:val="24"/>
            </w:rPr>
            <w:fldChar w:fldCharType="end"/>
          </w:r>
        </w:p>
      </w:sdtContent>
    </w:sdt>
    <w:p w14:paraId="137D28F7" w14:textId="77777777" w:rsidR="00F654CB" w:rsidRPr="00FA3934" w:rsidRDefault="00F654CB" w:rsidP="00F654CB">
      <w:pPr>
        <w:rPr>
          <w:sz w:val="24"/>
          <w:szCs w:val="24"/>
        </w:rPr>
      </w:pPr>
      <w:r w:rsidRPr="00FA3934">
        <w:rPr>
          <w:sz w:val="24"/>
          <w:szCs w:val="24"/>
        </w:rPr>
        <w:t xml:space="preserve">I am so glad to be here with you today to talk about the Disability Rights Monitor Report “Disability Rights During the Pandemic.” </w:t>
      </w:r>
    </w:p>
    <w:p w14:paraId="3CEDD9E5" w14:textId="777B1F85" w:rsidR="00D93161" w:rsidRPr="00F654CB" w:rsidRDefault="00D93161" w:rsidP="00D93161">
      <w:pPr>
        <w:rPr>
          <w:rStyle w:val="Strong"/>
          <w:b w:val="0"/>
          <w:bCs w:val="0"/>
          <w:sz w:val="24"/>
          <w:szCs w:val="24"/>
        </w:rPr>
      </w:pPr>
      <w:r w:rsidRPr="00FA3934">
        <w:rPr>
          <w:sz w:val="24"/>
          <w:szCs w:val="24"/>
        </w:rPr>
        <w:t xml:space="preserve">It was produced by a group of organizations, including </w:t>
      </w:r>
      <w:r w:rsidRPr="00FA3934">
        <w:rPr>
          <w:rStyle w:val="Strong"/>
          <w:b w:val="0"/>
          <w:bCs w:val="0"/>
          <w:sz w:val="24"/>
          <w:szCs w:val="24"/>
        </w:rPr>
        <w:t>The Validity Foundation – Mental Disability Advocacy Centre</w:t>
      </w:r>
      <w:r w:rsidRPr="00F654CB">
        <w:rPr>
          <w:rStyle w:val="Strong"/>
          <w:b w:val="0"/>
          <w:bCs w:val="0"/>
          <w:sz w:val="24"/>
          <w:szCs w:val="24"/>
        </w:rPr>
        <w:t>, The European Network on Independent Living, Disability Rights Internatio</w:t>
      </w:r>
      <w:bookmarkStart w:id="0" w:name="_GoBack"/>
      <w:bookmarkEnd w:id="0"/>
      <w:r w:rsidRPr="00F654CB">
        <w:rPr>
          <w:rStyle w:val="Strong"/>
          <w:b w:val="0"/>
          <w:bCs w:val="0"/>
          <w:sz w:val="24"/>
          <w:szCs w:val="24"/>
        </w:rPr>
        <w:t xml:space="preserve">nal, The Disability Rights Unit at the Centre for Human Rights, University of Pretoria, The International Disability and Development Consortium (IDDC), </w:t>
      </w:r>
      <w:r w:rsidRPr="00F654CB">
        <w:rPr>
          <w:sz w:val="24"/>
          <w:szCs w:val="24"/>
        </w:rPr>
        <w:t xml:space="preserve">The </w:t>
      </w:r>
      <w:r w:rsidRPr="00F654CB">
        <w:rPr>
          <w:rStyle w:val="Strong"/>
          <w:b w:val="0"/>
          <w:bCs w:val="0"/>
          <w:sz w:val="24"/>
          <w:szCs w:val="24"/>
        </w:rPr>
        <w:t>Disability Rights Fund (DRF)</w:t>
      </w:r>
      <w:r w:rsidRPr="00F654CB">
        <w:rPr>
          <w:sz w:val="24"/>
          <w:szCs w:val="24"/>
        </w:rPr>
        <w:t xml:space="preserve">, and its sister organization, the </w:t>
      </w:r>
      <w:r w:rsidRPr="00F654CB">
        <w:rPr>
          <w:rStyle w:val="Strong"/>
          <w:b w:val="0"/>
          <w:bCs w:val="0"/>
          <w:sz w:val="24"/>
          <w:szCs w:val="24"/>
        </w:rPr>
        <w:t xml:space="preserve">Disability Rights Advocacy Fund (DRAF), and my organization, the International Disability Alliance. </w:t>
      </w:r>
    </w:p>
    <w:p w14:paraId="485C6833" w14:textId="25925E9C" w:rsidR="00D93161" w:rsidRPr="00F654CB" w:rsidRDefault="00D93161" w:rsidP="00D93161">
      <w:pPr>
        <w:rPr>
          <w:sz w:val="24"/>
          <w:szCs w:val="24"/>
        </w:rPr>
      </w:pPr>
      <w:r w:rsidRPr="00F654CB">
        <w:rPr>
          <w:rStyle w:val="Strong"/>
          <w:b w:val="0"/>
          <w:bCs w:val="0"/>
          <w:sz w:val="24"/>
          <w:szCs w:val="24"/>
        </w:rPr>
        <w:t xml:space="preserve">We are </w:t>
      </w:r>
      <w:r w:rsidRPr="00F654CB">
        <w:rPr>
          <w:sz w:val="24"/>
          <w:szCs w:val="24"/>
        </w:rPr>
        <w:t xml:space="preserve">an Alliance of 14 global and regional </w:t>
      </w:r>
      <w:proofErr w:type="spellStart"/>
      <w:r w:rsidRPr="00F654CB">
        <w:rPr>
          <w:sz w:val="24"/>
          <w:szCs w:val="24"/>
        </w:rPr>
        <w:t>organisations</w:t>
      </w:r>
      <w:proofErr w:type="spellEnd"/>
      <w:r w:rsidRPr="00F654CB">
        <w:rPr>
          <w:sz w:val="24"/>
          <w:szCs w:val="24"/>
        </w:rPr>
        <w:t xml:space="preserve"> of persons with disabilities. Together, the IDA Members promote the rights of persons with disabilities across the United Nations' efforts to advance human rights and sustainable development. IDA supports </w:t>
      </w:r>
      <w:proofErr w:type="spellStart"/>
      <w:r w:rsidRPr="00F654CB">
        <w:rPr>
          <w:sz w:val="24"/>
          <w:szCs w:val="24"/>
        </w:rPr>
        <w:lastRenderedPageBreak/>
        <w:t>organisations</w:t>
      </w:r>
      <w:proofErr w:type="spellEnd"/>
      <w:r w:rsidRPr="00F654CB">
        <w:rPr>
          <w:sz w:val="24"/>
          <w:szCs w:val="24"/>
        </w:rPr>
        <w:t xml:space="preserve"> of persons with disabilities to hold their governments to account and advocate for change locally, nationally and internationally.</w:t>
      </w:r>
    </w:p>
    <w:p w14:paraId="1B93CCF9" w14:textId="3D8AEC23" w:rsidR="00D93161" w:rsidRPr="00F654CB" w:rsidRDefault="00D93161" w:rsidP="00D93161">
      <w:pPr>
        <w:rPr>
          <w:rFonts w:cstheme="minorHAnsi"/>
          <w:sz w:val="24"/>
          <w:szCs w:val="24"/>
        </w:rPr>
      </w:pPr>
      <w:r w:rsidRPr="00F654CB">
        <w:rPr>
          <w:rFonts w:cstheme="minorHAnsi"/>
          <w:sz w:val="24"/>
          <w:szCs w:val="24"/>
        </w:rPr>
        <w:t xml:space="preserve">We all supported this survey to gather the data necessary to sound the alarm about the catastrophic impact of the COVID-19 pandemic on persons with disabilities worldwide and to </w:t>
      </w:r>
      <w:proofErr w:type="spellStart"/>
      <w:r w:rsidRPr="00F654CB">
        <w:rPr>
          <w:rFonts w:cstheme="minorHAnsi"/>
          <w:sz w:val="24"/>
          <w:szCs w:val="24"/>
        </w:rPr>
        <w:t>catalyse</w:t>
      </w:r>
      <w:proofErr w:type="spellEnd"/>
      <w:r w:rsidRPr="00F654CB">
        <w:rPr>
          <w:rFonts w:cstheme="minorHAnsi"/>
          <w:sz w:val="24"/>
          <w:szCs w:val="24"/>
        </w:rPr>
        <w:t xml:space="preserve"> urgent action.</w:t>
      </w:r>
    </w:p>
    <w:p w14:paraId="511443A6" w14:textId="5C9D75A0" w:rsidR="00D93161" w:rsidRDefault="00D93161" w:rsidP="00F654CB">
      <w:pPr>
        <w:rPr>
          <w:rFonts w:cstheme="minorHAnsi"/>
          <w:sz w:val="24"/>
          <w:szCs w:val="24"/>
        </w:rPr>
      </w:pPr>
      <w:r w:rsidRPr="00F654CB">
        <w:rPr>
          <w:rFonts w:cstheme="minorHAnsi"/>
          <w:sz w:val="24"/>
          <w:szCs w:val="24"/>
        </w:rPr>
        <w:t>Covid-19 is everyone’s problem. But it effects persons with disabilities in specific ways. Persons with disabilities face increased risk of contracting Covid-19 due to existing health conditions, inequities in underlying health conditions and social determinants of health, as well as contact with support service providers</w:t>
      </w:r>
      <w:r w:rsidR="00D472DD" w:rsidRPr="00F654CB">
        <w:rPr>
          <w:rFonts w:cstheme="minorHAnsi"/>
          <w:sz w:val="24"/>
          <w:szCs w:val="24"/>
        </w:rPr>
        <w:t>, just to give a few examples</w:t>
      </w:r>
      <w:r w:rsidRPr="00F654CB">
        <w:rPr>
          <w:rFonts w:cstheme="minorHAnsi"/>
          <w:sz w:val="24"/>
          <w:szCs w:val="24"/>
        </w:rPr>
        <w:t>.</w:t>
      </w:r>
      <w:r w:rsidR="00433991" w:rsidRPr="00F654CB">
        <w:rPr>
          <w:rFonts w:cstheme="minorHAnsi"/>
          <w:sz w:val="24"/>
          <w:szCs w:val="24"/>
        </w:rPr>
        <w:t xml:space="preserve"> This is why we have the Convention on the rights of Persons with Disabilities</w:t>
      </w:r>
      <w:r w:rsidR="00D472DD" w:rsidRPr="00F654CB">
        <w:rPr>
          <w:rFonts w:cstheme="minorHAnsi"/>
          <w:sz w:val="24"/>
          <w:szCs w:val="24"/>
        </w:rPr>
        <w:t xml:space="preserve"> – the CRPD</w:t>
      </w:r>
      <w:r w:rsidR="00433991" w:rsidRPr="00F654CB">
        <w:rPr>
          <w:rFonts w:cstheme="minorHAnsi"/>
          <w:sz w:val="24"/>
          <w:szCs w:val="24"/>
        </w:rPr>
        <w:t xml:space="preserve">; to articulate persons with disabilities’ specific equal rights.  </w:t>
      </w:r>
    </w:p>
    <w:p w14:paraId="008993F9" w14:textId="0BCCF65F" w:rsidR="00E01732" w:rsidRPr="00283A68" w:rsidRDefault="00E01732" w:rsidP="00E01732">
      <w:pPr>
        <w:pStyle w:val="Heading1"/>
        <w:rPr>
          <w:rFonts w:asciiTheme="minorHAnsi" w:hAnsiTheme="minorHAnsi" w:cstheme="minorHAnsi"/>
          <w:sz w:val="24"/>
          <w:szCs w:val="24"/>
        </w:rPr>
      </w:pPr>
      <w:bookmarkStart w:id="1" w:name="_Toc65063848"/>
      <w:r w:rsidRPr="00283A68">
        <w:rPr>
          <w:rFonts w:asciiTheme="minorHAnsi" w:hAnsiTheme="minorHAnsi" w:cstheme="minorHAnsi"/>
          <w:sz w:val="24"/>
          <w:szCs w:val="24"/>
        </w:rPr>
        <w:t>Overview of Importance of Report</w:t>
      </w:r>
      <w:bookmarkEnd w:id="1"/>
    </w:p>
    <w:p w14:paraId="2A6AD171" w14:textId="03DE271D" w:rsidR="008412D6" w:rsidRPr="00283A68" w:rsidRDefault="00B028BB">
      <w:pPr>
        <w:rPr>
          <w:rFonts w:cstheme="minorHAnsi"/>
          <w:sz w:val="24"/>
          <w:szCs w:val="24"/>
        </w:rPr>
      </w:pPr>
      <w:r>
        <w:rPr>
          <w:rFonts w:cstheme="minorHAnsi"/>
          <w:sz w:val="24"/>
          <w:szCs w:val="24"/>
        </w:rPr>
        <w:t xml:space="preserve">This report is </w:t>
      </w:r>
      <w:r w:rsidR="00D472DD">
        <w:rPr>
          <w:rFonts w:cstheme="minorHAnsi"/>
          <w:sz w:val="24"/>
          <w:szCs w:val="24"/>
        </w:rPr>
        <w:t xml:space="preserve">really </w:t>
      </w:r>
      <w:r>
        <w:rPr>
          <w:rFonts w:cstheme="minorHAnsi"/>
          <w:sz w:val="24"/>
          <w:szCs w:val="24"/>
        </w:rPr>
        <w:t>important. It shows w</w:t>
      </w:r>
      <w:r w:rsidR="008412D6" w:rsidRPr="00283A68">
        <w:rPr>
          <w:rFonts w:cstheme="minorHAnsi"/>
          <w:sz w:val="24"/>
          <w:szCs w:val="24"/>
        </w:rPr>
        <w:t>e haven’t gained as much ground as we thought</w:t>
      </w:r>
      <w:r w:rsidR="00D472DD">
        <w:rPr>
          <w:rFonts w:cstheme="minorHAnsi"/>
          <w:sz w:val="24"/>
          <w:szCs w:val="24"/>
        </w:rPr>
        <w:t xml:space="preserve"> CRPD came into force</w:t>
      </w:r>
      <w:r w:rsidR="008412D6" w:rsidRPr="00283A68">
        <w:rPr>
          <w:rFonts w:cstheme="minorHAnsi"/>
          <w:sz w:val="24"/>
          <w:szCs w:val="24"/>
        </w:rPr>
        <w:t>.</w:t>
      </w:r>
      <w:r>
        <w:rPr>
          <w:rFonts w:cstheme="minorHAnsi"/>
          <w:sz w:val="24"/>
          <w:szCs w:val="24"/>
        </w:rPr>
        <w:t xml:space="preserve"> It reveals </w:t>
      </w:r>
      <w:r w:rsidR="008412D6" w:rsidRPr="00283A68">
        <w:rPr>
          <w:rFonts w:cstheme="minorHAnsi"/>
          <w:sz w:val="24"/>
          <w:szCs w:val="24"/>
        </w:rPr>
        <w:t>approaches specifically prohibited by the CRPD.</w:t>
      </w:r>
      <w:r w:rsidR="00676C68">
        <w:rPr>
          <w:rFonts w:cstheme="minorHAnsi"/>
          <w:sz w:val="24"/>
          <w:szCs w:val="24"/>
        </w:rPr>
        <w:t xml:space="preserve"> </w:t>
      </w:r>
      <w:r w:rsidR="008412D6" w:rsidRPr="00283A68">
        <w:rPr>
          <w:rFonts w:cstheme="minorHAnsi"/>
          <w:sz w:val="24"/>
          <w:szCs w:val="24"/>
        </w:rPr>
        <w:t xml:space="preserve">It </w:t>
      </w:r>
      <w:r w:rsidR="00676C68">
        <w:rPr>
          <w:rFonts w:cstheme="minorHAnsi"/>
          <w:sz w:val="24"/>
          <w:szCs w:val="24"/>
        </w:rPr>
        <w:t>reveals</w:t>
      </w:r>
      <w:r w:rsidR="008412D6" w:rsidRPr="00283A68">
        <w:rPr>
          <w:rFonts w:cstheme="minorHAnsi"/>
          <w:sz w:val="24"/>
          <w:szCs w:val="24"/>
        </w:rPr>
        <w:t xml:space="preserve"> the fragility of support systems for persons with disabilities. </w:t>
      </w:r>
    </w:p>
    <w:p w14:paraId="28DDBD83" w14:textId="6D559891" w:rsidR="00B028BB" w:rsidRDefault="00B028BB">
      <w:pPr>
        <w:rPr>
          <w:rFonts w:cstheme="minorHAnsi"/>
          <w:sz w:val="24"/>
          <w:szCs w:val="24"/>
        </w:rPr>
      </w:pPr>
      <w:r w:rsidRPr="00283A68">
        <w:rPr>
          <w:rFonts w:cstheme="minorHAnsi"/>
          <w:sz w:val="24"/>
          <w:szCs w:val="24"/>
        </w:rPr>
        <w:t xml:space="preserve">The survey </w:t>
      </w:r>
      <w:r>
        <w:rPr>
          <w:rFonts w:cstheme="minorHAnsi"/>
          <w:sz w:val="24"/>
          <w:szCs w:val="24"/>
        </w:rPr>
        <w:t>collected</w:t>
      </w:r>
      <w:r w:rsidRPr="00283A68">
        <w:rPr>
          <w:rFonts w:cstheme="minorHAnsi"/>
          <w:sz w:val="24"/>
          <w:szCs w:val="24"/>
        </w:rPr>
        <w:t xml:space="preserve"> 2,152 responses from 134 countries between April 20, and August 8, 2020. </w:t>
      </w:r>
      <w:r w:rsidR="00085133">
        <w:rPr>
          <w:rFonts w:cstheme="minorHAnsi"/>
          <w:sz w:val="24"/>
          <w:szCs w:val="24"/>
        </w:rPr>
        <w:t xml:space="preserve">The report was launched in October. </w:t>
      </w:r>
      <w:r>
        <w:rPr>
          <w:rFonts w:cstheme="minorHAnsi"/>
          <w:sz w:val="24"/>
          <w:szCs w:val="24"/>
        </w:rPr>
        <w:t xml:space="preserve">Nearly all, </w:t>
      </w:r>
      <w:r w:rsidR="00D472DD">
        <w:rPr>
          <w:rFonts w:cstheme="minorHAnsi"/>
          <w:sz w:val="24"/>
          <w:szCs w:val="24"/>
        </w:rPr>
        <w:t>over 2,000</w:t>
      </w:r>
      <w:r w:rsidRPr="00283A68">
        <w:rPr>
          <w:rFonts w:cstheme="minorHAnsi"/>
          <w:sz w:val="24"/>
          <w:szCs w:val="24"/>
        </w:rPr>
        <w:t xml:space="preserve"> </w:t>
      </w:r>
      <w:r>
        <w:rPr>
          <w:rFonts w:cstheme="minorHAnsi"/>
          <w:sz w:val="24"/>
          <w:szCs w:val="24"/>
        </w:rPr>
        <w:t>were responses from</w:t>
      </w:r>
      <w:r w:rsidRPr="00283A68">
        <w:rPr>
          <w:rFonts w:cstheme="minorHAnsi"/>
          <w:sz w:val="24"/>
          <w:szCs w:val="24"/>
        </w:rPr>
        <w:t xml:space="preserve"> persons with disabilities, their representative </w:t>
      </w:r>
      <w:proofErr w:type="spellStart"/>
      <w:r w:rsidRPr="00283A68">
        <w:rPr>
          <w:rFonts w:cstheme="minorHAnsi"/>
          <w:sz w:val="24"/>
          <w:szCs w:val="24"/>
        </w:rPr>
        <w:t>organisations</w:t>
      </w:r>
      <w:proofErr w:type="spellEnd"/>
      <w:r w:rsidRPr="00283A68">
        <w:rPr>
          <w:rFonts w:cstheme="minorHAnsi"/>
          <w:sz w:val="24"/>
          <w:szCs w:val="24"/>
        </w:rPr>
        <w:t>, and family members, making it the largest internationally comparable data set on the experiences of persons with disabilities during the COVID-19 pandemic</w:t>
      </w:r>
      <w:r>
        <w:rPr>
          <w:rFonts w:cstheme="minorHAnsi"/>
          <w:sz w:val="24"/>
          <w:szCs w:val="24"/>
        </w:rPr>
        <w:t>.</w:t>
      </w:r>
    </w:p>
    <w:p w14:paraId="2194DE1F" w14:textId="6354C4E9" w:rsidR="00676C68" w:rsidRPr="00283A68" w:rsidRDefault="00085133">
      <w:pPr>
        <w:rPr>
          <w:rFonts w:cstheme="minorHAnsi"/>
          <w:sz w:val="24"/>
          <w:szCs w:val="24"/>
        </w:rPr>
      </w:pPr>
      <w:r>
        <w:rPr>
          <w:rFonts w:cstheme="minorHAnsi"/>
          <w:sz w:val="24"/>
          <w:szCs w:val="24"/>
        </w:rPr>
        <w:t xml:space="preserve">And </w:t>
      </w:r>
      <w:r w:rsidR="006A57A8">
        <w:rPr>
          <w:rFonts w:cstheme="minorHAnsi"/>
          <w:sz w:val="24"/>
          <w:szCs w:val="24"/>
        </w:rPr>
        <w:t xml:space="preserve">this </w:t>
      </w:r>
      <w:r>
        <w:rPr>
          <w:rFonts w:cstheme="minorHAnsi"/>
          <w:sz w:val="24"/>
          <w:szCs w:val="24"/>
        </w:rPr>
        <w:t>gives us</w:t>
      </w:r>
      <w:r w:rsidR="00676C68">
        <w:rPr>
          <w:rFonts w:cstheme="minorHAnsi"/>
          <w:sz w:val="24"/>
          <w:szCs w:val="24"/>
        </w:rPr>
        <w:t xml:space="preserve"> </w:t>
      </w:r>
      <w:r w:rsidR="00676C68" w:rsidRPr="00283A68">
        <w:rPr>
          <w:rFonts w:cstheme="minorHAnsi"/>
          <w:sz w:val="24"/>
          <w:szCs w:val="24"/>
        </w:rPr>
        <w:t xml:space="preserve">evidence-based recommendations for change. </w:t>
      </w:r>
    </w:p>
    <w:p w14:paraId="1802DDB5" w14:textId="726A8B22" w:rsidR="008412D6" w:rsidRPr="00283A68" w:rsidRDefault="00E01732" w:rsidP="00E01732">
      <w:pPr>
        <w:pStyle w:val="Heading1"/>
        <w:rPr>
          <w:rFonts w:asciiTheme="minorHAnsi" w:hAnsiTheme="minorHAnsi" w:cstheme="minorHAnsi"/>
          <w:sz w:val="24"/>
          <w:szCs w:val="24"/>
        </w:rPr>
      </w:pPr>
      <w:bookmarkStart w:id="2" w:name="_Toc65063849"/>
      <w:r w:rsidRPr="00283A68">
        <w:rPr>
          <w:rFonts w:asciiTheme="minorHAnsi" w:hAnsiTheme="minorHAnsi" w:cstheme="minorHAnsi"/>
          <w:sz w:val="24"/>
          <w:szCs w:val="24"/>
        </w:rPr>
        <w:t>Explanation of Methodology</w:t>
      </w:r>
      <w:bookmarkEnd w:id="2"/>
    </w:p>
    <w:p w14:paraId="0C761A49" w14:textId="77777777" w:rsidR="00D472DD" w:rsidRPr="00283A68" w:rsidRDefault="00D472DD" w:rsidP="00D472DD">
      <w:pPr>
        <w:rPr>
          <w:rFonts w:cstheme="minorHAnsi"/>
          <w:sz w:val="24"/>
          <w:szCs w:val="24"/>
        </w:rPr>
      </w:pPr>
      <w:r>
        <w:rPr>
          <w:rFonts w:cstheme="minorHAnsi"/>
          <w:sz w:val="24"/>
          <w:szCs w:val="24"/>
        </w:rPr>
        <w:t>In addition to over 2000 responses, individuals wrote more</w:t>
      </w:r>
      <w:r w:rsidRPr="00283A68">
        <w:rPr>
          <w:rFonts w:cstheme="minorHAnsi"/>
          <w:sz w:val="24"/>
          <w:szCs w:val="24"/>
        </w:rPr>
        <w:t xml:space="preserve"> than 3,000 testimonies. They varied in length from a short sentence to long paragraphs. The testimonies were then coded and thematically </w:t>
      </w:r>
      <w:proofErr w:type="spellStart"/>
      <w:r w:rsidRPr="00283A68">
        <w:rPr>
          <w:rFonts w:cstheme="minorHAnsi"/>
          <w:sz w:val="24"/>
          <w:szCs w:val="24"/>
        </w:rPr>
        <w:t>analysed</w:t>
      </w:r>
      <w:proofErr w:type="spellEnd"/>
      <w:r w:rsidRPr="00283A68">
        <w:rPr>
          <w:rFonts w:cstheme="minorHAnsi"/>
          <w:sz w:val="24"/>
          <w:szCs w:val="24"/>
        </w:rPr>
        <w:t>.</w:t>
      </w:r>
    </w:p>
    <w:p w14:paraId="4D3CE22E" w14:textId="083E23C6" w:rsidR="008412D6" w:rsidRPr="00283A68" w:rsidRDefault="006A0240">
      <w:pPr>
        <w:rPr>
          <w:rFonts w:cstheme="minorHAnsi"/>
          <w:sz w:val="24"/>
          <w:szCs w:val="24"/>
        </w:rPr>
      </w:pPr>
      <w:r w:rsidRPr="00283A68">
        <w:rPr>
          <w:rFonts w:cstheme="minorHAnsi"/>
          <w:sz w:val="24"/>
          <w:szCs w:val="24"/>
        </w:rPr>
        <w:t>The combination of qualitative and quantitative data provid</w:t>
      </w:r>
      <w:r w:rsidR="00085133">
        <w:rPr>
          <w:rFonts w:cstheme="minorHAnsi"/>
          <w:sz w:val="24"/>
          <w:szCs w:val="24"/>
        </w:rPr>
        <w:t>es</w:t>
      </w:r>
      <w:r w:rsidRPr="00283A68">
        <w:rPr>
          <w:rFonts w:cstheme="minorHAnsi"/>
          <w:sz w:val="24"/>
          <w:szCs w:val="24"/>
        </w:rPr>
        <w:t xml:space="preserve"> a nuanced, in-depth insight into the experiences of persons with disabilities, and state measures to protect </w:t>
      </w:r>
      <w:r w:rsidR="00D472DD">
        <w:rPr>
          <w:rFonts w:cstheme="minorHAnsi"/>
          <w:sz w:val="24"/>
          <w:szCs w:val="24"/>
        </w:rPr>
        <w:t>their rights</w:t>
      </w:r>
      <w:r w:rsidRPr="00283A68">
        <w:rPr>
          <w:rFonts w:cstheme="minorHAnsi"/>
          <w:sz w:val="24"/>
          <w:szCs w:val="24"/>
        </w:rPr>
        <w:t xml:space="preserve"> during the pandemic.</w:t>
      </w:r>
    </w:p>
    <w:p w14:paraId="4FE6F4BB" w14:textId="0A7DEAE3" w:rsidR="00E01732" w:rsidRPr="00283A68" w:rsidRDefault="006A0240">
      <w:pPr>
        <w:rPr>
          <w:rFonts w:cstheme="minorHAnsi"/>
          <w:sz w:val="24"/>
          <w:szCs w:val="24"/>
        </w:rPr>
      </w:pPr>
      <w:r w:rsidRPr="00283A68">
        <w:rPr>
          <w:rFonts w:cstheme="minorHAnsi"/>
          <w:sz w:val="24"/>
          <w:szCs w:val="24"/>
        </w:rPr>
        <w:t xml:space="preserve">The survey was initially intended to triangulate the data from the three stakeholder groups: persons with disabilities, governments, and national human rights </w:t>
      </w:r>
      <w:r w:rsidR="00D472DD">
        <w:rPr>
          <w:rFonts w:cstheme="minorHAnsi"/>
          <w:sz w:val="24"/>
          <w:szCs w:val="24"/>
        </w:rPr>
        <w:t>institutions</w:t>
      </w:r>
      <w:r w:rsidRPr="00283A68">
        <w:rPr>
          <w:rFonts w:cstheme="minorHAnsi"/>
          <w:sz w:val="24"/>
          <w:szCs w:val="24"/>
        </w:rPr>
        <w:t xml:space="preserve">. </w:t>
      </w:r>
      <w:r w:rsidR="006A57A8">
        <w:rPr>
          <w:rFonts w:cstheme="minorHAnsi"/>
          <w:sz w:val="24"/>
          <w:szCs w:val="24"/>
        </w:rPr>
        <w:t>But, we did not end up with</w:t>
      </w:r>
      <w:r w:rsidRPr="00283A68">
        <w:rPr>
          <w:rFonts w:cstheme="minorHAnsi"/>
          <w:sz w:val="24"/>
          <w:szCs w:val="24"/>
        </w:rPr>
        <w:t xml:space="preserve"> equal representation among these groups. Despite the best efforts </w:t>
      </w:r>
      <w:r w:rsidR="00D472DD">
        <w:rPr>
          <w:rFonts w:cstheme="minorHAnsi"/>
          <w:sz w:val="24"/>
          <w:szCs w:val="24"/>
        </w:rPr>
        <w:t>of DRM</w:t>
      </w:r>
      <w:r w:rsidRPr="00283A68">
        <w:rPr>
          <w:rFonts w:cstheme="minorHAnsi"/>
          <w:sz w:val="24"/>
          <w:szCs w:val="24"/>
        </w:rPr>
        <w:t xml:space="preserve"> to disseminate the survey among governments and human rights institutions, the survey received a very low number of responses from these stakeholders (26 governments and 12 human rights institutions). </w:t>
      </w:r>
    </w:p>
    <w:p w14:paraId="42C9CAC7" w14:textId="6399C09A" w:rsidR="006A0240" w:rsidRPr="00283A68" w:rsidRDefault="006A57A8">
      <w:pPr>
        <w:rPr>
          <w:rFonts w:cstheme="minorHAnsi"/>
          <w:sz w:val="24"/>
          <w:szCs w:val="24"/>
        </w:rPr>
      </w:pPr>
      <w:r>
        <w:rPr>
          <w:rFonts w:cstheme="minorHAnsi"/>
          <w:sz w:val="24"/>
          <w:szCs w:val="24"/>
        </w:rPr>
        <w:t>The survey also had</w:t>
      </w:r>
      <w:r w:rsidR="006A0240" w:rsidRPr="00283A68">
        <w:rPr>
          <w:rFonts w:cstheme="minorHAnsi"/>
          <w:sz w:val="24"/>
          <w:szCs w:val="24"/>
        </w:rPr>
        <w:t xml:space="preserve"> some of the same shortcomings of other online surveys</w:t>
      </w:r>
      <w:r>
        <w:rPr>
          <w:rFonts w:cstheme="minorHAnsi"/>
          <w:sz w:val="24"/>
          <w:szCs w:val="24"/>
        </w:rPr>
        <w:t xml:space="preserve">: </w:t>
      </w:r>
      <w:r w:rsidR="006A0240" w:rsidRPr="00283A68">
        <w:rPr>
          <w:rFonts w:cstheme="minorHAnsi"/>
          <w:sz w:val="24"/>
          <w:szCs w:val="24"/>
        </w:rPr>
        <w:t xml:space="preserve">overrepresentation from wealthy countries, speaking one of the languages it was translated </w:t>
      </w:r>
      <w:r w:rsidR="006A0240" w:rsidRPr="00283A68">
        <w:rPr>
          <w:rFonts w:cstheme="minorHAnsi"/>
          <w:sz w:val="24"/>
          <w:szCs w:val="24"/>
        </w:rPr>
        <w:lastRenderedPageBreak/>
        <w:t xml:space="preserve">into. Each network sought to </w:t>
      </w:r>
      <w:r w:rsidR="00D472DD">
        <w:rPr>
          <w:rFonts w:cstheme="minorHAnsi"/>
          <w:sz w:val="24"/>
          <w:szCs w:val="24"/>
        </w:rPr>
        <w:t xml:space="preserve">minimize this with </w:t>
      </w:r>
      <w:r w:rsidR="006A0240" w:rsidRPr="00283A68">
        <w:rPr>
          <w:rFonts w:cstheme="minorHAnsi"/>
          <w:sz w:val="24"/>
          <w:szCs w:val="24"/>
        </w:rPr>
        <w:t xml:space="preserve">outreach, and print versions were </w:t>
      </w:r>
      <w:r w:rsidR="00EA7676">
        <w:rPr>
          <w:rFonts w:cstheme="minorHAnsi"/>
          <w:sz w:val="24"/>
          <w:szCs w:val="24"/>
        </w:rPr>
        <w:t xml:space="preserve">made </w:t>
      </w:r>
      <w:r w:rsidR="006A0240" w:rsidRPr="00283A68">
        <w:rPr>
          <w:rFonts w:cstheme="minorHAnsi"/>
          <w:sz w:val="24"/>
          <w:szCs w:val="24"/>
        </w:rPr>
        <w:t>available.</w:t>
      </w:r>
    </w:p>
    <w:p w14:paraId="739B9D9F" w14:textId="6239EF2F" w:rsidR="00E01732" w:rsidRPr="00283A68" w:rsidRDefault="00E01732" w:rsidP="00E01732">
      <w:pPr>
        <w:pStyle w:val="Heading1"/>
        <w:rPr>
          <w:rFonts w:asciiTheme="minorHAnsi" w:hAnsiTheme="minorHAnsi" w:cstheme="minorHAnsi"/>
          <w:sz w:val="24"/>
          <w:szCs w:val="24"/>
        </w:rPr>
      </w:pPr>
      <w:bookmarkStart w:id="3" w:name="_Toc65063850"/>
      <w:r w:rsidRPr="00283A68">
        <w:rPr>
          <w:rFonts w:asciiTheme="minorHAnsi" w:hAnsiTheme="minorHAnsi" w:cstheme="minorHAnsi"/>
          <w:sz w:val="24"/>
          <w:szCs w:val="24"/>
        </w:rPr>
        <w:t>Further Detail of</w:t>
      </w:r>
      <w:r w:rsidR="00F654CB">
        <w:rPr>
          <w:rFonts w:asciiTheme="minorHAnsi" w:hAnsiTheme="minorHAnsi" w:cstheme="minorHAnsi"/>
          <w:sz w:val="24"/>
          <w:szCs w:val="24"/>
        </w:rPr>
        <w:t xml:space="preserve"> Some</w:t>
      </w:r>
      <w:r w:rsidRPr="00283A68">
        <w:rPr>
          <w:rFonts w:asciiTheme="minorHAnsi" w:hAnsiTheme="minorHAnsi" w:cstheme="minorHAnsi"/>
          <w:sz w:val="24"/>
          <w:szCs w:val="24"/>
        </w:rPr>
        <w:t xml:space="preserve"> Findings</w:t>
      </w:r>
      <w:bookmarkEnd w:id="3"/>
    </w:p>
    <w:p w14:paraId="181A5856" w14:textId="77777777" w:rsidR="00ED0E73" w:rsidRPr="00283A68" w:rsidRDefault="00ED0E73" w:rsidP="00ED0E73">
      <w:pPr>
        <w:pStyle w:val="Heading2"/>
        <w:rPr>
          <w:rFonts w:asciiTheme="minorHAnsi" w:hAnsiTheme="minorHAnsi" w:cstheme="minorHAnsi"/>
          <w:sz w:val="24"/>
          <w:szCs w:val="24"/>
        </w:rPr>
      </w:pPr>
      <w:bookmarkStart w:id="4" w:name="_Toc65063851"/>
      <w:r w:rsidRPr="00283A68">
        <w:rPr>
          <w:rFonts w:asciiTheme="minorHAnsi" w:hAnsiTheme="minorHAnsi" w:cstheme="minorHAnsi"/>
          <w:sz w:val="24"/>
          <w:szCs w:val="24"/>
        </w:rPr>
        <w:t>Deinstitutionalization:</w:t>
      </w:r>
      <w:bookmarkEnd w:id="4"/>
    </w:p>
    <w:p w14:paraId="3C076503" w14:textId="56B4D4C6" w:rsidR="008412D6" w:rsidRDefault="00EA7676">
      <w:pPr>
        <w:rPr>
          <w:rFonts w:cstheme="minorHAnsi"/>
          <w:sz w:val="24"/>
          <w:szCs w:val="24"/>
        </w:rPr>
      </w:pPr>
      <w:r>
        <w:rPr>
          <w:rFonts w:cstheme="minorHAnsi"/>
          <w:sz w:val="24"/>
          <w:szCs w:val="24"/>
        </w:rPr>
        <w:t>The first is that the pandemic</w:t>
      </w:r>
      <w:r w:rsidR="008412D6" w:rsidRPr="00283A68">
        <w:rPr>
          <w:rFonts w:cstheme="minorHAnsi"/>
          <w:sz w:val="24"/>
          <w:szCs w:val="24"/>
        </w:rPr>
        <w:t xml:space="preserve"> has highlighted the dangers of institutionalization in a new way:</w:t>
      </w:r>
    </w:p>
    <w:p w14:paraId="7253857F" w14:textId="1A8C8164" w:rsidR="00EA7676" w:rsidRPr="00283A68" w:rsidRDefault="00EA7676">
      <w:pPr>
        <w:rPr>
          <w:rFonts w:cstheme="minorHAnsi"/>
          <w:sz w:val="24"/>
          <w:szCs w:val="24"/>
        </w:rPr>
      </w:pPr>
      <w:r w:rsidRPr="00283A68">
        <w:rPr>
          <w:rFonts w:cstheme="minorHAnsi"/>
          <w:sz w:val="24"/>
          <w:szCs w:val="24"/>
        </w:rPr>
        <w:t>The survey findings shed light on the deadly conditions that resulted in the high death rates within large-scale and small-scale institutions. Thirty-three percent (476) of the respondents who knew about the situation in institutions said that their government took no measures to protect the lives, health, and safety of persons with disabilities in institutions.</w:t>
      </w:r>
    </w:p>
    <w:p w14:paraId="7558C985" w14:textId="76983A09" w:rsidR="006A0240" w:rsidRPr="00283A68" w:rsidRDefault="008412D6">
      <w:pPr>
        <w:rPr>
          <w:rFonts w:cstheme="minorHAnsi"/>
          <w:sz w:val="24"/>
          <w:szCs w:val="24"/>
        </w:rPr>
      </w:pPr>
      <w:r w:rsidRPr="00283A68">
        <w:rPr>
          <w:rFonts w:cstheme="minorHAnsi"/>
          <w:sz w:val="24"/>
          <w:szCs w:val="24"/>
        </w:rPr>
        <w:t>In the words of</w:t>
      </w:r>
      <w:r w:rsidR="00E01732" w:rsidRPr="00283A68">
        <w:rPr>
          <w:rFonts w:cstheme="minorHAnsi"/>
          <w:sz w:val="24"/>
          <w:szCs w:val="24"/>
        </w:rPr>
        <w:t xml:space="preserve"> Special Rapporteur</w:t>
      </w:r>
      <w:r w:rsidRPr="00283A68">
        <w:rPr>
          <w:rFonts w:cstheme="minorHAnsi"/>
          <w:sz w:val="24"/>
          <w:szCs w:val="24"/>
        </w:rPr>
        <w:t xml:space="preserve"> </w:t>
      </w:r>
      <w:r w:rsidR="00EA7676">
        <w:rPr>
          <w:rFonts w:cstheme="minorHAnsi"/>
          <w:sz w:val="24"/>
          <w:szCs w:val="24"/>
        </w:rPr>
        <w:t xml:space="preserve">on the rights of persons with disabilities, </w:t>
      </w:r>
      <w:r w:rsidRPr="00283A68">
        <w:rPr>
          <w:rFonts w:cstheme="minorHAnsi"/>
          <w:sz w:val="24"/>
          <w:szCs w:val="24"/>
        </w:rPr>
        <w:t xml:space="preserve">Gerard Quinn: “These places should not exist.” Deinstitutionalization is not just an issue of </w:t>
      </w:r>
      <w:r w:rsidR="00E01732" w:rsidRPr="00283A68">
        <w:rPr>
          <w:rFonts w:cstheme="minorHAnsi"/>
          <w:sz w:val="24"/>
          <w:szCs w:val="24"/>
        </w:rPr>
        <w:t>the human rights being realized</w:t>
      </w:r>
      <w:r w:rsidRPr="00283A68">
        <w:rPr>
          <w:rFonts w:cstheme="minorHAnsi"/>
          <w:sz w:val="24"/>
          <w:szCs w:val="24"/>
        </w:rPr>
        <w:t xml:space="preserve">. This shows it should be a public health priority. </w:t>
      </w:r>
    </w:p>
    <w:p w14:paraId="4C81CAE4" w14:textId="77777777" w:rsidR="00ED0E73" w:rsidRPr="00283A68" w:rsidRDefault="00ED0E73" w:rsidP="005133FE">
      <w:pPr>
        <w:pStyle w:val="Heading3"/>
      </w:pPr>
      <w:bookmarkStart w:id="5" w:name="_Toc65063852"/>
      <w:r w:rsidRPr="00283A68">
        <w:t>Older persons with disabilities in institutions</w:t>
      </w:r>
      <w:bookmarkEnd w:id="5"/>
    </w:p>
    <w:p w14:paraId="0A604FFF" w14:textId="68EC21C4" w:rsidR="00ED0E73" w:rsidRPr="00283A68" w:rsidRDefault="000F18C8">
      <w:pPr>
        <w:rPr>
          <w:rFonts w:cstheme="minorHAnsi"/>
          <w:sz w:val="24"/>
          <w:szCs w:val="24"/>
        </w:rPr>
      </w:pPr>
      <w:r>
        <w:rPr>
          <w:rFonts w:cstheme="minorHAnsi"/>
          <w:sz w:val="24"/>
          <w:szCs w:val="24"/>
        </w:rPr>
        <w:t xml:space="preserve">The situation is dire for older persons with disabilities in institutions: </w:t>
      </w:r>
      <w:r w:rsidR="00ED0E73" w:rsidRPr="00283A68">
        <w:rPr>
          <w:rFonts w:cstheme="minorHAnsi"/>
          <w:sz w:val="24"/>
          <w:szCs w:val="24"/>
        </w:rPr>
        <w:t xml:space="preserve">One-third (506) of the respondents who knew about the situation said that their government took no measures to protect the life, health, and safety of older persons. Respondents were </w:t>
      </w:r>
      <w:r w:rsidR="005133FE">
        <w:rPr>
          <w:rFonts w:cstheme="minorHAnsi"/>
          <w:sz w:val="24"/>
          <w:szCs w:val="24"/>
        </w:rPr>
        <w:t xml:space="preserve">also </w:t>
      </w:r>
      <w:r w:rsidR="00ED0E73" w:rsidRPr="00283A68">
        <w:rPr>
          <w:rFonts w:cstheme="minorHAnsi"/>
          <w:sz w:val="24"/>
          <w:szCs w:val="24"/>
        </w:rPr>
        <w:t>concerned for the effects that the isolation was having on the mental health of older persons in institutions.</w:t>
      </w:r>
    </w:p>
    <w:p w14:paraId="3F1D1211" w14:textId="4B3169C0" w:rsidR="00ED0E73" w:rsidRPr="00283A68" w:rsidRDefault="00ED0E73" w:rsidP="005133FE">
      <w:pPr>
        <w:pStyle w:val="Heading3"/>
      </w:pPr>
      <w:bookmarkStart w:id="6" w:name="_Toc65063853"/>
      <w:r w:rsidRPr="00283A68">
        <w:t>Restrictions on right to privacy, deprivation of liberty, impacting right to health:</w:t>
      </w:r>
      <w:bookmarkEnd w:id="6"/>
    </w:p>
    <w:p w14:paraId="02A99EAB" w14:textId="333F723D" w:rsidR="00615154" w:rsidRPr="00283A68" w:rsidRDefault="005133FE">
      <w:pPr>
        <w:rPr>
          <w:rFonts w:cstheme="minorHAnsi"/>
          <w:sz w:val="24"/>
          <w:szCs w:val="24"/>
        </w:rPr>
      </w:pPr>
      <w:r>
        <w:rPr>
          <w:rFonts w:cstheme="minorHAnsi"/>
          <w:sz w:val="24"/>
          <w:szCs w:val="24"/>
        </w:rPr>
        <w:t>This was particularly pronounced with b</w:t>
      </w:r>
      <w:r w:rsidR="00ED0E73" w:rsidRPr="00283A68">
        <w:rPr>
          <w:rFonts w:cstheme="minorHAnsi"/>
          <w:sz w:val="24"/>
          <w:szCs w:val="24"/>
        </w:rPr>
        <w:t>an</w:t>
      </w:r>
      <w:r>
        <w:rPr>
          <w:rFonts w:cstheme="minorHAnsi"/>
          <w:sz w:val="24"/>
          <w:szCs w:val="24"/>
        </w:rPr>
        <w:t>s</w:t>
      </w:r>
      <w:r w:rsidR="00ED0E73" w:rsidRPr="00283A68">
        <w:rPr>
          <w:rFonts w:cstheme="minorHAnsi"/>
          <w:sz w:val="24"/>
          <w:szCs w:val="24"/>
        </w:rPr>
        <w:t xml:space="preserve"> on visitors and ban</w:t>
      </w:r>
      <w:r>
        <w:rPr>
          <w:rFonts w:cstheme="minorHAnsi"/>
          <w:sz w:val="24"/>
          <w:szCs w:val="24"/>
        </w:rPr>
        <w:t>s</w:t>
      </w:r>
      <w:r w:rsidR="00ED0E73" w:rsidRPr="00283A68">
        <w:rPr>
          <w:rFonts w:cstheme="minorHAnsi"/>
          <w:sz w:val="24"/>
          <w:szCs w:val="24"/>
        </w:rPr>
        <w:t xml:space="preserve"> on residents leaving. Of those who knew about the situation, the majority, 69% (819), said that persons with disabilities were restricted or banned from leaving the institutions (refer to Figure 5 on the right). A further 84% (1,172) said that the government had banned, or restricted visits from family, friends or others in social care settings, and 82% (984) of those who knew about the situation in psychiatric health facilities said that their government had banned visits</w:t>
      </w:r>
      <w:r w:rsidR="00615154" w:rsidRPr="00283A68">
        <w:rPr>
          <w:rFonts w:cstheme="minorHAnsi"/>
          <w:sz w:val="24"/>
          <w:szCs w:val="24"/>
        </w:rPr>
        <w:t>.</w:t>
      </w:r>
    </w:p>
    <w:p w14:paraId="208792CB" w14:textId="77777777" w:rsidR="00615154" w:rsidRPr="00283A68" w:rsidRDefault="00615154" w:rsidP="00615154">
      <w:pPr>
        <w:pStyle w:val="Heading2"/>
        <w:rPr>
          <w:rFonts w:asciiTheme="minorHAnsi" w:hAnsiTheme="minorHAnsi" w:cstheme="minorHAnsi"/>
          <w:sz w:val="24"/>
          <w:szCs w:val="24"/>
        </w:rPr>
      </w:pPr>
      <w:bookmarkStart w:id="7" w:name="_Toc65063854"/>
      <w:r w:rsidRPr="00283A68">
        <w:rPr>
          <w:rFonts w:asciiTheme="minorHAnsi" w:hAnsiTheme="minorHAnsi" w:cstheme="minorHAnsi"/>
          <w:sz w:val="24"/>
          <w:szCs w:val="24"/>
        </w:rPr>
        <w:t>Breakdown of community supports</w:t>
      </w:r>
      <w:bookmarkEnd w:id="7"/>
    </w:p>
    <w:p w14:paraId="5852357E" w14:textId="0E8509A0" w:rsidR="00615154" w:rsidRPr="00283A68" w:rsidRDefault="005133FE">
      <w:pPr>
        <w:rPr>
          <w:rFonts w:cstheme="minorHAnsi"/>
          <w:sz w:val="24"/>
          <w:szCs w:val="24"/>
        </w:rPr>
      </w:pPr>
      <w:r>
        <w:rPr>
          <w:rFonts w:cstheme="minorHAnsi"/>
          <w:sz w:val="24"/>
          <w:szCs w:val="24"/>
        </w:rPr>
        <w:t xml:space="preserve">The survey reports a breakdown in community supports, as well. </w:t>
      </w:r>
      <w:r w:rsidR="00615154" w:rsidRPr="00283A68">
        <w:rPr>
          <w:rFonts w:cstheme="minorHAnsi"/>
          <w:sz w:val="24"/>
          <w:szCs w:val="24"/>
        </w:rPr>
        <w:t>Many of the essential services that persons with disabilities rely on to live independently in the community were not available during the pandemic. For example, as outlined in Table 3 below, 38% (809) of the survey respondents said that persons with disabilities did not have access to personal assistance. Thirty-three percent (708) said that persons with disabilities did not have access to informal care. A further 23% (490) said that persons with disabilities did not have access to assistive technologies.</w:t>
      </w:r>
    </w:p>
    <w:p w14:paraId="66775E60" w14:textId="77777777" w:rsidR="00615154" w:rsidRPr="00283A68" w:rsidRDefault="00615154" w:rsidP="005133FE">
      <w:pPr>
        <w:pStyle w:val="Heading3"/>
      </w:pPr>
      <w:bookmarkStart w:id="8" w:name="_Toc65063855"/>
      <w:r w:rsidRPr="00283A68">
        <w:t>Access to information</w:t>
      </w:r>
      <w:bookmarkEnd w:id="8"/>
    </w:p>
    <w:p w14:paraId="4B09E64F" w14:textId="3801AC65" w:rsidR="00615154" w:rsidRPr="00283A68" w:rsidRDefault="005133FE">
      <w:pPr>
        <w:rPr>
          <w:rFonts w:cstheme="minorHAnsi"/>
          <w:sz w:val="24"/>
          <w:szCs w:val="24"/>
        </w:rPr>
      </w:pPr>
      <w:r>
        <w:rPr>
          <w:rFonts w:cstheme="minorHAnsi"/>
          <w:sz w:val="24"/>
          <w:szCs w:val="24"/>
        </w:rPr>
        <w:t xml:space="preserve">This included inadequate access to information. </w:t>
      </w:r>
      <w:r w:rsidR="00615154" w:rsidRPr="00283A68">
        <w:rPr>
          <w:rFonts w:cstheme="minorHAnsi"/>
          <w:sz w:val="24"/>
          <w:szCs w:val="24"/>
        </w:rPr>
        <w:t>Almost one-third (621, 30%) of respondents said that persons with disabilities did not receive enough information about the prevention of COVID-19.</w:t>
      </w:r>
    </w:p>
    <w:p w14:paraId="6F7F57F6" w14:textId="77777777" w:rsidR="00615154" w:rsidRPr="00283A68" w:rsidRDefault="00615154" w:rsidP="00615154">
      <w:pPr>
        <w:pStyle w:val="Heading2"/>
        <w:rPr>
          <w:rFonts w:asciiTheme="minorHAnsi" w:hAnsiTheme="minorHAnsi" w:cstheme="minorHAnsi"/>
          <w:sz w:val="24"/>
          <w:szCs w:val="24"/>
        </w:rPr>
      </w:pPr>
      <w:bookmarkStart w:id="9" w:name="_Toc65063856"/>
      <w:r w:rsidRPr="00283A68">
        <w:rPr>
          <w:rFonts w:asciiTheme="minorHAnsi" w:hAnsiTheme="minorHAnsi" w:cstheme="minorHAnsi"/>
          <w:sz w:val="24"/>
          <w:szCs w:val="24"/>
        </w:rPr>
        <w:lastRenderedPageBreak/>
        <w:t>Access to food</w:t>
      </w:r>
      <w:bookmarkEnd w:id="9"/>
      <w:r w:rsidRPr="00283A68">
        <w:rPr>
          <w:rFonts w:asciiTheme="minorHAnsi" w:hAnsiTheme="minorHAnsi" w:cstheme="minorHAnsi"/>
          <w:sz w:val="24"/>
          <w:szCs w:val="24"/>
        </w:rPr>
        <w:t xml:space="preserve"> </w:t>
      </w:r>
    </w:p>
    <w:p w14:paraId="03930B71" w14:textId="74CEAE4D" w:rsidR="00615154" w:rsidRPr="00283A68" w:rsidRDefault="00615154">
      <w:pPr>
        <w:rPr>
          <w:rFonts w:cstheme="minorHAnsi"/>
          <w:sz w:val="24"/>
          <w:szCs w:val="24"/>
        </w:rPr>
      </w:pPr>
      <w:r w:rsidRPr="00283A68">
        <w:rPr>
          <w:rFonts w:cstheme="minorHAnsi"/>
          <w:sz w:val="24"/>
          <w:szCs w:val="24"/>
        </w:rPr>
        <w:t>The survey has revealed that persons with disabilities around the globe did not have access to food and adequate nutrition during the COVID-19 pandemic. Almost one third (633) of the survey respondents in 81 countries said that persons with disabilities in their country could not access food. The ten countries where the highest percentage of respondents reported no access to food were Uganda, Nigeria, Kenya, Bangladesh, India, Colombia, Côte d’Ivoire, Tanzania, Rwanda, and Peru. Several high-income countries were also among those with high proportions of people who said that they could not access food. More than 25% of respondents from Belgium, Canada, France, the United States of America, and the United Kingdom said that persons with disabilities did not have access to food during the pandemic. The findings indicate that the vast majority of governments did not take the appropriate steps to safeguard and promote the right to access food.</w:t>
      </w:r>
    </w:p>
    <w:p w14:paraId="3A165739" w14:textId="30CFD68C" w:rsidR="00615154" w:rsidRPr="00283A68" w:rsidRDefault="00615154" w:rsidP="00615154">
      <w:pPr>
        <w:pStyle w:val="Heading2"/>
        <w:rPr>
          <w:rFonts w:asciiTheme="minorHAnsi" w:hAnsiTheme="minorHAnsi" w:cstheme="minorHAnsi"/>
          <w:sz w:val="24"/>
          <w:szCs w:val="24"/>
        </w:rPr>
      </w:pPr>
      <w:bookmarkStart w:id="10" w:name="_Toc65063857"/>
      <w:r w:rsidRPr="00283A68">
        <w:rPr>
          <w:rFonts w:asciiTheme="minorHAnsi" w:hAnsiTheme="minorHAnsi" w:cstheme="minorHAnsi"/>
          <w:sz w:val="24"/>
          <w:szCs w:val="24"/>
        </w:rPr>
        <w:t>Police harassment</w:t>
      </w:r>
      <w:bookmarkEnd w:id="10"/>
    </w:p>
    <w:p w14:paraId="7CAFA731" w14:textId="421D3031" w:rsidR="00FA3934" w:rsidRPr="00283A68" w:rsidRDefault="005133FE">
      <w:pPr>
        <w:rPr>
          <w:rFonts w:cstheme="minorHAnsi"/>
          <w:sz w:val="24"/>
          <w:szCs w:val="24"/>
        </w:rPr>
      </w:pPr>
      <w:r>
        <w:rPr>
          <w:rFonts w:cstheme="minorHAnsi"/>
          <w:sz w:val="24"/>
          <w:szCs w:val="24"/>
        </w:rPr>
        <w:t xml:space="preserve">There were also more overt reports of harassment from law enforcement. </w:t>
      </w:r>
      <w:r w:rsidR="00615154" w:rsidRPr="00283A68">
        <w:rPr>
          <w:rFonts w:cstheme="minorHAnsi"/>
          <w:sz w:val="24"/>
          <w:szCs w:val="24"/>
        </w:rPr>
        <w:t xml:space="preserve">Around the world persons with disabilities and their family members have had no choice but to break curfew rules to access food and essential medical supplies, because no exceptions were made for them. Public information campaigns were inaccessible </w:t>
      </w:r>
      <w:r>
        <w:rPr>
          <w:rFonts w:cstheme="minorHAnsi"/>
          <w:sz w:val="24"/>
          <w:szCs w:val="24"/>
        </w:rPr>
        <w:t>to large populations during this period</w:t>
      </w:r>
      <w:r w:rsidR="00615154" w:rsidRPr="00283A68">
        <w:rPr>
          <w:rFonts w:cstheme="minorHAnsi"/>
          <w:sz w:val="24"/>
          <w:szCs w:val="24"/>
        </w:rPr>
        <w:t>. The majority of respondents (77%, 1105) said that they did not have information about penalties resulting from breaking state of emergency rules (fines, sanctions, arrest) imposed on persons with disabilities.</w:t>
      </w:r>
    </w:p>
    <w:p w14:paraId="64911B39" w14:textId="10F7BE15" w:rsidR="00283A68" w:rsidRPr="00283A68" w:rsidRDefault="00283A68" w:rsidP="00283A68">
      <w:pPr>
        <w:pStyle w:val="Heading2"/>
        <w:rPr>
          <w:rFonts w:asciiTheme="minorHAnsi" w:hAnsiTheme="minorHAnsi" w:cstheme="minorHAnsi"/>
          <w:sz w:val="24"/>
          <w:szCs w:val="24"/>
        </w:rPr>
      </w:pPr>
      <w:bookmarkStart w:id="11" w:name="_Toc65063858"/>
      <w:r w:rsidRPr="00283A68">
        <w:rPr>
          <w:rFonts w:asciiTheme="minorHAnsi" w:hAnsiTheme="minorHAnsi" w:cstheme="minorHAnsi"/>
          <w:sz w:val="24"/>
          <w:szCs w:val="24"/>
        </w:rPr>
        <w:t xml:space="preserve">Denial of </w:t>
      </w:r>
      <w:r w:rsidR="00FA3934">
        <w:rPr>
          <w:rFonts w:asciiTheme="minorHAnsi" w:hAnsiTheme="minorHAnsi" w:cstheme="minorHAnsi"/>
          <w:sz w:val="24"/>
          <w:szCs w:val="24"/>
        </w:rPr>
        <w:t xml:space="preserve">health </w:t>
      </w:r>
      <w:r w:rsidRPr="00283A68">
        <w:rPr>
          <w:rFonts w:asciiTheme="minorHAnsi" w:hAnsiTheme="minorHAnsi" w:cstheme="minorHAnsi"/>
          <w:sz w:val="24"/>
          <w:szCs w:val="24"/>
        </w:rPr>
        <w:t>treatment for COVID-19 and triage discrimination</w:t>
      </w:r>
      <w:bookmarkEnd w:id="11"/>
    </w:p>
    <w:p w14:paraId="0E4B7708" w14:textId="49C1EA72" w:rsidR="00283A68" w:rsidRPr="00283A68" w:rsidRDefault="00D472DD">
      <w:pPr>
        <w:rPr>
          <w:rFonts w:cstheme="minorHAnsi"/>
          <w:sz w:val="24"/>
          <w:szCs w:val="24"/>
        </w:rPr>
      </w:pPr>
      <w:r>
        <w:rPr>
          <w:rFonts w:cstheme="minorHAnsi"/>
          <w:sz w:val="24"/>
          <w:szCs w:val="24"/>
        </w:rPr>
        <w:t xml:space="preserve">The last specific area I’ll mention today is access to health services. </w:t>
      </w:r>
      <w:r w:rsidR="00283A68" w:rsidRPr="00283A68">
        <w:rPr>
          <w:rFonts w:cstheme="minorHAnsi"/>
          <w:sz w:val="24"/>
          <w:szCs w:val="24"/>
        </w:rPr>
        <w:t>The majority of respondents who knew about access to healthcare for COVID-19 (52%, 390) said that they were denied or deprived of healthcare for COVID-19 during the pandemic.</w:t>
      </w:r>
    </w:p>
    <w:p w14:paraId="2E5794FC" w14:textId="16526C47" w:rsidR="00283A68" w:rsidRPr="00283A68" w:rsidRDefault="00283A68">
      <w:pPr>
        <w:rPr>
          <w:rFonts w:cstheme="minorHAnsi"/>
          <w:sz w:val="24"/>
          <w:szCs w:val="24"/>
        </w:rPr>
      </w:pPr>
      <w:r w:rsidRPr="00283A68">
        <w:rPr>
          <w:rFonts w:cstheme="minorHAnsi"/>
          <w:sz w:val="24"/>
          <w:szCs w:val="24"/>
        </w:rPr>
        <w:t>Several written testimonies from Canada, the United Kingdom, the United States of America, Austria, Luxembourg, the Netherlands, Georgia, France, and South Africa said that hospital triage</w:t>
      </w:r>
      <w:r w:rsidR="005133FE">
        <w:rPr>
          <w:rFonts w:cstheme="minorHAnsi"/>
          <w:sz w:val="24"/>
          <w:szCs w:val="24"/>
        </w:rPr>
        <w:t xml:space="preserve"> procedures indicated</w:t>
      </w:r>
      <w:r w:rsidRPr="00283A68">
        <w:rPr>
          <w:rFonts w:cstheme="minorHAnsi"/>
          <w:sz w:val="24"/>
          <w:szCs w:val="24"/>
        </w:rPr>
        <w:t xml:space="preserve"> discriminat</w:t>
      </w:r>
      <w:r w:rsidR="005133FE">
        <w:rPr>
          <w:rFonts w:cstheme="minorHAnsi"/>
          <w:sz w:val="24"/>
          <w:szCs w:val="24"/>
        </w:rPr>
        <w:t>ion</w:t>
      </w:r>
      <w:r w:rsidRPr="00283A68">
        <w:rPr>
          <w:rFonts w:cstheme="minorHAnsi"/>
          <w:sz w:val="24"/>
          <w:szCs w:val="24"/>
        </w:rPr>
        <w:t xml:space="preserve"> against COVID-19 patients with disabilities in the event of a shortage of hospital places. </w:t>
      </w:r>
    </w:p>
    <w:p w14:paraId="39B4EF46" w14:textId="7B0EB6A0" w:rsidR="00283A68" w:rsidRPr="00283A68" w:rsidRDefault="00E76D41">
      <w:pPr>
        <w:rPr>
          <w:rFonts w:cstheme="minorHAnsi"/>
          <w:sz w:val="24"/>
          <w:szCs w:val="24"/>
        </w:rPr>
      </w:pPr>
      <w:r>
        <w:rPr>
          <w:rFonts w:cstheme="minorHAnsi"/>
          <w:sz w:val="24"/>
          <w:szCs w:val="24"/>
        </w:rPr>
        <w:t xml:space="preserve">And all of these areas: interactions with police, access to healthcare, access to food, institutionalization, </w:t>
      </w:r>
      <w:r w:rsidR="00283A68" w:rsidRPr="00283A68">
        <w:rPr>
          <w:rFonts w:cstheme="minorHAnsi"/>
          <w:sz w:val="24"/>
          <w:szCs w:val="24"/>
        </w:rPr>
        <w:t>hit marginalized persons with disabilities</w:t>
      </w:r>
      <w:r>
        <w:rPr>
          <w:rFonts w:cstheme="minorHAnsi"/>
          <w:sz w:val="24"/>
          <w:szCs w:val="24"/>
        </w:rPr>
        <w:t xml:space="preserve">, those facing racial or gender discrimination, LGBT persons with disabilities, those with intellectual disabilities, and those with psychosocial disabilities, and their families, </w:t>
      </w:r>
      <w:r w:rsidR="00283A68" w:rsidRPr="00283A68">
        <w:rPr>
          <w:rFonts w:cstheme="minorHAnsi"/>
          <w:sz w:val="24"/>
          <w:szCs w:val="24"/>
        </w:rPr>
        <w:t>especially hard</w:t>
      </w:r>
      <w:r>
        <w:rPr>
          <w:rFonts w:cstheme="minorHAnsi"/>
          <w:sz w:val="24"/>
          <w:szCs w:val="24"/>
        </w:rPr>
        <w:t>.</w:t>
      </w:r>
    </w:p>
    <w:p w14:paraId="775D46FF" w14:textId="57757652" w:rsidR="00E01732" w:rsidRPr="00283A68" w:rsidRDefault="00E01732" w:rsidP="00E01732">
      <w:pPr>
        <w:pStyle w:val="Heading1"/>
        <w:rPr>
          <w:rFonts w:asciiTheme="minorHAnsi" w:hAnsiTheme="minorHAnsi" w:cstheme="minorHAnsi"/>
          <w:sz w:val="24"/>
          <w:szCs w:val="24"/>
        </w:rPr>
      </w:pPr>
      <w:bookmarkStart w:id="12" w:name="_Toc65063859"/>
      <w:r w:rsidRPr="00283A68">
        <w:rPr>
          <w:rFonts w:asciiTheme="minorHAnsi" w:hAnsiTheme="minorHAnsi" w:cstheme="minorHAnsi"/>
          <w:sz w:val="24"/>
          <w:szCs w:val="24"/>
        </w:rPr>
        <w:t>Where to go from here</w:t>
      </w:r>
      <w:bookmarkEnd w:id="12"/>
    </w:p>
    <w:p w14:paraId="4096452C" w14:textId="1BAF6437" w:rsidR="00E76D41" w:rsidRPr="00283A68" w:rsidRDefault="008412D6" w:rsidP="00E76D41">
      <w:pPr>
        <w:rPr>
          <w:rFonts w:cstheme="minorHAnsi"/>
          <w:sz w:val="24"/>
          <w:szCs w:val="24"/>
        </w:rPr>
      </w:pPr>
      <w:r w:rsidRPr="00283A68">
        <w:rPr>
          <w:rFonts w:cstheme="minorHAnsi"/>
          <w:sz w:val="24"/>
          <w:szCs w:val="24"/>
        </w:rPr>
        <w:br/>
      </w:r>
      <w:r w:rsidR="00E76D41">
        <w:rPr>
          <w:rFonts w:cstheme="minorHAnsi"/>
          <w:sz w:val="24"/>
          <w:szCs w:val="24"/>
        </w:rPr>
        <w:t xml:space="preserve">So, what is the answer? </w:t>
      </w:r>
      <w:r w:rsidR="006A0240" w:rsidRPr="00283A68">
        <w:rPr>
          <w:rFonts w:cstheme="minorHAnsi"/>
          <w:sz w:val="24"/>
          <w:szCs w:val="24"/>
        </w:rPr>
        <w:t>Consultation and participation</w:t>
      </w:r>
      <w:r w:rsidR="00C5657F">
        <w:rPr>
          <w:rFonts w:cstheme="minorHAnsi"/>
          <w:sz w:val="24"/>
          <w:szCs w:val="24"/>
        </w:rPr>
        <w:t xml:space="preserve">, as Mr. Viera and Ms. </w:t>
      </w:r>
      <w:proofErr w:type="spellStart"/>
      <w:r w:rsidR="00C5657F">
        <w:rPr>
          <w:rFonts w:cstheme="minorHAnsi"/>
          <w:sz w:val="24"/>
          <w:szCs w:val="24"/>
        </w:rPr>
        <w:t>Nuta</w:t>
      </w:r>
      <w:proofErr w:type="spellEnd"/>
      <w:r w:rsidR="00C5657F">
        <w:rPr>
          <w:rFonts w:cstheme="minorHAnsi"/>
          <w:sz w:val="24"/>
          <w:szCs w:val="24"/>
        </w:rPr>
        <w:t xml:space="preserve"> have already discussed</w:t>
      </w:r>
      <w:r w:rsidR="00E76D41">
        <w:rPr>
          <w:rFonts w:cstheme="minorHAnsi"/>
          <w:sz w:val="24"/>
          <w:szCs w:val="24"/>
        </w:rPr>
        <w:t xml:space="preserve">. </w:t>
      </w:r>
      <w:r w:rsidR="00E76D41" w:rsidRPr="00283A68">
        <w:rPr>
          <w:rFonts w:cstheme="minorHAnsi"/>
          <w:sz w:val="24"/>
          <w:szCs w:val="24"/>
        </w:rPr>
        <w:t xml:space="preserve">Governments have to hear this. </w:t>
      </w:r>
    </w:p>
    <w:p w14:paraId="23E2849D" w14:textId="77777777" w:rsidR="00597E93" w:rsidRPr="00597E93" w:rsidRDefault="00E76D41" w:rsidP="00597E93">
      <w:pPr>
        <w:rPr>
          <w:rFonts w:cstheme="minorHAnsi"/>
          <w:sz w:val="24"/>
          <w:szCs w:val="24"/>
        </w:rPr>
      </w:pPr>
      <w:r w:rsidRPr="00597E93">
        <w:rPr>
          <w:rFonts w:cstheme="minorHAnsi"/>
          <w:sz w:val="24"/>
          <w:szCs w:val="24"/>
        </w:rPr>
        <w:lastRenderedPageBreak/>
        <w:t>The CRPD requires it.</w:t>
      </w:r>
      <w:r w:rsidR="00597E93" w:rsidRPr="00597E93">
        <w:rPr>
          <w:rFonts w:ascii="Arial" w:hAnsi="Arial" w:cs="Arial"/>
          <w:sz w:val="24"/>
          <w:szCs w:val="24"/>
        </w:rPr>
        <w:t xml:space="preserve"> </w:t>
      </w:r>
      <w:r w:rsidR="00597E93" w:rsidRPr="00597E93">
        <w:rPr>
          <w:rFonts w:cstheme="minorHAnsi"/>
          <w:sz w:val="24"/>
          <w:szCs w:val="24"/>
        </w:rPr>
        <w:t xml:space="preserve">And policy makers working with organizations of persons with disabilities about decisions that affect them drives efficiency. </w:t>
      </w:r>
    </w:p>
    <w:p w14:paraId="5A80A887" w14:textId="44063255" w:rsidR="00597E93" w:rsidRPr="00597E93" w:rsidRDefault="00597E93" w:rsidP="006A0240">
      <w:pPr>
        <w:rPr>
          <w:rFonts w:cstheme="minorHAnsi"/>
          <w:sz w:val="24"/>
          <w:szCs w:val="24"/>
        </w:rPr>
      </w:pPr>
      <w:r w:rsidRPr="00597E93">
        <w:rPr>
          <w:rFonts w:cstheme="minorHAnsi"/>
          <w:sz w:val="24"/>
          <w:szCs w:val="24"/>
        </w:rPr>
        <w:t xml:space="preserve">While this report has highlighted some examples, it cannot do justice to the crucial work undertaken by many </w:t>
      </w:r>
      <w:proofErr w:type="spellStart"/>
      <w:r w:rsidRPr="00597E93">
        <w:rPr>
          <w:rFonts w:cstheme="minorHAnsi"/>
          <w:sz w:val="24"/>
          <w:szCs w:val="24"/>
        </w:rPr>
        <w:t>organisations</w:t>
      </w:r>
      <w:proofErr w:type="spellEnd"/>
      <w:r w:rsidRPr="00597E93">
        <w:rPr>
          <w:rFonts w:cstheme="minorHAnsi"/>
          <w:sz w:val="24"/>
          <w:szCs w:val="24"/>
        </w:rPr>
        <w:t xml:space="preserve"> to make up for governments’ failings. If there is a lesson to be learned, it is that persons with disabilities and their </w:t>
      </w:r>
      <w:proofErr w:type="spellStart"/>
      <w:r w:rsidRPr="00597E93">
        <w:rPr>
          <w:rFonts w:cstheme="minorHAnsi"/>
          <w:sz w:val="24"/>
          <w:szCs w:val="24"/>
        </w:rPr>
        <w:t>organisations</w:t>
      </w:r>
      <w:proofErr w:type="spellEnd"/>
      <w:r w:rsidRPr="00597E93">
        <w:rPr>
          <w:rFonts w:cstheme="minorHAnsi"/>
          <w:sz w:val="24"/>
          <w:szCs w:val="24"/>
        </w:rPr>
        <w:t xml:space="preserve"> are key to the planning, preparation and implementation of any emergency response, and their crucial role must be adequately acknowledged and supported and they must be integrated into further response.</w:t>
      </w:r>
    </w:p>
    <w:p w14:paraId="44CEDDE6" w14:textId="77777777" w:rsidR="00597E93" w:rsidRPr="00597E93" w:rsidRDefault="00597E93" w:rsidP="006A0240">
      <w:pPr>
        <w:rPr>
          <w:rFonts w:cstheme="minorHAnsi"/>
          <w:sz w:val="24"/>
          <w:szCs w:val="24"/>
        </w:rPr>
      </w:pPr>
    </w:p>
    <w:sectPr w:rsidR="00597E93" w:rsidRPr="00597E9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D286F" w14:textId="77777777" w:rsidR="00845ACC" w:rsidRDefault="00845ACC" w:rsidP="00283A68">
      <w:pPr>
        <w:spacing w:after="0" w:line="240" w:lineRule="auto"/>
      </w:pPr>
      <w:r>
        <w:separator/>
      </w:r>
    </w:p>
  </w:endnote>
  <w:endnote w:type="continuationSeparator" w:id="0">
    <w:p w14:paraId="3D921799" w14:textId="77777777" w:rsidR="00845ACC" w:rsidRDefault="00845ACC" w:rsidP="0028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590935"/>
      <w:docPartObj>
        <w:docPartGallery w:val="Page Numbers (Bottom of Page)"/>
        <w:docPartUnique/>
      </w:docPartObj>
    </w:sdtPr>
    <w:sdtEndPr>
      <w:rPr>
        <w:noProof/>
      </w:rPr>
    </w:sdtEndPr>
    <w:sdtContent>
      <w:p w14:paraId="09C119B4" w14:textId="3C3F672A" w:rsidR="00EA7676" w:rsidRDefault="00EA76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3D33A" w14:textId="77777777" w:rsidR="00EA7676" w:rsidRDefault="00EA7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24B06" w14:textId="77777777" w:rsidR="00845ACC" w:rsidRDefault="00845ACC" w:rsidP="00283A68">
      <w:pPr>
        <w:spacing w:after="0" w:line="240" w:lineRule="auto"/>
      </w:pPr>
      <w:r>
        <w:separator/>
      </w:r>
    </w:p>
  </w:footnote>
  <w:footnote w:type="continuationSeparator" w:id="0">
    <w:p w14:paraId="7B65D725" w14:textId="77777777" w:rsidR="00845ACC" w:rsidRDefault="00845ACC" w:rsidP="00283A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974"/>
    <w:rsid w:val="000550AA"/>
    <w:rsid w:val="00085133"/>
    <w:rsid w:val="000A0971"/>
    <w:rsid w:val="000B7F5F"/>
    <w:rsid w:val="000F18C8"/>
    <w:rsid w:val="00283A68"/>
    <w:rsid w:val="00401974"/>
    <w:rsid w:val="00433991"/>
    <w:rsid w:val="00502817"/>
    <w:rsid w:val="005133FE"/>
    <w:rsid w:val="00597E93"/>
    <w:rsid w:val="00615154"/>
    <w:rsid w:val="00676C68"/>
    <w:rsid w:val="00685CA5"/>
    <w:rsid w:val="006A0240"/>
    <w:rsid w:val="006A57A8"/>
    <w:rsid w:val="0076492F"/>
    <w:rsid w:val="008412D6"/>
    <w:rsid w:val="00845ACC"/>
    <w:rsid w:val="008D43F8"/>
    <w:rsid w:val="00A523CD"/>
    <w:rsid w:val="00AF76A8"/>
    <w:rsid w:val="00B028BB"/>
    <w:rsid w:val="00B87CDA"/>
    <w:rsid w:val="00BF46B7"/>
    <w:rsid w:val="00C27271"/>
    <w:rsid w:val="00C5657F"/>
    <w:rsid w:val="00D472DD"/>
    <w:rsid w:val="00D93161"/>
    <w:rsid w:val="00E01732"/>
    <w:rsid w:val="00E614F9"/>
    <w:rsid w:val="00E76D41"/>
    <w:rsid w:val="00EA7676"/>
    <w:rsid w:val="00ED0E73"/>
    <w:rsid w:val="00F654CB"/>
    <w:rsid w:val="00FA3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CF0"/>
  <w15:chartTrackingRefBased/>
  <w15:docId w15:val="{C1B2B009-51A2-4EFD-95B6-7DA99974E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7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0E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133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73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01732"/>
    <w:pPr>
      <w:outlineLvl w:val="9"/>
    </w:pPr>
  </w:style>
  <w:style w:type="paragraph" w:styleId="TOC1">
    <w:name w:val="toc 1"/>
    <w:basedOn w:val="Normal"/>
    <w:next w:val="Normal"/>
    <w:autoRedefine/>
    <w:uiPriority w:val="39"/>
    <w:unhideWhenUsed/>
    <w:rsid w:val="00E01732"/>
    <w:pPr>
      <w:spacing w:after="100"/>
    </w:pPr>
  </w:style>
  <w:style w:type="character" w:styleId="Hyperlink">
    <w:name w:val="Hyperlink"/>
    <w:basedOn w:val="DefaultParagraphFont"/>
    <w:uiPriority w:val="99"/>
    <w:unhideWhenUsed/>
    <w:rsid w:val="00E01732"/>
    <w:rPr>
      <w:color w:val="0563C1" w:themeColor="hyperlink"/>
      <w:u w:val="single"/>
    </w:rPr>
  </w:style>
  <w:style w:type="character" w:customStyle="1" w:styleId="Heading2Char">
    <w:name w:val="Heading 2 Char"/>
    <w:basedOn w:val="DefaultParagraphFont"/>
    <w:link w:val="Heading2"/>
    <w:uiPriority w:val="9"/>
    <w:rsid w:val="00ED0E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283A68"/>
    <w:pPr>
      <w:spacing w:after="100"/>
      <w:ind w:left="220"/>
    </w:pPr>
  </w:style>
  <w:style w:type="paragraph" w:styleId="Header">
    <w:name w:val="header"/>
    <w:basedOn w:val="Normal"/>
    <w:link w:val="HeaderChar"/>
    <w:uiPriority w:val="99"/>
    <w:unhideWhenUsed/>
    <w:rsid w:val="00283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A68"/>
  </w:style>
  <w:style w:type="paragraph" w:styleId="Footer">
    <w:name w:val="footer"/>
    <w:basedOn w:val="Normal"/>
    <w:link w:val="FooterChar"/>
    <w:uiPriority w:val="99"/>
    <w:unhideWhenUsed/>
    <w:rsid w:val="00283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A68"/>
  </w:style>
  <w:style w:type="character" w:styleId="Strong">
    <w:name w:val="Strong"/>
    <w:basedOn w:val="DefaultParagraphFont"/>
    <w:uiPriority w:val="22"/>
    <w:qFormat/>
    <w:rsid w:val="00D93161"/>
    <w:rPr>
      <w:b/>
      <w:bCs/>
    </w:rPr>
  </w:style>
  <w:style w:type="character" w:customStyle="1" w:styleId="Heading3Char">
    <w:name w:val="Heading 3 Char"/>
    <w:basedOn w:val="DefaultParagraphFont"/>
    <w:link w:val="Heading3"/>
    <w:uiPriority w:val="9"/>
    <w:rsid w:val="005133FE"/>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5133F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5F15-74F4-1741-B719-84AFDC0A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Brown - IDA</dc:creator>
  <cp:keywords/>
  <dc:description/>
  <cp:lastModifiedBy>E. M. Lockwood</cp:lastModifiedBy>
  <cp:revision>4</cp:revision>
  <dcterms:created xsi:type="dcterms:W3CDTF">2021-02-24T18:22:00Z</dcterms:created>
  <dcterms:modified xsi:type="dcterms:W3CDTF">2021-03-05T17:47:00Z</dcterms:modified>
</cp:coreProperties>
</file>