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8ECD2" w14:textId="77777777" w:rsidR="008109C1" w:rsidRPr="008109C1" w:rsidRDefault="00CF0291" w:rsidP="00C53D76">
      <w:pPr>
        <w:spacing w:line="360" w:lineRule="auto"/>
        <w:rPr>
          <w:rFonts w:ascii="Arial" w:hAnsi="Arial" w:cs="Arial"/>
          <w:b/>
          <w:lang w:val="en-US"/>
        </w:rPr>
      </w:pPr>
      <w:r w:rsidRPr="008109C1">
        <w:rPr>
          <w:rFonts w:ascii="Arial" w:hAnsi="Arial" w:cs="Arial"/>
          <w:b/>
          <w:lang w:val="en-US"/>
        </w:rPr>
        <w:t>Partnerships for SDGs</w:t>
      </w:r>
      <w:bookmarkStart w:id="0" w:name="_GoBack"/>
      <w:bookmarkEnd w:id="0"/>
    </w:p>
    <w:p w14:paraId="4EBCEE96" w14:textId="5F321FCF" w:rsidR="00856A56" w:rsidRPr="00326B7D" w:rsidRDefault="00856A56" w:rsidP="00C53D76">
      <w:pPr>
        <w:spacing w:line="276" w:lineRule="auto"/>
        <w:rPr>
          <w:rFonts w:ascii="Arial" w:hAnsi="Arial" w:cs="Arial"/>
          <w:b/>
          <w:lang w:val="en-US"/>
        </w:rPr>
      </w:pPr>
      <w:r w:rsidRPr="00326B7D">
        <w:rPr>
          <w:rFonts w:ascii="Arial" w:hAnsi="Arial" w:cs="Arial"/>
          <w:b/>
          <w:lang w:val="en-US"/>
        </w:rPr>
        <w:t>Background</w:t>
      </w:r>
    </w:p>
    <w:p w14:paraId="50530934" w14:textId="69651F56" w:rsidR="00680AB1" w:rsidRDefault="009A226A" w:rsidP="00C53D76">
      <w:pPr>
        <w:pStyle w:val="NormalWeb"/>
        <w:spacing w:before="0" w:beforeAutospacing="0" w:after="120" w:afterAutospacing="0"/>
        <w:rPr>
          <w:rFonts w:ascii="Arial" w:hAnsi="Arial" w:cs="Arial"/>
        </w:rPr>
      </w:pPr>
      <w:r w:rsidRPr="008109C1">
        <w:rPr>
          <w:rFonts w:ascii="Arial" w:hAnsi="Arial" w:cs="Arial"/>
        </w:rPr>
        <w:t xml:space="preserve">The </w:t>
      </w:r>
      <w:r w:rsidRPr="008109C1">
        <w:rPr>
          <w:rFonts w:ascii="Arial" w:hAnsi="Arial" w:cs="Arial"/>
          <w:b/>
        </w:rPr>
        <w:t>United Nations Conference on Environment and Development (UNCED)</w:t>
      </w:r>
      <w:r w:rsidRPr="008109C1">
        <w:rPr>
          <w:rFonts w:ascii="Arial" w:hAnsi="Arial" w:cs="Arial"/>
        </w:rPr>
        <w:t xml:space="preserve"> of </w:t>
      </w:r>
      <w:r w:rsidRPr="008109C1">
        <w:rPr>
          <w:rFonts w:ascii="Arial" w:hAnsi="Arial" w:cs="Arial"/>
          <w:b/>
        </w:rPr>
        <w:t>1992</w:t>
      </w:r>
      <w:r w:rsidRPr="008109C1">
        <w:rPr>
          <w:rFonts w:ascii="Arial" w:hAnsi="Arial" w:cs="Arial"/>
        </w:rPr>
        <w:t xml:space="preserve"> was the first Conference to explicitly call for the active engagement of various “social groups” in the follow-up of Agenda 21 and identified their roles and responsibilities. Agenda 21 identified in particular </w:t>
      </w:r>
      <w:r w:rsidRPr="008109C1">
        <w:rPr>
          <w:rFonts w:ascii="Arial" w:hAnsi="Arial" w:cs="Arial"/>
          <w:b/>
        </w:rPr>
        <w:t>nine stakeholder groups</w:t>
      </w:r>
      <w:r w:rsidRPr="008109C1">
        <w:rPr>
          <w:rFonts w:ascii="Arial" w:hAnsi="Arial" w:cs="Arial"/>
        </w:rPr>
        <w:t xml:space="preserve"> that could play a role in developing policy and implementing what was agreed: </w:t>
      </w:r>
      <w:r w:rsidRPr="008109C1">
        <w:rPr>
          <w:rFonts w:ascii="Arial" w:hAnsi="Arial" w:cs="Arial"/>
          <w:u w:val="single"/>
        </w:rPr>
        <w:t>Women, Children and Youth, Indigenous Peoples, Non-Governmental Organizations, Local Authorities, Trade Unions, Business and Industry, Scientific and Technological Community and Farmers</w:t>
      </w:r>
      <w:r w:rsidRPr="008109C1">
        <w:rPr>
          <w:rFonts w:ascii="Arial" w:hAnsi="Arial" w:cs="Arial"/>
        </w:rPr>
        <w:t xml:space="preserve">. </w:t>
      </w:r>
      <w:r w:rsidRPr="008109C1">
        <w:rPr>
          <w:rFonts w:ascii="Arial" w:hAnsi="Arial" w:cs="Arial"/>
          <w:b/>
        </w:rPr>
        <w:t>Ten years after</w:t>
      </w:r>
      <w:r w:rsidRPr="008109C1">
        <w:rPr>
          <w:rFonts w:ascii="Arial" w:hAnsi="Arial" w:cs="Arial"/>
        </w:rPr>
        <w:t xml:space="preserve"> UNCED, these groups were allowed to participate in the preparatory phase of the </w:t>
      </w:r>
      <w:r w:rsidRPr="008109C1">
        <w:rPr>
          <w:rFonts w:ascii="Arial" w:hAnsi="Arial" w:cs="Arial"/>
          <w:b/>
        </w:rPr>
        <w:t>World Summit on Sustainable Development (WSSD).</w:t>
      </w:r>
      <w:r w:rsidRPr="008109C1">
        <w:rPr>
          <w:rFonts w:ascii="Arial" w:hAnsi="Arial" w:cs="Arial"/>
        </w:rPr>
        <w:t xml:space="preserve"> Suggestions for increasingly decentralized were incorporated an</w:t>
      </w:r>
      <w:r w:rsidR="00A04888" w:rsidRPr="008109C1">
        <w:rPr>
          <w:rFonts w:ascii="Arial" w:hAnsi="Arial" w:cs="Arial"/>
        </w:rPr>
        <w:t xml:space="preserve">d participatory approaches </w:t>
      </w:r>
      <w:r w:rsidRPr="008109C1">
        <w:rPr>
          <w:rFonts w:ascii="Arial" w:hAnsi="Arial" w:cs="Arial"/>
        </w:rPr>
        <w:t xml:space="preserve">became formally known as </w:t>
      </w:r>
      <w:r w:rsidRPr="008109C1">
        <w:rPr>
          <w:rFonts w:ascii="Arial" w:hAnsi="Arial" w:cs="Arial"/>
          <w:b/>
        </w:rPr>
        <w:t>Type II partnerships</w:t>
      </w:r>
      <w:r w:rsidRPr="008109C1">
        <w:rPr>
          <w:rFonts w:ascii="Arial" w:hAnsi="Arial" w:cs="Arial"/>
        </w:rPr>
        <w:t>. Type II partnerships (which were meant to complement Type I outcomes or agreements and commitments made by Governments) were characterized as ‘</w:t>
      </w:r>
      <w:r w:rsidRPr="008109C1">
        <w:rPr>
          <w:rFonts w:ascii="Arial" w:hAnsi="Arial" w:cs="Arial"/>
          <w:b/>
          <w:u w:val="single"/>
        </w:rPr>
        <w:t>collaborations between national or sub-national governments, private sector actors and civil society actors, who form voluntary transnational agreements in order to meet specific sustainable development goal</w:t>
      </w:r>
      <w:r w:rsidRPr="008109C1">
        <w:rPr>
          <w:rFonts w:ascii="Arial" w:hAnsi="Arial" w:cs="Arial"/>
          <w:b/>
        </w:rPr>
        <w:t>s</w:t>
      </w:r>
      <w:r w:rsidRPr="008109C1">
        <w:rPr>
          <w:rFonts w:ascii="Arial" w:hAnsi="Arial" w:cs="Arial"/>
        </w:rPr>
        <w:t>’.</w:t>
      </w:r>
      <w:r w:rsidR="006A24B7" w:rsidRPr="008109C1">
        <w:rPr>
          <w:rStyle w:val="FootnoteReference"/>
          <w:rFonts w:ascii="Arial" w:hAnsi="Arial" w:cs="Arial"/>
        </w:rPr>
        <w:footnoteReference w:id="1"/>
      </w:r>
      <w:r w:rsidR="001F77D0" w:rsidRPr="008109C1">
        <w:rPr>
          <w:rFonts w:ascii="Arial" w:hAnsi="Arial" w:cs="Arial"/>
        </w:rPr>
        <w:t xml:space="preserve"> </w:t>
      </w:r>
      <w:r w:rsidRPr="008109C1">
        <w:rPr>
          <w:rFonts w:ascii="Arial" w:hAnsi="Arial" w:cs="Arial"/>
        </w:rPr>
        <w:t xml:space="preserve">Type II partnerships must meet </w:t>
      </w:r>
      <w:r w:rsidR="00A04888" w:rsidRPr="008109C1">
        <w:rPr>
          <w:rFonts w:ascii="Arial" w:hAnsi="Arial" w:cs="Arial"/>
        </w:rPr>
        <w:t>certain</w:t>
      </w:r>
      <w:r w:rsidR="000B401E" w:rsidRPr="008109C1">
        <w:rPr>
          <w:rFonts w:ascii="Arial" w:hAnsi="Arial" w:cs="Arial"/>
        </w:rPr>
        <w:t xml:space="preserve"> criteria</w:t>
      </w:r>
      <w:r w:rsidRPr="008109C1">
        <w:rPr>
          <w:rFonts w:ascii="Arial" w:hAnsi="Arial" w:cs="Arial"/>
        </w:rPr>
        <w:t xml:space="preserve"> built on </w:t>
      </w:r>
      <w:r w:rsidRPr="008109C1">
        <w:rPr>
          <w:rFonts w:ascii="Arial" w:hAnsi="Arial" w:cs="Arial"/>
          <w:b/>
        </w:rPr>
        <w:t>the Bali Guidelines</w:t>
      </w:r>
      <w:r w:rsidR="000B401E" w:rsidRPr="008109C1">
        <w:rPr>
          <w:rFonts w:ascii="Arial" w:hAnsi="Arial" w:cs="Arial"/>
          <w:b/>
        </w:rPr>
        <w:t>.</w:t>
      </w:r>
      <w:r w:rsidR="001F77D0" w:rsidRPr="008109C1">
        <w:rPr>
          <w:rStyle w:val="FootnoteReference"/>
          <w:rFonts w:ascii="Arial" w:hAnsi="Arial" w:cs="Arial"/>
          <w:b/>
        </w:rPr>
        <w:footnoteReference w:id="2"/>
      </w:r>
      <w:r w:rsidRPr="008109C1">
        <w:rPr>
          <w:rFonts w:ascii="Arial" w:hAnsi="Arial" w:cs="Arial"/>
        </w:rPr>
        <w:t xml:space="preserve"> In 2003,</w:t>
      </w:r>
      <w:r w:rsidR="006A24B7" w:rsidRPr="008109C1">
        <w:rPr>
          <w:rFonts w:ascii="Arial" w:hAnsi="Arial" w:cs="Arial"/>
        </w:rPr>
        <w:t xml:space="preserve"> these partnership guidelines were updated during </w:t>
      </w:r>
      <w:r w:rsidR="006A24B7" w:rsidRPr="008109C1">
        <w:rPr>
          <w:rFonts w:ascii="Arial" w:hAnsi="Arial" w:cs="Arial"/>
          <w:b/>
        </w:rPr>
        <w:t>11th Session of the Commission on Sustainable Development</w:t>
      </w:r>
      <w:r w:rsidR="00237E85" w:rsidRPr="008109C1">
        <w:rPr>
          <w:rFonts w:ascii="Arial" w:hAnsi="Arial" w:cs="Arial"/>
        </w:rPr>
        <w:t>.</w:t>
      </w:r>
      <w:r w:rsidR="006A24B7" w:rsidRPr="008109C1">
        <w:rPr>
          <w:rStyle w:val="FootnoteReference"/>
          <w:rFonts w:ascii="Arial" w:hAnsi="Arial" w:cs="Arial"/>
        </w:rPr>
        <w:footnoteReference w:id="3"/>
      </w:r>
      <w:r w:rsidR="00237E85" w:rsidRPr="008109C1">
        <w:rPr>
          <w:rFonts w:ascii="Arial" w:hAnsi="Arial" w:cs="Arial"/>
        </w:rPr>
        <w:t xml:space="preserve"> </w:t>
      </w:r>
      <w:r w:rsidRPr="008109C1">
        <w:rPr>
          <w:rFonts w:ascii="Arial" w:hAnsi="Arial" w:cs="Arial"/>
        </w:rPr>
        <w:t>Subsequent to WSSD, there was an emerging consensus that partnerships can play significant roles in helping to implement the outcomes from UN conferences.</w:t>
      </w:r>
      <w:r w:rsidR="006A24B7" w:rsidRPr="008109C1">
        <w:rPr>
          <w:rStyle w:val="FootnoteReference"/>
          <w:rFonts w:ascii="Arial" w:hAnsi="Arial" w:cs="Arial"/>
        </w:rPr>
        <w:footnoteReference w:id="4"/>
      </w:r>
      <w:r w:rsidR="001F77D0" w:rsidRPr="008109C1">
        <w:rPr>
          <w:rFonts w:ascii="Arial" w:hAnsi="Arial" w:cs="Arial"/>
        </w:rPr>
        <w:t xml:space="preserve"> </w:t>
      </w:r>
      <w:r w:rsidR="00856A56" w:rsidRPr="008109C1">
        <w:rPr>
          <w:rFonts w:ascii="Arial" w:hAnsi="Arial" w:cs="Arial"/>
        </w:rPr>
        <w:t xml:space="preserve">Since taking office in 2007, the Secretary-General has launched various transformational multi- stakeholder initiatives such as </w:t>
      </w:r>
      <w:r w:rsidR="00856A56" w:rsidRPr="008109C1">
        <w:rPr>
          <w:rFonts w:ascii="Arial" w:hAnsi="Arial" w:cs="Arial"/>
          <w:b/>
        </w:rPr>
        <w:t>Every Woman Every Child (EWEC</w:t>
      </w:r>
      <w:r w:rsidR="00856A56" w:rsidRPr="008109C1">
        <w:rPr>
          <w:rFonts w:ascii="Arial" w:hAnsi="Arial" w:cs="Arial"/>
        </w:rPr>
        <w:t xml:space="preserve">), the </w:t>
      </w:r>
      <w:r w:rsidR="00856A56" w:rsidRPr="008109C1">
        <w:rPr>
          <w:rFonts w:ascii="Arial" w:hAnsi="Arial" w:cs="Arial"/>
          <w:b/>
        </w:rPr>
        <w:t>Zero Hunger Challenge</w:t>
      </w:r>
      <w:r w:rsidR="00856A56" w:rsidRPr="008109C1">
        <w:rPr>
          <w:rFonts w:ascii="Arial" w:hAnsi="Arial" w:cs="Arial"/>
        </w:rPr>
        <w:t xml:space="preserve">, </w:t>
      </w:r>
      <w:r w:rsidR="00793A27" w:rsidRPr="008109C1">
        <w:rPr>
          <w:rFonts w:ascii="Arial" w:hAnsi="Arial" w:cs="Arial"/>
        </w:rPr>
        <w:t xml:space="preserve">and the </w:t>
      </w:r>
      <w:r w:rsidR="00856A56" w:rsidRPr="008109C1">
        <w:rPr>
          <w:rFonts w:ascii="Arial" w:hAnsi="Arial" w:cs="Arial"/>
          <w:b/>
        </w:rPr>
        <w:t>Global Pulse and Sustainable Energy for All (SE4All</w:t>
      </w:r>
      <w:r w:rsidR="00856A56" w:rsidRPr="008109C1">
        <w:rPr>
          <w:rFonts w:ascii="Arial" w:hAnsi="Arial" w:cs="Arial"/>
        </w:rPr>
        <w:t xml:space="preserve">). </w:t>
      </w:r>
      <w:r w:rsidR="000B1F12" w:rsidRPr="008109C1">
        <w:rPr>
          <w:rFonts w:ascii="Arial" w:hAnsi="Arial" w:cs="Arial"/>
        </w:rPr>
        <w:t>For the</w:t>
      </w:r>
      <w:r w:rsidRPr="008109C1">
        <w:rPr>
          <w:rFonts w:ascii="Arial" w:hAnsi="Arial" w:cs="Arial"/>
        </w:rPr>
        <w:t xml:space="preserve"> </w:t>
      </w:r>
      <w:r w:rsidRPr="008109C1">
        <w:rPr>
          <w:rFonts w:ascii="Arial" w:hAnsi="Arial" w:cs="Arial"/>
          <w:b/>
        </w:rPr>
        <w:t>2012 United Nations Conference on Sustainable Development (Rio+20)</w:t>
      </w:r>
      <w:r w:rsidRPr="008109C1">
        <w:rPr>
          <w:rFonts w:ascii="Arial" w:hAnsi="Arial" w:cs="Arial"/>
        </w:rPr>
        <w:t xml:space="preserve"> </w:t>
      </w:r>
      <w:r w:rsidR="000B1F12" w:rsidRPr="008109C1">
        <w:rPr>
          <w:rFonts w:ascii="Arial" w:hAnsi="Arial" w:cs="Arial"/>
        </w:rPr>
        <w:t>all</w:t>
      </w:r>
      <w:r w:rsidRPr="008109C1">
        <w:rPr>
          <w:rFonts w:ascii="Arial" w:hAnsi="Arial" w:cs="Arial"/>
        </w:rPr>
        <w:t xml:space="preserve"> stakeholders, including government, civil society and the private sector, were invited to make voluntary commitments that deliver concrete results for sustainable development. </w:t>
      </w:r>
      <w:r w:rsidR="00EB1ED6" w:rsidRPr="008109C1">
        <w:rPr>
          <w:rFonts w:ascii="Arial" w:hAnsi="Arial" w:cs="Arial"/>
        </w:rPr>
        <w:t>It is important to highlight that governments invited additional stakeholders, including local communities, volunteer groups and foundations, migrants and families, as well as older persons and persons with disabilities, to participate in UN processes related to sustainable development.</w:t>
      </w:r>
      <w:r w:rsidR="00EB1ED6" w:rsidRPr="008109C1">
        <w:rPr>
          <w:rStyle w:val="FootnoteReference"/>
          <w:rFonts w:ascii="Arial" w:hAnsi="Arial" w:cs="Arial"/>
        </w:rPr>
        <w:footnoteReference w:id="5"/>
      </w:r>
      <w:r w:rsidR="00EB1ED6" w:rsidRPr="008109C1">
        <w:rPr>
          <w:rFonts w:ascii="Arial" w:hAnsi="Arial" w:cs="Arial"/>
        </w:rPr>
        <w:t xml:space="preserve"> </w:t>
      </w:r>
      <w:r w:rsidRPr="008109C1">
        <w:rPr>
          <w:rFonts w:ascii="Arial" w:hAnsi="Arial" w:cs="Arial"/>
        </w:rPr>
        <w:t>By the end of the Conference, over 700 voluntary commitments were announced and compiled into an online</w:t>
      </w:r>
      <w:r w:rsidR="00793A27" w:rsidRPr="008109C1">
        <w:rPr>
          <w:rFonts w:ascii="Arial" w:hAnsi="Arial" w:cs="Arial"/>
        </w:rPr>
        <w:t xml:space="preserve"> platform</w:t>
      </w:r>
      <w:r w:rsidRPr="008109C1">
        <w:rPr>
          <w:rFonts w:ascii="Arial" w:hAnsi="Arial" w:cs="Arial"/>
        </w:rPr>
        <w:t>.</w:t>
      </w:r>
      <w:r w:rsidR="00CF0291" w:rsidRPr="008109C1">
        <w:rPr>
          <w:rStyle w:val="FootnoteReference"/>
          <w:rFonts w:ascii="Arial" w:hAnsi="Arial" w:cs="Arial"/>
        </w:rPr>
        <w:footnoteReference w:id="6"/>
      </w:r>
      <w:r w:rsidR="009C54E0" w:rsidRPr="008109C1">
        <w:rPr>
          <w:rFonts w:ascii="Arial" w:hAnsi="Arial" w:cs="Arial"/>
        </w:rPr>
        <w:t xml:space="preserve"> The platform</w:t>
      </w:r>
      <w:r w:rsidR="003C5B12" w:rsidRPr="008109C1">
        <w:rPr>
          <w:rFonts w:ascii="Arial" w:hAnsi="Arial" w:cs="Arial"/>
        </w:rPr>
        <w:t xml:space="preserve"> initially developed in response to </w:t>
      </w:r>
      <w:r w:rsidR="00793A27" w:rsidRPr="008109C1">
        <w:rPr>
          <w:rFonts w:ascii="Arial" w:hAnsi="Arial" w:cs="Arial"/>
        </w:rPr>
        <w:t>Rio+20</w:t>
      </w:r>
      <w:r w:rsidR="009C54E0" w:rsidRPr="008109C1">
        <w:rPr>
          <w:rFonts w:ascii="Arial" w:hAnsi="Arial" w:cs="Arial"/>
        </w:rPr>
        <w:t xml:space="preserve"> </w:t>
      </w:r>
      <w:r w:rsidR="001F77D0" w:rsidRPr="008109C1">
        <w:rPr>
          <w:rFonts w:ascii="Arial" w:hAnsi="Arial" w:cs="Arial"/>
        </w:rPr>
        <w:t>has been improved to bett</w:t>
      </w:r>
      <w:r w:rsidR="003C5B12" w:rsidRPr="008109C1">
        <w:rPr>
          <w:rFonts w:ascii="Arial" w:hAnsi="Arial" w:cs="Arial"/>
        </w:rPr>
        <w:t xml:space="preserve">er respond to the </w:t>
      </w:r>
      <w:r w:rsidR="003C5B12" w:rsidRPr="008109C1">
        <w:rPr>
          <w:rFonts w:ascii="Arial" w:hAnsi="Arial" w:cs="Arial"/>
          <w:b/>
        </w:rPr>
        <w:t xml:space="preserve">2030 Agenda for Sustainable Development </w:t>
      </w:r>
      <w:r w:rsidR="003C5B12" w:rsidRPr="008109C1">
        <w:rPr>
          <w:rFonts w:ascii="Arial" w:hAnsi="Arial" w:cs="Arial"/>
        </w:rPr>
        <w:t xml:space="preserve">in order to inform all stakeholders on initiatives carried out by multi-stakeholder partnerships in support of the </w:t>
      </w:r>
      <w:r w:rsidR="001F77D0" w:rsidRPr="008109C1">
        <w:rPr>
          <w:rFonts w:ascii="Arial" w:hAnsi="Arial" w:cs="Arial"/>
        </w:rPr>
        <w:t>SDGs</w:t>
      </w:r>
      <w:r w:rsidR="003C5B12" w:rsidRPr="008109C1">
        <w:rPr>
          <w:rFonts w:ascii="Arial" w:hAnsi="Arial" w:cs="Arial"/>
        </w:rPr>
        <w:t xml:space="preserve">, and for linking progress of those initiatives to various follow-up mechanisms of the 2030 Agenda, in particular to the </w:t>
      </w:r>
      <w:r w:rsidR="003C5B12" w:rsidRPr="008109C1">
        <w:rPr>
          <w:rFonts w:ascii="Arial" w:hAnsi="Arial" w:cs="Arial"/>
          <w:b/>
        </w:rPr>
        <w:t xml:space="preserve">High-level Political Forum </w:t>
      </w:r>
      <w:r w:rsidR="00E559F6" w:rsidRPr="008109C1">
        <w:rPr>
          <w:rFonts w:ascii="Arial" w:hAnsi="Arial" w:cs="Arial"/>
          <w:b/>
        </w:rPr>
        <w:t>on Sustainable Development</w:t>
      </w:r>
      <w:r w:rsidR="003C5B12" w:rsidRPr="008109C1">
        <w:rPr>
          <w:rFonts w:ascii="Arial" w:hAnsi="Arial" w:cs="Arial"/>
        </w:rPr>
        <w:t>.</w:t>
      </w:r>
      <w:r w:rsidR="003C5B12" w:rsidRPr="008109C1">
        <w:rPr>
          <w:rStyle w:val="FootnoteReference"/>
          <w:rFonts w:ascii="Arial" w:hAnsi="Arial" w:cs="Arial"/>
        </w:rPr>
        <w:footnoteReference w:id="7"/>
      </w:r>
    </w:p>
    <w:p w14:paraId="1BC19EB4" w14:textId="77777777" w:rsidR="00C53D76" w:rsidRDefault="001F77D0" w:rsidP="00C53D76">
      <w:pPr>
        <w:pStyle w:val="NormalWeb"/>
        <w:spacing w:before="0" w:beforeAutospacing="0" w:after="0" w:afterAutospacing="0" w:line="276" w:lineRule="auto"/>
        <w:rPr>
          <w:rFonts w:ascii="Arial" w:hAnsi="Arial" w:cs="Arial"/>
          <w:b/>
        </w:rPr>
      </w:pPr>
      <w:r w:rsidRPr="008109C1">
        <w:rPr>
          <w:rFonts w:ascii="Arial" w:hAnsi="Arial" w:cs="Arial"/>
          <w:b/>
        </w:rPr>
        <w:t>Multi-stakeholders Partnerships</w:t>
      </w:r>
      <w:r w:rsidR="00E36CEC" w:rsidRPr="008109C1">
        <w:rPr>
          <w:rFonts w:ascii="Arial" w:hAnsi="Arial" w:cs="Arial"/>
          <w:b/>
        </w:rPr>
        <w:t xml:space="preserve"> (MSPs)</w:t>
      </w:r>
    </w:p>
    <w:p w14:paraId="680993AB" w14:textId="6DF2236C" w:rsidR="00856C64" w:rsidRPr="00C53D76" w:rsidRDefault="001F77D0" w:rsidP="00C53D76">
      <w:pPr>
        <w:pStyle w:val="NormalWeb"/>
        <w:spacing w:before="0" w:beforeAutospacing="0" w:after="0" w:afterAutospacing="0"/>
        <w:rPr>
          <w:rFonts w:ascii="Arial" w:hAnsi="Arial" w:cs="Arial"/>
          <w:b/>
        </w:rPr>
      </w:pPr>
      <w:r w:rsidRPr="008109C1">
        <w:rPr>
          <w:rFonts w:ascii="Arial" w:hAnsi="Arial" w:cs="Arial"/>
        </w:rPr>
        <w:t>Partnerships are defined as voluntary and collaborative relationships between various parties, both state and non-state, in which all participants agree to work together to achieve a common purpose or undertake a specific task</w:t>
      </w:r>
      <w:r w:rsidR="00793A27" w:rsidRPr="008109C1">
        <w:rPr>
          <w:rFonts w:ascii="Arial" w:hAnsi="Arial" w:cs="Arial"/>
        </w:rPr>
        <w:t>,</w:t>
      </w:r>
      <w:r w:rsidRPr="008109C1">
        <w:rPr>
          <w:rFonts w:ascii="Arial" w:hAnsi="Arial" w:cs="Arial"/>
        </w:rPr>
        <w:t xml:space="preserve"> and to share risks and responsibilities, resources and benefits.</w:t>
      </w:r>
      <w:r w:rsidRPr="008109C1">
        <w:rPr>
          <w:rStyle w:val="FootnoteReference"/>
          <w:rFonts w:ascii="Arial" w:hAnsi="Arial" w:cs="Arial"/>
        </w:rPr>
        <w:footnoteReference w:id="8"/>
      </w:r>
      <w:r w:rsidRPr="008109C1">
        <w:rPr>
          <w:rFonts w:ascii="Arial" w:hAnsi="Arial" w:cs="Arial"/>
        </w:rPr>
        <w:t xml:space="preserve"> </w:t>
      </w:r>
      <w:r w:rsidRPr="008109C1">
        <w:rPr>
          <w:rFonts w:ascii="Arial" w:hAnsi="Arial" w:cs="Arial"/>
          <w:b/>
        </w:rPr>
        <w:t xml:space="preserve">Multi-stakeholder partnerships </w:t>
      </w:r>
      <w:r w:rsidR="00E36CEC" w:rsidRPr="008109C1">
        <w:rPr>
          <w:rFonts w:ascii="Arial" w:hAnsi="Arial" w:cs="Arial"/>
          <w:b/>
        </w:rPr>
        <w:t>(MSPs</w:t>
      </w:r>
      <w:r w:rsidR="00E36CEC" w:rsidRPr="008109C1">
        <w:rPr>
          <w:rFonts w:ascii="Arial" w:hAnsi="Arial" w:cs="Arial"/>
        </w:rPr>
        <w:t xml:space="preserve">) </w:t>
      </w:r>
      <w:r w:rsidR="00AB22F4" w:rsidRPr="008109C1">
        <w:rPr>
          <w:rFonts w:ascii="Arial" w:hAnsi="Arial" w:cs="Arial"/>
        </w:rPr>
        <w:t xml:space="preserve">can range </w:t>
      </w:r>
      <w:r w:rsidRPr="008109C1">
        <w:rPr>
          <w:rFonts w:ascii="Arial" w:hAnsi="Arial" w:cs="Arial"/>
        </w:rPr>
        <w:t>from loose forum-like structures allowing for active debate and the exchange of knowledge and experience, to more formalised structures based on the creation of a legal entity with appropriate governance structures to ensure transparency and accountability.</w:t>
      </w:r>
      <w:r w:rsidR="009B30C4" w:rsidRPr="008109C1">
        <w:rPr>
          <w:rFonts w:ascii="Arial" w:hAnsi="Arial" w:cs="Arial"/>
        </w:rPr>
        <w:t xml:space="preserve"> The core theme of </w:t>
      </w:r>
      <w:r w:rsidR="00E36CEC" w:rsidRPr="008109C1">
        <w:rPr>
          <w:rFonts w:ascii="Arial" w:hAnsi="Arial" w:cs="Arial"/>
        </w:rPr>
        <w:t>MSPs</w:t>
      </w:r>
      <w:r w:rsidR="009B30C4" w:rsidRPr="008109C1">
        <w:rPr>
          <w:rFonts w:ascii="Arial" w:hAnsi="Arial" w:cs="Arial"/>
        </w:rPr>
        <w:t xml:space="preserve"> is joint value creation by all the participating members. </w:t>
      </w:r>
      <w:r w:rsidR="00E36CEC" w:rsidRPr="008109C1">
        <w:rPr>
          <w:rFonts w:ascii="Arial" w:hAnsi="Arial" w:cs="Arial"/>
        </w:rPr>
        <w:t xml:space="preserve">MSPs </w:t>
      </w:r>
      <w:r w:rsidR="009B30C4" w:rsidRPr="008109C1">
        <w:rPr>
          <w:rFonts w:ascii="Arial" w:hAnsi="Arial" w:cs="Arial"/>
        </w:rPr>
        <w:t>are important to bring abo</w:t>
      </w:r>
      <w:r w:rsidR="00793A27" w:rsidRPr="008109C1">
        <w:rPr>
          <w:rFonts w:ascii="Arial" w:hAnsi="Arial" w:cs="Arial"/>
        </w:rPr>
        <w:t>ut policy change</w:t>
      </w:r>
      <w:r w:rsidR="009B30C4" w:rsidRPr="008109C1">
        <w:rPr>
          <w:rFonts w:ascii="Arial" w:hAnsi="Arial" w:cs="Arial"/>
        </w:rPr>
        <w:t xml:space="preserve"> and  find innovative and synergistic ways to pool resources and </w:t>
      </w:r>
      <w:r w:rsidR="009B30C4" w:rsidRPr="008109C1">
        <w:rPr>
          <w:rFonts w:ascii="Arial" w:hAnsi="Arial" w:cs="Arial"/>
        </w:rPr>
        <w:lastRenderedPageBreak/>
        <w:t>talents, based on</w:t>
      </w:r>
      <w:r w:rsidR="00E559F6" w:rsidRPr="008109C1">
        <w:rPr>
          <w:rFonts w:ascii="Arial" w:hAnsi="Arial" w:cs="Arial"/>
        </w:rPr>
        <w:t xml:space="preserve"> each participant’s strengths</w:t>
      </w:r>
      <w:r w:rsidR="009B30C4" w:rsidRPr="008109C1">
        <w:rPr>
          <w:rFonts w:ascii="Arial" w:hAnsi="Arial" w:cs="Arial"/>
        </w:rPr>
        <w:t>.</w:t>
      </w:r>
      <w:r w:rsidR="00856C64" w:rsidRPr="008109C1">
        <w:rPr>
          <w:rStyle w:val="FootnoteReference"/>
          <w:rFonts w:ascii="Arial" w:hAnsi="Arial" w:cs="Arial"/>
        </w:rPr>
        <w:footnoteReference w:id="9"/>
      </w:r>
      <w:r w:rsidR="00856C64" w:rsidRPr="008109C1">
        <w:rPr>
          <w:rFonts w:ascii="Arial" w:hAnsi="Arial" w:cs="Arial"/>
        </w:rPr>
        <w:t xml:space="preserve"> </w:t>
      </w:r>
      <w:r w:rsidR="00AC675D" w:rsidRPr="008109C1">
        <w:rPr>
          <w:rFonts w:ascii="Arial" w:hAnsi="Arial" w:cs="Arial"/>
        </w:rPr>
        <w:t xml:space="preserve">There are </w:t>
      </w:r>
      <w:r w:rsidR="00A743F9" w:rsidRPr="008109C1">
        <w:rPr>
          <w:rFonts w:ascii="Arial" w:hAnsi="Arial" w:cs="Arial"/>
        </w:rPr>
        <w:t>large differences in function, goals, capacity and membership constellations of MSPs.</w:t>
      </w:r>
      <w:r w:rsidR="00A743F9" w:rsidRPr="008109C1">
        <w:rPr>
          <w:rStyle w:val="FootnoteReference"/>
          <w:rFonts w:ascii="Arial" w:hAnsi="Arial" w:cs="Arial"/>
        </w:rPr>
        <w:footnoteReference w:id="10"/>
      </w:r>
      <w:r w:rsidR="00CB32D6" w:rsidRPr="008109C1">
        <w:rPr>
          <w:rFonts w:ascii="Arial" w:hAnsi="Arial" w:cs="Arial"/>
        </w:rPr>
        <w:t xml:space="preserve"> The figure below provides a basic typology of the spectrum of </w:t>
      </w:r>
      <w:r w:rsidR="00E36CEC" w:rsidRPr="008109C1">
        <w:rPr>
          <w:rFonts w:ascii="Arial" w:hAnsi="Arial" w:cs="Arial"/>
        </w:rPr>
        <w:t>MSPs</w:t>
      </w:r>
      <w:r w:rsidR="00CB32D6" w:rsidRPr="008109C1">
        <w:rPr>
          <w:rFonts w:ascii="Arial" w:hAnsi="Arial" w:cs="Arial"/>
        </w:rPr>
        <w:t>.</w:t>
      </w:r>
      <w:r w:rsidR="00CB32D6" w:rsidRPr="008109C1">
        <w:rPr>
          <w:rStyle w:val="FootnoteReference"/>
          <w:rFonts w:ascii="Arial" w:hAnsi="Arial" w:cs="Arial"/>
        </w:rPr>
        <w:footnoteReference w:id="11"/>
      </w:r>
    </w:p>
    <w:p w14:paraId="632BFB1C" w14:textId="33FF5CAF" w:rsidR="00CB32D6" w:rsidRPr="008109C1" w:rsidRDefault="00CB32D6" w:rsidP="00CB32D6">
      <w:pPr>
        <w:widowControl w:val="0"/>
        <w:autoSpaceDE w:val="0"/>
        <w:autoSpaceDN w:val="0"/>
        <w:adjustRightInd w:val="0"/>
        <w:spacing w:line="280" w:lineRule="atLeast"/>
        <w:rPr>
          <w:rFonts w:ascii="Arial" w:hAnsi="Arial" w:cs="Arial"/>
          <w:lang w:val="en-US"/>
        </w:rPr>
      </w:pPr>
      <w:r w:rsidRPr="008109C1">
        <w:rPr>
          <w:rFonts w:ascii="Arial" w:hAnsi="Arial" w:cs="Arial"/>
          <w:noProof/>
          <w:lang w:val="en-US"/>
        </w:rPr>
        <w:drawing>
          <wp:inline distT="0" distB="0" distL="0" distR="0" wp14:anchorId="15AE84DE" wp14:editId="04D936A0">
            <wp:extent cx="5943600" cy="2475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a:ln>
                      <a:noFill/>
                    </a:ln>
                  </pic:spPr>
                </pic:pic>
              </a:graphicData>
            </a:graphic>
          </wp:inline>
        </w:drawing>
      </w:r>
    </w:p>
    <w:p w14:paraId="267197E0" w14:textId="7CDF63F2" w:rsidR="009C54E0" w:rsidRPr="008109C1" w:rsidRDefault="009C54E0" w:rsidP="00527DBD">
      <w:pPr>
        <w:pStyle w:val="EndnoteText"/>
        <w:rPr>
          <w:rFonts w:ascii="Arial" w:hAnsi="Arial" w:cs="Arial"/>
          <w:sz w:val="16"/>
          <w:szCs w:val="16"/>
          <w:lang w:val="en-US"/>
        </w:rPr>
      </w:pPr>
      <w:r w:rsidRPr="008109C1">
        <w:rPr>
          <w:rFonts w:ascii="Arial" w:hAnsi="Arial" w:cs="Arial"/>
          <w:sz w:val="16"/>
          <w:szCs w:val="16"/>
        </w:rPr>
        <w:t>[ALT]</w:t>
      </w:r>
      <w:r w:rsidRPr="008109C1">
        <w:rPr>
          <w:rFonts w:ascii="Arial" w:hAnsi="Arial" w:cs="Arial"/>
          <w:sz w:val="16"/>
          <w:szCs w:val="16"/>
          <w:lang w:val="en-US"/>
        </w:rPr>
        <w:t>Goal: From addressing a defined problem to addressing a systemic challenges; Models: Joint Project: Short-term, one-time collaborative effort among a small set of partners, often to develop or pilot an innovative product or approach; Joint Program: Collaboration among small set of partners to implement a program to address a specific aspect of a social problem; Strategic Alliance: Platform for ongoing collaboration around one or more related social issues, aligning partners (typically &gt;5) in support of a common agenda and joint investments; Collective Impact: Initiative based on long -term commitments to a common agenda by the group of cross- sector actors needed to realize system- wide change around a social problem</w:t>
      </w:r>
    </w:p>
    <w:p w14:paraId="459297C7" w14:textId="12BA1FC2" w:rsidR="00E36CEC" w:rsidRPr="008109C1" w:rsidRDefault="00E36CEC" w:rsidP="00CB32D6">
      <w:pPr>
        <w:pStyle w:val="NormalWeb"/>
        <w:rPr>
          <w:rFonts w:ascii="Arial" w:hAnsi="Arial" w:cs="Arial"/>
        </w:rPr>
      </w:pPr>
      <w:r w:rsidRPr="008109C1">
        <w:rPr>
          <w:rFonts w:ascii="Arial" w:hAnsi="Arial" w:cs="Arial"/>
        </w:rPr>
        <w:t>W</w:t>
      </w:r>
      <w:r w:rsidR="00CB32D6" w:rsidRPr="008109C1">
        <w:rPr>
          <w:rFonts w:ascii="Arial" w:hAnsi="Arial" w:cs="Arial"/>
        </w:rPr>
        <w:t>ell- designed and adequately-resourced global partnerships can have a number of</w:t>
      </w:r>
      <w:r w:rsidRPr="008109C1">
        <w:rPr>
          <w:rFonts w:ascii="Arial" w:hAnsi="Arial" w:cs="Arial"/>
        </w:rPr>
        <w:t xml:space="preserve"> potential </w:t>
      </w:r>
      <w:r w:rsidRPr="008109C1">
        <w:rPr>
          <w:rFonts w:ascii="Arial" w:hAnsi="Arial" w:cs="Arial"/>
          <w:b/>
        </w:rPr>
        <w:t>benefits</w:t>
      </w:r>
      <w:r w:rsidRPr="008109C1">
        <w:rPr>
          <w:rFonts w:ascii="Arial" w:hAnsi="Arial" w:cs="Arial"/>
        </w:rPr>
        <w:t>, including:</w:t>
      </w:r>
    </w:p>
    <w:p w14:paraId="10ACE285" w14:textId="320E7790" w:rsidR="00E36CEC" w:rsidRPr="008109C1" w:rsidRDefault="00CB32D6" w:rsidP="00E36CEC">
      <w:pPr>
        <w:pStyle w:val="NormalWeb"/>
        <w:numPr>
          <w:ilvl w:val="0"/>
          <w:numId w:val="1"/>
        </w:numPr>
        <w:rPr>
          <w:rFonts w:ascii="Arial" w:hAnsi="Arial" w:cs="Arial"/>
        </w:rPr>
      </w:pPr>
      <w:r w:rsidRPr="008109C1">
        <w:rPr>
          <w:rFonts w:ascii="Arial" w:hAnsi="Arial" w:cs="Arial"/>
          <w:b/>
        </w:rPr>
        <w:t>Advancing more integrated, comprehensive and scalable approaches</w:t>
      </w:r>
      <w:r w:rsidR="00FD6407" w:rsidRPr="008109C1">
        <w:rPr>
          <w:rFonts w:ascii="Arial" w:hAnsi="Arial" w:cs="Arial"/>
          <w:b/>
        </w:rPr>
        <w:t xml:space="preserve"> to SDG challenges</w:t>
      </w:r>
      <w:r w:rsidRPr="008109C1">
        <w:rPr>
          <w:rFonts w:ascii="Arial" w:hAnsi="Arial" w:cs="Arial"/>
        </w:rPr>
        <w:t xml:space="preserve"> by:</w:t>
      </w:r>
    </w:p>
    <w:p w14:paraId="12052CC8" w14:textId="6B1CE4C0" w:rsidR="00E36CEC" w:rsidRPr="008109C1" w:rsidRDefault="00E36CEC" w:rsidP="00E36CEC">
      <w:pPr>
        <w:pStyle w:val="NormalWeb"/>
        <w:numPr>
          <w:ilvl w:val="1"/>
          <w:numId w:val="1"/>
        </w:numPr>
        <w:rPr>
          <w:rFonts w:ascii="Arial" w:hAnsi="Arial" w:cs="Arial"/>
          <w:lang w:val="en-US"/>
        </w:rPr>
      </w:pPr>
      <w:r w:rsidRPr="008109C1">
        <w:rPr>
          <w:rFonts w:ascii="Arial" w:hAnsi="Arial" w:cs="Arial"/>
          <w:b/>
          <w:lang w:val="en-US"/>
        </w:rPr>
        <w:t>Facilitating cross–sector dialogue</w:t>
      </w:r>
      <w:r w:rsidRPr="008109C1">
        <w:rPr>
          <w:rFonts w:ascii="Arial" w:hAnsi="Arial" w:cs="Arial"/>
          <w:lang w:val="en-US"/>
        </w:rPr>
        <w:t xml:space="preserve"> toward co-creating and aligning around a common agenda for action and advocacy</w:t>
      </w:r>
    </w:p>
    <w:p w14:paraId="5B8BE972" w14:textId="5F1CF47F" w:rsidR="00E36CEC" w:rsidRPr="008109C1" w:rsidRDefault="00E36CEC" w:rsidP="00E36CEC">
      <w:pPr>
        <w:pStyle w:val="NormalWeb"/>
        <w:numPr>
          <w:ilvl w:val="1"/>
          <w:numId w:val="1"/>
        </w:numPr>
        <w:rPr>
          <w:rFonts w:ascii="Arial" w:hAnsi="Arial" w:cs="Arial"/>
        </w:rPr>
      </w:pPr>
      <w:r w:rsidRPr="008109C1">
        <w:rPr>
          <w:rFonts w:ascii="Arial" w:hAnsi="Arial" w:cs="Arial"/>
          <w:b/>
          <w:lang w:val="en-US"/>
        </w:rPr>
        <w:t>Combining and leveraging the complementary roles and</w:t>
      </w:r>
      <w:r w:rsidRPr="008109C1">
        <w:rPr>
          <w:rFonts w:ascii="Arial" w:hAnsi="Arial" w:cs="Arial"/>
          <w:lang w:val="en-US"/>
        </w:rPr>
        <w:t xml:space="preserve"> diverse </w:t>
      </w:r>
      <w:r w:rsidRPr="008109C1">
        <w:rPr>
          <w:rFonts w:ascii="Arial" w:hAnsi="Arial" w:cs="Arial"/>
          <w:b/>
          <w:lang w:val="en-US"/>
        </w:rPr>
        <w:t>capabilities</w:t>
      </w:r>
      <w:r w:rsidRPr="008109C1">
        <w:rPr>
          <w:rFonts w:ascii="Arial" w:hAnsi="Arial" w:cs="Arial"/>
          <w:lang w:val="en-US"/>
        </w:rPr>
        <w:t xml:space="preserve"> of </w:t>
      </w:r>
      <w:r w:rsidR="00AB22F4" w:rsidRPr="008109C1">
        <w:rPr>
          <w:rFonts w:ascii="Arial" w:hAnsi="Arial" w:cs="Arial"/>
          <w:lang w:val="en-US"/>
        </w:rPr>
        <w:t>a larger set of cross-sector</w:t>
      </w:r>
      <w:r w:rsidRPr="008109C1">
        <w:rPr>
          <w:rFonts w:ascii="Arial" w:hAnsi="Arial" w:cs="Arial"/>
          <w:lang w:val="en-US"/>
        </w:rPr>
        <w:t xml:space="preserve"> stakeholders and promoting their inclusive participation </w:t>
      </w:r>
    </w:p>
    <w:p w14:paraId="218791C8" w14:textId="3D369987" w:rsidR="00E36CEC" w:rsidRPr="008109C1" w:rsidRDefault="00E36CEC" w:rsidP="00E36CEC">
      <w:pPr>
        <w:pStyle w:val="ListParagraph"/>
        <w:numPr>
          <w:ilvl w:val="1"/>
          <w:numId w:val="1"/>
        </w:numPr>
        <w:rPr>
          <w:rFonts w:ascii="Arial" w:hAnsi="Arial" w:cs="Arial"/>
          <w:sz w:val="20"/>
          <w:szCs w:val="20"/>
          <w:lang w:val="en-US"/>
        </w:rPr>
      </w:pPr>
      <w:r w:rsidRPr="008109C1">
        <w:rPr>
          <w:rFonts w:ascii="Arial" w:hAnsi="Arial" w:cs="Arial"/>
          <w:b/>
          <w:sz w:val="20"/>
          <w:szCs w:val="20"/>
          <w:lang w:val="en-US"/>
        </w:rPr>
        <w:t>Facilitating a shift to more</w:t>
      </w:r>
      <w:r w:rsidRPr="008109C1">
        <w:rPr>
          <w:rFonts w:ascii="Arial" w:hAnsi="Arial" w:cs="Arial"/>
          <w:sz w:val="20"/>
          <w:szCs w:val="20"/>
          <w:lang w:val="en-US"/>
        </w:rPr>
        <w:t xml:space="preserve"> </w:t>
      </w:r>
      <w:r w:rsidRPr="008109C1">
        <w:rPr>
          <w:rFonts w:ascii="Arial" w:hAnsi="Arial" w:cs="Arial"/>
          <w:b/>
          <w:sz w:val="20"/>
          <w:szCs w:val="20"/>
          <w:lang w:val="en-US"/>
        </w:rPr>
        <w:t>programmatic approaches</w:t>
      </w:r>
      <w:r w:rsidRPr="008109C1">
        <w:rPr>
          <w:rFonts w:ascii="Arial" w:hAnsi="Arial" w:cs="Arial"/>
          <w:sz w:val="20"/>
          <w:szCs w:val="20"/>
          <w:lang w:val="en-US"/>
        </w:rPr>
        <w:t xml:space="preserve"> to planning, investment and implementation</w:t>
      </w:r>
    </w:p>
    <w:p w14:paraId="68AAF6C4" w14:textId="63C4C2DE" w:rsidR="00E36CEC" w:rsidRPr="008109C1" w:rsidRDefault="00E36CEC" w:rsidP="00E36CEC">
      <w:pPr>
        <w:pStyle w:val="ListParagraph"/>
        <w:numPr>
          <w:ilvl w:val="1"/>
          <w:numId w:val="1"/>
        </w:numPr>
        <w:rPr>
          <w:rFonts w:ascii="Arial" w:hAnsi="Arial" w:cs="Arial"/>
          <w:sz w:val="20"/>
          <w:szCs w:val="20"/>
          <w:lang w:val="en-US"/>
        </w:rPr>
      </w:pPr>
      <w:r w:rsidRPr="008109C1">
        <w:rPr>
          <w:rFonts w:ascii="Arial" w:hAnsi="Arial" w:cs="Arial"/>
          <w:b/>
          <w:sz w:val="20"/>
          <w:szCs w:val="20"/>
          <w:lang w:val="en-US"/>
        </w:rPr>
        <w:t>Providing multi-level platforms</w:t>
      </w:r>
      <w:r w:rsidRPr="008109C1">
        <w:rPr>
          <w:rFonts w:ascii="Arial" w:hAnsi="Arial" w:cs="Arial"/>
          <w:sz w:val="20"/>
          <w:szCs w:val="20"/>
          <w:lang w:val="en-US"/>
        </w:rPr>
        <w:t xml:space="preserve"> or networks for achieving sustainable impact at scale by opening up new opportunities for collaboration; </w:t>
      </w:r>
      <w:r w:rsidRPr="008109C1">
        <w:rPr>
          <w:rFonts w:ascii="Arial" w:hAnsi="Arial" w:cs="Arial"/>
          <w:b/>
          <w:sz w:val="20"/>
          <w:szCs w:val="20"/>
          <w:lang w:val="en-US"/>
        </w:rPr>
        <w:t>linking action</w:t>
      </w:r>
      <w:r w:rsidRPr="008109C1">
        <w:rPr>
          <w:rFonts w:ascii="Arial" w:hAnsi="Arial" w:cs="Arial"/>
          <w:sz w:val="20"/>
          <w:szCs w:val="20"/>
          <w:lang w:val="en-US"/>
        </w:rPr>
        <w:t xml:space="preserve"> across multiple scales </w:t>
      </w:r>
      <w:r w:rsidRPr="008109C1">
        <w:rPr>
          <w:rFonts w:ascii="Arial" w:hAnsi="Arial" w:cs="Arial"/>
          <w:b/>
          <w:sz w:val="20"/>
          <w:szCs w:val="20"/>
          <w:lang w:val="en-US"/>
        </w:rPr>
        <w:t>from global to local and local to global</w:t>
      </w:r>
      <w:r w:rsidRPr="008109C1">
        <w:rPr>
          <w:rFonts w:ascii="Arial" w:hAnsi="Arial" w:cs="Arial"/>
          <w:sz w:val="20"/>
          <w:szCs w:val="20"/>
          <w:lang w:val="en-US"/>
        </w:rPr>
        <w:t xml:space="preserve">; and by </w:t>
      </w:r>
      <w:r w:rsidRPr="008109C1">
        <w:rPr>
          <w:rFonts w:ascii="Arial" w:hAnsi="Arial" w:cs="Arial"/>
          <w:b/>
          <w:sz w:val="20"/>
          <w:szCs w:val="20"/>
          <w:lang w:val="en-US"/>
        </w:rPr>
        <w:t>facilitating rapid learning</w:t>
      </w:r>
      <w:r w:rsidRPr="008109C1">
        <w:rPr>
          <w:rFonts w:ascii="Arial" w:hAnsi="Arial" w:cs="Arial"/>
          <w:sz w:val="20"/>
          <w:szCs w:val="20"/>
          <w:lang w:val="en-US"/>
        </w:rPr>
        <w:t xml:space="preserve"> and efficient knowledge transfer, both horizontally and vertically</w:t>
      </w:r>
    </w:p>
    <w:p w14:paraId="6C274A84" w14:textId="2B97BF79" w:rsidR="00E36CEC" w:rsidRPr="008109C1" w:rsidRDefault="00E36CEC" w:rsidP="00E36CEC">
      <w:pPr>
        <w:pStyle w:val="ListParagraph"/>
        <w:numPr>
          <w:ilvl w:val="0"/>
          <w:numId w:val="1"/>
        </w:numPr>
        <w:rPr>
          <w:rFonts w:ascii="Arial" w:hAnsi="Arial" w:cs="Arial"/>
          <w:sz w:val="20"/>
          <w:szCs w:val="20"/>
          <w:lang w:val="en-US"/>
        </w:rPr>
      </w:pPr>
      <w:r w:rsidRPr="008109C1">
        <w:rPr>
          <w:rFonts w:ascii="Arial" w:hAnsi="Arial" w:cs="Arial"/>
          <w:b/>
          <w:sz w:val="20"/>
          <w:szCs w:val="20"/>
          <w:lang w:val="en-US"/>
        </w:rPr>
        <w:t>Advancing more integrated, efficient and effective approaches to financing</w:t>
      </w:r>
      <w:r w:rsidRPr="008109C1">
        <w:rPr>
          <w:rFonts w:ascii="Arial" w:hAnsi="Arial" w:cs="Arial"/>
          <w:sz w:val="20"/>
          <w:szCs w:val="20"/>
          <w:lang w:val="en-US"/>
        </w:rPr>
        <w:t xml:space="preserve"> by:</w:t>
      </w:r>
    </w:p>
    <w:p w14:paraId="3A62922E" w14:textId="77F2D679" w:rsidR="00E36CEC" w:rsidRPr="008109C1" w:rsidRDefault="00E36CEC" w:rsidP="00E36CEC">
      <w:pPr>
        <w:pStyle w:val="ListParagraph"/>
        <w:numPr>
          <w:ilvl w:val="1"/>
          <w:numId w:val="1"/>
        </w:numPr>
        <w:rPr>
          <w:rFonts w:ascii="Arial" w:hAnsi="Arial" w:cs="Arial"/>
          <w:sz w:val="20"/>
          <w:szCs w:val="20"/>
          <w:lang w:val="en-US"/>
        </w:rPr>
      </w:pPr>
      <w:r w:rsidRPr="008109C1">
        <w:rPr>
          <w:rFonts w:ascii="Arial" w:hAnsi="Arial" w:cs="Arial"/>
          <w:sz w:val="20"/>
          <w:szCs w:val="20"/>
          <w:lang w:val="en-US"/>
        </w:rPr>
        <w:t xml:space="preserve">Using </w:t>
      </w:r>
      <w:r w:rsidR="00FD6407" w:rsidRPr="008109C1">
        <w:rPr>
          <w:rFonts w:ascii="Arial" w:hAnsi="Arial" w:cs="Arial"/>
          <w:b/>
          <w:sz w:val="20"/>
          <w:szCs w:val="20"/>
          <w:lang w:val="en-US"/>
        </w:rPr>
        <w:t>pooled financing mechanisms</w:t>
      </w:r>
      <w:r w:rsidR="004E6E67" w:rsidRPr="008109C1">
        <w:rPr>
          <w:rStyle w:val="FootnoteReference"/>
          <w:rFonts w:ascii="Arial" w:hAnsi="Arial" w:cs="Arial"/>
          <w:b/>
          <w:sz w:val="20"/>
          <w:szCs w:val="20"/>
          <w:lang w:val="en-US"/>
        </w:rPr>
        <w:footnoteReference w:id="12"/>
      </w:r>
      <w:r w:rsidR="00FD6407" w:rsidRPr="008109C1">
        <w:rPr>
          <w:rFonts w:ascii="Arial" w:hAnsi="Arial" w:cs="Arial"/>
          <w:sz w:val="20"/>
          <w:szCs w:val="20"/>
          <w:lang w:val="en-US"/>
        </w:rPr>
        <w:t xml:space="preserve"> </w:t>
      </w:r>
      <w:r w:rsidRPr="008109C1">
        <w:rPr>
          <w:rFonts w:ascii="Arial" w:hAnsi="Arial" w:cs="Arial"/>
          <w:sz w:val="20"/>
          <w:szCs w:val="20"/>
          <w:lang w:val="en-US"/>
        </w:rPr>
        <w:t>for mobilizing, combining and allocating diverse sources of international and domestic public and private finance</w:t>
      </w:r>
    </w:p>
    <w:p w14:paraId="728EBBA9" w14:textId="0A2FF32A" w:rsidR="00E36CEC" w:rsidRPr="008109C1" w:rsidRDefault="00E36CEC" w:rsidP="00E36CEC">
      <w:pPr>
        <w:pStyle w:val="ListParagraph"/>
        <w:numPr>
          <w:ilvl w:val="1"/>
          <w:numId w:val="1"/>
        </w:numPr>
        <w:rPr>
          <w:rFonts w:ascii="Arial" w:hAnsi="Arial" w:cs="Arial"/>
          <w:sz w:val="20"/>
          <w:szCs w:val="20"/>
          <w:lang w:val="en-US"/>
        </w:rPr>
      </w:pPr>
      <w:r w:rsidRPr="008109C1">
        <w:rPr>
          <w:rFonts w:ascii="Arial" w:hAnsi="Arial" w:cs="Arial"/>
          <w:sz w:val="20"/>
          <w:szCs w:val="20"/>
          <w:lang w:val="en-US"/>
        </w:rPr>
        <w:t xml:space="preserve">Employing </w:t>
      </w:r>
      <w:r w:rsidRPr="008109C1">
        <w:rPr>
          <w:rFonts w:ascii="Arial" w:hAnsi="Arial" w:cs="Arial"/>
          <w:b/>
          <w:sz w:val="20"/>
          <w:szCs w:val="20"/>
          <w:lang w:val="en-US"/>
        </w:rPr>
        <w:t>blended finance</w:t>
      </w:r>
      <w:r w:rsidR="004E6E67" w:rsidRPr="008109C1">
        <w:rPr>
          <w:rStyle w:val="FootnoteReference"/>
          <w:rFonts w:ascii="Arial" w:hAnsi="Arial" w:cs="Arial"/>
          <w:b/>
          <w:sz w:val="20"/>
          <w:szCs w:val="20"/>
          <w:lang w:val="en-US"/>
        </w:rPr>
        <w:footnoteReference w:id="13"/>
      </w:r>
      <w:r w:rsidRPr="008109C1">
        <w:rPr>
          <w:rFonts w:ascii="Arial" w:hAnsi="Arial" w:cs="Arial"/>
          <w:sz w:val="20"/>
          <w:szCs w:val="20"/>
          <w:lang w:val="en-US"/>
        </w:rPr>
        <w:t xml:space="preserve"> approaches and instruments for the strategic use of public funds to mobilize private finance and catalyze public and private investments for development purposes in partner countries</w:t>
      </w:r>
    </w:p>
    <w:p w14:paraId="68C23123" w14:textId="3A4B411E" w:rsidR="00E36CEC" w:rsidRPr="008109C1" w:rsidRDefault="00E36CEC" w:rsidP="00E36CEC">
      <w:pPr>
        <w:pStyle w:val="ListParagraph"/>
        <w:numPr>
          <w:ilvl w:val="1"/>
          <w:numId w:val="1"/>
        </w:numPr>
        <w:rPr>
          <w:rFonts w:ascii="Arial" w:hAnsi="Arial" w:cs="Arial"/>
          <w:sz w:val="20"/>
          <w:szCs w:val="20"/>
          <w:lang w:val="en-US"/>
        </w:rPr>
      </w:pPr>
      <w:r w:rsidRPr="008109C1">
        <w:rPr>
          <w:rFonts w:ascii="Arial" w:hAnsi="Arial" w:cs="Arial"/>
          <w:sz w:val="20"/>
          <w:szCs w:val="20"/>
          <w:lang w:val="en-US"/>
        </w:rPr>
        <w:t xml:space="preserve">Enhancing efficiency and effectiveness by </w:t>
      </w:r>
      <w:r w:rsidRPr="008109C1">
        <w:rPr>
          <w:rFonts w:ascii="Arial" w:hAnsi="Arial" w:cs="Arial"/>
          <w:b/>
          <w:sz w:val="20"/>
          <w:szCs w:val="20"/>
          <w:lang w:val="en-US"/>
        </w:rPr>
        <w:t>lowering transaction costs and reducing fragmentation and duplication</w:t>
      </w:r>
      <w:r w:rsidRPr="008109C1">
        <w:rPr>
          <w:rFonts w:ascii="Arial" w:hAnsi="Arial" w:cs="Arial"/>
          <w:sz w:val="20"/>
          <w:szCs w:val="20"/>
          <w:lang w:val="en-US"/>
        </w:rPr>
        <w:t xml:space="preserve">; more </w:t>
      </w:r>
      <w:r w:rsidRPr="008109C1">
        <w:rPr>
          <w:rFonts w:ascii="Arial" w:hAnsi="Arial" w:cs="Arial"/>
          <w:b/>
          <w:sz w:val="20"/>
          <w:szCs w:val="20"/>
          <w:lang w:val="en-US"/>
        </w:rPr>
        <w:t>flexible targeting of support</w:t>
      </w:r>
      <w:r w:rsidRPr="008109C1">
        <w:rPr>
          <w:rFonts w:ascii="Arial" w:hAnsi="Arial" w:cs="Arial"/>
          <w:sz w:val="20"/>
          <w:szCs w:val="20"/>
          <w:lang w:val="en-US"/>
        </w:rPr>
        <w:t xml:space="preserve"> to countries, groups and areas most in need; and providing </w:t>
      </w:r>
      <w:r w:rsidRPr="008109C1">
        <w:rPr>
          <w:rFonts w:ascii="Arial" w:hAnsi="Arial" w:cs="Arial"/>
          <w:b/>
          <w:sz w:val="20"/>
          <w:szCs w:val="20"/>
          <w:lang w:val="en-US"/>
        </w:rPr>
        <w:t>more predictable multi-year funding commitments.</w:t>
      </w:r>
    </w:p>
    <w:p w14:paraId="01C9E1D8" w14:textId="316C6049" w:rsidR="00CF0291" w:rsidRPr="008109C1" w:rsidRDefault="00E36CEC" w:rsidP="00C53D76">
      <w:pPr>
        <w:pStyle w:val="ListParagraph"/>
        <w:numPr>
          <w:ilvl w:val="0"/>
          <w:numId w:val="1"/>
        </w:numPr>
        <w:spacing w:after="120"/>
        <w:rPr>
          <w:rFonts w:ascii="Arial" w:hAnsi="Arial" w:cs="Arial"/>
          <w:sz w:val="20"/>
          <w:szCs w:val="20"/>
          <w:lang w:val="en-US"/>
        </w:rPr>
      </w:pPr>
      <w:r w:rsidRPr="008109C1">
        <w:rPr>
          <w:rFonts w:ascii="Arial" w:hAnsi="Arial" w:cs="Arial"/>
          <w:b/>
          <w:sz w:val="20"/>
          <w:szCs w:val="20"/>
          <w:lang w:val="en-US"/>
        </w:rPr>
        <w:t>Providing platforms for global advocacy and mobilization of civil society</w:t>
      </w:r>
      <w:r w:rsidRPr="008109C1">
        <w:rPr>
          <w:rFonts w:ascii="Arial" w:hAnsi="Arial" w:cs="Arial"/>
          <w:sz w:val="20"/>
          <w:szCs w:val="20"/>
          <w:lang w:val="en-US"/>
        </w:rPr>
        <w:t xml:space="preserve"> around priority poverty eradication and sustainable development challenges.</w:t>
      </w:r>
      <w:r w:rsidR="00E559F6" w:rsidRPr="008109C1">
        <w:rPr>
          <w:rStyle w:val="FootnoteReference"/>
          <w:rFonts w:ascii="Arial" w:hAnsi="Arial" w:cs="Arial"/>
          <w:sz w:val="20"/>
          <w:szCs w:val="20"/>
          <w:lang w:val="en-US"/>
        </w:rPr>
        <w:footnoteReference w:id="14"/>
      </w:r>
      <w:r w:rsidR="007D4905" w:rsidRPr="008109C1">
        <w:rPr>
          <w:rFonts w:ascii="Arial" w:hAnsi="Arial" w:cs="Arial"/>
          <w:sz w:val="20"/>
          <w:szCs w:val="20"/>
          <w:lang w:val="en-US"/>
        </w:rPr>
        <w:t xml:space="preserve"> Civil society groups can either play an advocacy or campaigning role, or they can become part of </w:t>
      </w:r>
      <w:r w:rsidR="001D707E" w:rsidRPr="008109C1">
        <w:rPr>
          <w:rFonts w:ascii="Arial" w:hAnsi="Arial" w:cs="Arial"/>
          <w:sz w:val="20"/>
          <w:szCs w:val="20"/>
          <w:lang w:val="en-US"/>
        </w:rPr>
        <w:t>the solution, drawing on their</w:t>
      </w:r>
      <w:r w:rsidR="007D4905" w:rsidRPr="008109C1">
        <w:rPr>
          <w:rFonts w:ascii="Arial" w:hAnsi="Arial" w:cs="Arial"/>
          <w:sz w:val="20"/>
          <w:szCs w:val="20"/>
          <w:lang w:val="en-US"/>
        </w:rPr>
        <w:t xml:space="preserve"> knowledge, capacity for innovation and trust of the general public to contribute in partnership to sustainable solutions</w:t>
      </w:r>
      <w:r w:rsidR="007D4905" w:rsidRPr="008109C1">
        <w:rPr>
          <w:rStyle w:val="FootnoteReference"/>
          <w:rFonts w:ascii="Arial" w:hAnsi="Arial" w:cs="Arial"/>
          <w:sz w:val="20"/>
          <w:szCs w:val="20"/>
          <w:lang w:val="en-US"/>
        </w:rPr>
        <w:footnoteReference w:id="15"/>
      </w:r>
    </w:p>
    <w:p w14:paraId="165D19C6" w14:textId="0CB282CC" w:rsidR="00235F83" w:rsidRPr="008109C1" w:rsidRDefault="00235F83" w:rsidP="00C53D76">
      <w:pPr>
        <w:spacing w:line="276" w:lineRule="auto"/>
        <w:rPr>
          <w:rFonts w:ascii="Arial" w:hAnsi="Arial" w:cs="Arial"/>
          <w:b/>
          <w:sz w:val="20"/>
          <w:szCs w:val="20"/>
          <w:lang w:val="en-US"/>
        </w:rPr>
      </w:pPr>
      <w:r w:rsidRPr="008109C1">
        <w:rPr>
          <w:rFonts w:ascii="Arial" w:hAnsi="Arial" w:cs="Arial"/>
          <w:b/>
          <w:sz w:val="20"/>
          <w:szCs w:val="20"/>
          <w:lang w:val="en-US"/>
        </w:rPr>
        <w:t>DPOs and MSPs</w:t>
      </w:r>
    </w:p>
    <w:p w14:paraId="1AC2BA79" w14:textId="77777777" w:rsidR="004E6E67" w:rsidRPr="008109C1" w:rsidRDefault="00726496" w:rsidP="00C53D76">
      <w:pPr>
        <w:rPr>
          <w:rFonts w:ascii="Arial" w:hAnsi="Arial" w:cs="Arial"/>
          <w:sz w:val="20"/>
          <w:szCs w:val="20"/>
          <w:lang w:val="en-US"/>
        </w:rPr>
      </w:pPr>
      <w:r w:rsidRPr="008109C1">
        <w:rPr>
          <w:rFonts w:ascii="Arial" w:hAnsi="Arial" w:cs="Arial"/>
          <w:sz w:val="20"/>
          <w:szCs w:val="20"/>
          <w:lang w:val="en-US"/>
        </w:rPr>
        <w:t xml:space="preserve">Particularly, DPOs could </w:t>
      </w:r>
      <w:r w:rsidR="00395F37" w:rsidRPr="008109C1">
        <w:rPr>
          <w:rFonts w:ascii="Arial" w:hAnsi="Arial" w:cs="Arial"/>
          <w:sz w:val="20"/>
          <w:szCs w:val="20"/>
          <w:lang w:val="en-US"/>
        </w:rPr>
        <w:t>take the “</w:t>
      </w:r>
      <w:r w:rsidR="00395F37" w:rsidRPr="008109C1">
        <w:rPr>
          <w:rFonts w:ascii="Arial" w:hAnsi="Arial" w:cs="Arial"/>
          <w:b/>
          <w:sz w:val="20"/>
          <w:szCs w:val="20"/>
          <w:lang w:val="en-US"/>
        </w:rPr>
        <w:t>twin-track approach</w:t>
      </w:r>
      <w:r w:rsidR="00395F37" w:rsidRPr="008109C1">
        <w:rPr>
          <w:rFonts w:ascii="Arial" w:hAnsi="Arial" w:cs="Arial"/>
          <w:sz w:val="20"/>
          <w:szCs w:val="20"/>
          <w:lang w:val="en-US"/>
        </w:rPr>
        <w:t>”</w:t>
      </w:r>
      <w:r w:rsidRPr="008109C1">
        <w:rPr>
          <w:rFonts w:ascii="Arial" w:hAnsi="Arial" w:cs="Arial"/>
          <w:sz w:val="20"/>
          <w:szCs w:val="20"/>
          <w:lang w:val="en-US"/>
        </w:rPr>
        <w:t xml:space="preserve"> to </w:t>
      </w:r>
    </w:p>
    <w:p w14:paraId="7DD38ECE" w14:textId="0B271795" w:rsidR="004E6E67" w:rsidRPr="008109C1" w:rsidRDefault="00726496" w:rsidP="004E6E67">
      <w:pPr>
        <w:pStyle w:val="ListParagraph"/>
        <w:numPr>
          <w:ilvl w:val="0"/>
          <w:numId w:val="2"/>
        </w:numPr>
        <w:rPr>
          <w:rFonts w:ascii="Arial" w:hAnsi="Arial" w:cs="Arial"/>
          <w:sz w:val="20"/>
          <w:szCs w:val="20"/>
          <w:lang w:val="en-US"/>
        </w:rPr>
      </w:pPr>
      <w:proofErr w:type="gramStart"/>
      <w:r w:rsidRPr="008109C1">
        <w:rPr>
          <w:rFonts w:ascii="Arial" w:hAnsi="Arial" w:cs="Arial"/>
          <w:b/>
          <w:sz w:val="20"/>
          <w:szCs w:val="20"/>
          <w:lang w:val="en-US"/>
        </w:rPr>
        <w:t>mainstream</w:t>
      </w:r>
      <w:proofErr w:type="gramEnd"/>
      <w:r w:rsidRPr="008109C1">
        <w:rPr>
          <w:rFonts w:ascii="Arial" w:hAnsi="Arial" w:cs="Arial"/>
          <w:b/>
          <w:sz w:val="20"/>
          <w:szCs w:val="20"/>
          <w:lang w:val="en-US"/>
        </w:rPr>
        <w:t xml:space="preserve"> disability</w:t>
      </w:r>
      <w:r w:rsidRPr="008109C1">
        <w:rPr>
          <w:rFonts w:ascii="Arial" w:hAnsi="Arial" w:cs="Arial"/>
          <w:sz w:val="20"/>
          <w:szCs w:val="20"/>
          <w:lang w:val="en-US"/>
        </w:rPr>
        <w:t xml:space="preserve"> through strategically participating in diverse MSPs</w:t>
      </w:r>
      <w:r w:rsidR="004E6E67" w:rsidRPr="008109C1">
        <w:rPr>
          <w:rFonts w:ascii="Arial" w:hAnsi="Arial" w:cs="Arial"/>
          <w:sz w:val="20"/>
          <w:szCs w:val="20"/>
          <w:lang w:val="en-US"/>
        </w:rPr>
        <w:t xml:space="preserve"> that constitute </w:t>
      </w:r>
      <w:r w:rsidR="004E6E67" w:rsidRPr="008109C1">
        <w:rPr>
          <w:rFonts w:ascii="Arial" w:hAnsi="Arial" w:cs="Arial"/>
          <w:b/>
          <w:sz w:val="20"/>
          <w:szCs w:val="20"/>
          <w:lang w:val="en-US"/>
        </w:rPr>
        <w:t>strategic alliances</w:t>
      </w:r>
      <w:r w:rsidR="004E6E67" w:rsidRPr="008109C1">
        <w:rPr>
          <w:rFonts w:ascii="Arial" w:hAnsi="Arial" w:cs="Arial"/>
          <w:sz w:val="20"/>
          <w:szCs w:val="20"/>
          <w:lang w:val="en-US"/>
        </w:rPr>
        <w:t xml:space="preserve"> or address</w:t>
      </w:r>
      <w:r w:rsidR="00395F37" w:rsidRPr="008109C1">
        <w:rPr>
          <w:rFonts w:ascii="Arial" w:hAnsi="Arial" w:cs="Arial"/>
          <w:sz w:val="20"/>
          <w:szCs w:val="20"/>
          <w:lang w:val="en-US"/>
        </w:rPr>
        <w:t xml:space="preserve"> </w:t>
      </w:r>
      <w:r w:rsidR="00395F37" w:rsidRPr="008109C1">
        <w:rPr>
          <w:rFonts w:ascii="Arial" w:hAnsi="Arial" w:cs="Arial"/>
          <w:b/>
          <w:sz w:val="20"/>
          <w:szCs w:val="20"/>
          <w:lang w:val="en-US"/>
        </w:rPr>
        <w:t>systemic challenges</w:t>
      </w:r>
      <w:r w:rsidRPr="008109C1">
        <w:rPr>
          <w:rFonts w:ascii="Arial" w:hAnsi="Arial" w:cs="Arial"/>
          <w:sz w:val="20"/>
          <w:szCs w:val="20"/>
          <w:lang w:val="en-US"/>
        </w:rPr>
        <w:t xml:space="preserve">, </w:t>
      </w:r>
      <w:r w:rsidR="004E6E67" w:rsidRPr="008109C1">
        <w:rPr>
          <w:rFonts w:ascii="Arial" w:hAnsi="Arial" w:cs="Arial"/>
          <w:sz w:val="20"/>
          <w:szCs w:val="20"/>
          <w:lang w:val="en-US"/>
        </w:rPr>
        <w:t>and</w:t>
      </w:r>
    </w:p>
    <w:p w14:paraId="11CF2AAD" w14:textId="5D487C7C" w:rsidR="00F07E85" w:rsidRPr="008109C1" w:rsidRDefault="00395F37" w:rsidP="004E6E67">
      <w:pPr>
        <w:pStyle w:val="ListParagraph"/>
        <w:numPr>
          <w:ilvl w:val="0"/>
          <w:numId w:val="2"/>
        </w:numPr>
        <w:rPr>
          <w:rFonts w:ascii="Arial" w:hAnsi="Arial" w:cs="Arial"/>
          <w:sz w:val="20"/>
          <w:szCs w:val="20"/>
          <w:lang w:val="en-US"/>
        </w:rPr>
      </w:pPr>
      <w:proofErr w:type="gramStart"/>
      <w:r w:rsidRPr="008109C1">
        <w:rPr>
          <w:rFonts w:ascii="Arial" w:hAnsi="Arial" w:cs="Arial"/>
          <w:b/>
          <w:sz w:val="20"/>
          <w:szCs w:val="20"/>
          <w:lang w:val="en-US"/>
        </w:rPr>
        <w:t>convene</w:t>
      </w:r>
      <w:proofErr w:type="gramEnd"/>
      <w:r w:rsidRPr="008109C1">
        <w:rPr>
          <w:rFonts w:ascii="Arial" w:hAnsi="Arial" w:cs="Arial"/>
          <w:b/>
          <w:sz w:val="20"/>
          <w:szCs w:val="20"/>
          <w:lang w:val="en-US"/>
        </w:rPr>
        <w:t xml:space="preserve"> and lead</w:t>
      </w:r>
      <w:r w:rsidRPr="008109C1">
        <w:rPr>
          <w:rFonts w:ascii="Arial" w:hAnsi="Arial" w:cs="Arial"/>
          <w:sz w:val="20"/>
          <w:szCs w:val="20"/>
          <w:lang w:val="en-US"/>
        </w:rPr>
        <w:t xml:space="preserve"> various partners in order </w:t>
      </w:r>
      <w:r w:rsidRPr="008109C1">
        <w:rPr>
          <w:rFonts w:ascii="Arial" w:hAnsi="Arial" w:cs="Arial"/>
          <w:b/>
          <w:sz w:val="20"/>
          <w:szCs w:val="20"/>
          <w:lang w:val="en-US"/>
        </w:rPr>
        <w:t>to</w:t>
      </w:r>
      <w:r w:rsidR="00726496" w:rsidRPr="008109C1">
        <w:rPr>
          <w:rFonts w:ascii="Arial" w:hAnsi="Arial" w:cs="Arial"/>
          <w:b/>
          <w:sz w:val="20"/>
          <w:szCs w:val="20"/>
          <w:lang w:val="en-US"/>
        </w:rPr>
        <w:t xml:space="preserve"> support disability-specific</w:t>
      </w:r>
      <w:r w:rsidRPr="008109C1">
        <w:rPr>
          <w:rFonts w:ascii="Arial" w:hAnsi="Arial" w:cs="Arial"/>
          <w:b/>
          <w:sz w:val="20"/>
          <w:szCs w:val="20"/>
          <w:lang w:val="en-US"/>
        </w:rPr>
        <w:t xml:space="preserve"> SDG projects and programs</w:t>
      </w:r>
      <w:r w:rsidR="00F07E85" w:rsidRPr="008109C1">
        <w:rPr>
          <w:rFonts w:ascii="Arial" w:hAnsi="Arial" w:cs="Arial"/>
          <w:sz w:val="20"/>
          <w:szCs w:val="20"/>
          <w:lang w:val="en-US"/>
        </w:rPr>
        <w:t>.</w:t>
      </w:r>
      <w:r w:rsidR="00BF721F" w:rsidRPr="008109C1">
        <w:rPr>
          <w:rFonts w:ascii="Arial" w:hAnsi="Arial" w:cs="Arial"/>
          <w:sz w:val="20"/>
          <w:szCs w:val="20"/>
          <w:lang w:val="en-US"/>
        </w:rPr>
        <w:t xml:space="preserve"> The projects and programs could be stand-alone or part of bigger efforts</w:t>
      </w:r>
    </w:p>
    <w:p w14:paraId="1FDBD476" w14:textId="53A4FC19" w:rsidR="00726496" w:rsidRPr="008109C1" w:rsidRDefault="00395F37" w:rsidP="00235F83">
      <w:pPr>
        <w:ind w:left="720"/>
        <w:rPr>
          <w:rFonts w:ascii="Arial" w:hAnsi="Arial" w:cs="Arial"/>
          <w:sz w:val="20"/>
          <w:szCs w:val="20"/>
          <w:lang w:val="en-US"/>
        </w:rPr>
      </w:pPr>
      <w:r w:rsidRPr="008109C1">
        <w:rPr>
          <w:rFonts w:ascii="Arial" w:hAnsi="Arial" w:cs="Arial"/>
          <w:sz w:val="20"/>
          <w:szCs w:val="20"/>
          <w:lang w:val="en-US"/>
        </w:rPr>
        <w:t xml:space="preserve"> </w:t>
      </w:r>
    </w:p>
    <w:p w14:paraId="4BBB50F0" w14:textId="4C248DE7" w:rsidR="00D06774" w:rsidRPr="008109C1" w:rsidRDefault="00BF721F" w:rsidP="00235F83">
      <w:pPr>
        <w:ind w:left="720"/>
        <w:rPr>
          <w:rFonts w:ascii="Arial" w:hAnsi="Arial" w:cs="Arial"/>
          <w:sz w:val="20"/>
          <w:szCs w:val="20"/>
          <w:lang w:val="en-US"/>
        </w:rPr>
      </w:pPr>
      <w:r w:rsidRPr="008109C1">
        <w:rPr>
          <w:rFonts w:ascii="Arial" w:hAnsi="Arial" w:cs="Arial"/>
          <w:sz w:val="20"/>
          <w:szCs w:val="20"/>
          <w:lang w:val="en-US"/>
        </w:rPr>
        <w:t>In particular, with</w:t>
      </w:r>
      <w:r w:rsidR="001D707E" w:rsidRPr="008109C1">
        <w:rPr>
          <w:rFonts w:ascii="Arial" w:hAnsi="Arial" w:cs="Arial"/>
          <w:sz w:val="20"/>
          <w:szCs w:val="20"/>
          <w:lang w:val="en-US"/>
        </w:rPr>
        <w:t xml:space="preserve"> </w:t>
      </w:r>
      <w:r w:rsidR="00D06774" w:rsidRPr="008109C1">
        <w:rPr>
          <w:rFonts w:ascii="Arial" w:hAnsi="Arial" w:cs="Arial"/>
          <w:sz w:val="20"/>
          <w:szCs w:val="20"/>
          <w:lang w:val="en-US"/>
        </w:rPr>
        <w:t xml:space="preserve">regard to </w:t>
      </w:r>
      <w:r w:rsidR="00D06774" w:rsidRPr="008109C1">
        <w:rPr>
          <w:rFonts w:ascii="Arial" w:hAnsi="Arial" w:cs="Arial"/>
          <w:b/>
          <w:sz w:val="20"/>
          <w:szCs w:val="20"/>
          <w:u w:val="single"/>
          <w:lang w:val="en-US"/>
        </w:rPr>
        <w:t>mainstreaming disability</w:t>
      </w:r>
      <w:r w:rsidR="00D06774" w:rsidRPr="008109C1">
        <w:rPr>
          <w:rFonts w:ascii="Arial" w:hAnsi="Arial" w:cs="Arial"/>
          <w:b/>
          <w:sz w:val="20"/>
          <w:szCs w:val="20"/>
          <w:lang w:val="en-US"/>
        </w:rPr>
        <w:t xml:space="preserve">, </w:t>
      </w:r>
      <w:r w:rsidR="00235F83" w:rsidRPr="008109C1">
        <w:rPr>
          <w:rFonts w:ascii="Arial" w:hAnsi="Arial" w:cs="Arial"/>
          <w:b/>
          <w:sz w:val="20"/>
          <w:szCs w:val="20"/>
          <w:lang w:val="en-US"/>
        </w:rPr>
        <w:t>DPO participation</w:t>
      </w:r>
      <w:r w:rsidR="00235F83" w:rsidRPr="008109C1">
        <w:rPr>
          <w:rFonts w:ascii="Arial" w:hAnsi="Arial" w:cs="Arial"/>
          <w:sz w:val="20"/>
          <w:szCs w:val="20"/>
          <w:lang w:val="en-US"/>
        </w:rPr>
        <w:t xml:space="preserve"> in MSPs can </w:t>
      </w:r>
      <w:r w:rsidR="00235F83" w:rsidRPr="008109C1">
        <w:rPr>
          <w:rFonts w:ascii="Arial" w:hAnsi="Arial" w:cs="Arial"/>
          <w:b/>
          <w:sz w:val="20"/>
          <w:szCs w:val="20"/>
          <w:lang w:val="en-US"/>
        </w:rPr>
        <w:t>improve the quality of MSPs</w:t>
      </w:r>
      <w:r w:rsidR="00235F83" w:rsidRPr="008109C1">
        <w:rPr>
          <w:rFonts w:ascii="Arial" w:hAnsi="Arial" w:cs="Arial"/>
          <w:sz w:val="20"/>
          <w:szCs w:val="20"/>
          <w:lang w:val="en-US"/>
        </w:rPr>
        <w:t xml:space="preserve"> initiatives by exercising </w:t>
      </w:r>
      <w:r w:rsidR="00235F83" w:rsidRPr="008109C1">
        <w:rPr>
          <w:rFonts w:ascii="Arial" w:hAnsi="Arial" w:cs="Arial"/>
          <w:b/>
          <w:sz w:val="20"/>
          <w:szCs w:val="20"/>
          <w:lang w:val="en-US"/>
        </w:rPr>
        <w:t>sensitivity to the disability dimension</w:t>
      </w:r>
      <w:r w:rsidR="00235F83" w:rsidRPr="008109C1">
        <w:rPr>
          <w:rFonts w:ascii="Arial" w:hAnsi="Arial" w:cs="Arial"/>
          <w:sz w:val="20"/>
          <w:szCs w:val="20"/>
          <w:lang w:val="en-US"/>
        </w:rPr>
        <w:t xml:space="preserve"> at the various processes and components of the mainstream projects, programs, and other types of collaborations. Disability inclusive efforts should focus not just on comprehensive </w:t>
      </w:r>
      <w:r w:rsidR="00F07E85" w:rsidRPr="008109C1">
        <w:rPr>
          <w:rFonts w:ascii="Arial" w:hAnsi="Arial" w:cs="Arial"/>
          <w:sz w:val="20"/>
          <w:szCs w:val="20"/>
          <w:lang w:val="en-US"/>
        </w:rPr>
        <w:t>initiatives</w:t>
      </w:r>
      <w:r w:rsidR="00235F83" w:rsidRPr="008109C1">
        <w:rPr>
          <w:rFonts w:ascii="Arial" w:hAnsi="Arial" w:cs="Arial"/>
          <w:sz w:val="20"/>
          <w:szCs w:val="20"/>
          <w:lang w:val="en-US"/>
        </w:rPr>
        <w:t xml:space="preserve">, but also on </w:t>
      </w:r>
      <w:r w:rsidR="00F07E85" w:rsidRPr="008109C1">
        <w:rPr>
          <w:rFonts w:ascii="Arial" w:hAnsi="Arial" w:cs="Arial"/>
          <w:sz w:val="20"/>
          <w:szCs w:val="20"/>
          <w:lang w:val="en-US"/>
        </w:rPr>
        <w:t>initiatives</w:t>
      </w:r>
      <w:r w:rsidR="00235F83" w:rsidRPr="008109C1">
        <w:rPr>
          <w:rFonts w:ascii="Arial" w:hAnsi="Arial" w:cs="Arial"/>
          <w:sz w:val="20"/>
          <w:szCs w:val="20"/>
          <w:lang w:val="en-US"/>
        </w:rPr>
        <w:t xml:space="preserve"> for specific sectors such as education, health, transport, food security, social services, employment, and local government</w:t>
      </w:r>
      <w:r w:rsidR="00F07E85" w:rsidRPr="008109C1">
        <w:rPr>
          <w:rFonts w:ascii="Arial" w:hAnsi="Arial" w:cs="Arial"/>
          <w:b/>
          <w:sz w:val="20"/>
          <w:szCs w:val="20"/>
          <w:lang w:val="en-US"/>
        </w:rPr>
        <w:t xml:space="preserve">. </w:t>
      </w:r>
      <w:r w:rsidRPr="008109C1">
        <w:rPr>
          <w:rFonts w:ascii="Arial" w:hAnsi="Arial" w:cs="Arial"/>
          <w:b/>
          <w:sz w:val="20"/>
          <w:szCs w:val="20"/>
          <w:lang w:val="en-US"/>
        </w:rPr>
        <w:t>Creating</w:t>
      </w:r>
      <w:r w:rsidR="001D707E" w:rsidRPr="008109C1">
        <w:rPr>
          <w:rFonts w:ascii="Arial" w:hAnsi="Arial" w:cs="Arial"/>
          <w:b/>
          <w:sz w:val="20"/>
          <w:szCs w:val="20"/>
          <w:lang w:val="en-US"/>
        </w:rPr>
        <w:t xml:space="preserve"> enabling and accessible environments</w:t>
      </w:r>
      <w:r w:rsidR="001D707E" w:rsidRPr="008109C1">
        <w:rPr>
          <w:rFonts w:ascii="Arial" w:hAnsi="Arial" w:cs="Arial"/>
          <w:sz w:val="20"/>
          <w:szCs w:val="20"/>
          <w:lang w:val="en-US"/>
        </w:rPr>
        <w:t xml:space="preserve"> for persons with disabilities is essential to disability inclusive MSPs. </w:t>
      </w:r>
      <w:r w:rsidR="001D707E" w:rsidRPr="008109C1">
        <w:rPr>
          <w:rFonts w:ascii="Arial" w:hAnsi="Arial" w:cs="Arial"/>
          <w:b/>
          <w:sz w:val="20"/>
          <w:szCs w:val="20"/>
          <w:lang w:val="en-US"/>
        </w:rPr>
        <w:t>Universal design</w:t>
      </w:r>
      <w:r w:rsidR="00AB6E3B" w:rsidRPr="008109C1">
        <w:rPr>
          <w:rFonts w:ascii="Arial" w:hAnsi="Arial" w:cs="Arial"/>
          <w:b/>
          <w:sz w:val="20"/>
          <w:szCs w:val="20"/>
          <w:lang w:val="en-US"/>
        </w:rPr>
        <w:t>, accessibl</w:t>
      </w:r>
      <w:r w:rsidRPr="008109C1">
        <w:rPr>
          <w:rFonts w:ascii="Arial" w:hAnsi="Arial" w:cs="Arial"/>
          <w:b/>
          <w:sz w:val="20"/>
          <w:szCs w:val="20"/>
          <w:lang w:val="en-US"/>
        </w:rPr>
        <w:t xml:space="preserve">e infrastructure, and universal </w:t>
      </w:r>
      <w:r w:rsidR="00AB6E3B" w:rsidRPr="008109C1">
        <w:rPr>
          <w:rFonts w:ascii="Arial" w:hAnsi="Arial" w:cs="Arial"/>
          <w:b/>
          <w:sz w:val="20"/>
          <w:szCs w:val="20"/>
          <w:lang w:val="en-US"/>
        </w:rPr>
        <w:t>access</w:t>
      </w:r>
      <w:r w:rsidR="00AB6E3B" w:rsidRPr="008109C1">
        <w:rPr>
          <w:rFonts w:ascii="Arial" w:hAnsi="Arial" w:cs="Arial"/>
          <w:sz w:val="20"/>
          <w:szCs w:val="20"/>
          <w:lang w:val="en-US"/>
        </w:rPr>
        <w:t xml:space="preserve"> are key concepts</w:t>
      </w:r>
      <w:r w:rsidRPr="008109C1">
        <w:rPr>
          <w:rFonts w:ascii="Arial" w:hAnsi="Arial" w:cs="Arial"/>
          <w:sz w:val="20"/>
          <w:szCs w:val="20"/>
          <w:lang w:val="en-US"/>
        </w:rPr>
        <w:t xml:space="preserve"> for the </w:t>
      </w:r>
      <w:r w:rsidR="00C47919" w:rsidRPr="008109C1">
        <w:rPr>
          <w:rFonts w:ascii="Arial" w:hAnsi="Arial" w:cs="Arial"/>
          <w:b/>
          <w:sz w:val="20"/>
          <w:szCs w:val="20"/>
          <w:lang w:val="en-US"/>
        </w:rPr>
        <w:t>knowledge transfer</w:t>
      </w:r>
      <w:r w:rsidR="00C47919" w:rsidRPr="008109C1">
        <w:rPr>
          <w:rFonts w:ascii="Arial" w:hAnsi="Arial" w:cs="Arial"/>
          <w:sz w:val="20"/>
          <w:szCs w:val="20"/>
          <w:lang w:val="en-US"/>
        </w:rPr>
        <w:t xml:space="preserve"> and </w:t>
      </w:r>
      <w:r w:rsidRPr="008109C1">
        <w:rPr>
          <w:rFonts w:ascii="Arial" w:hAnsi="Arial" w:cs="Arial"/>
          <w:b/>
          <w:sz w:val="20"/>
          <w:szCs w:val="20"/>
          <w:lang w:val="en-US"/>
        </w:rPr>
        <w:t>technical assistance</w:t>
      </w:r>
      <w:r w:rsidRPr="008109C1">
        <w:rPr>
          <w:rFonts w:ascii="Arial" w:hAnsi="Arial" w:cs="Arial"/>
          <w:sz w:val="20"/>
          <w:szCs w:val="20"/>
          <w:lang w:val="en-US"/>
        </w:rPr>
        <w:t xml:space="preserve"> </w:t>
      </w:r>
      <w:r w:rsidRPr="008109C1">
        <w:rPr>
          <w:rFonts w:ascii="Arial" w:hAnsi="Arial" w:cs="Arial"/>
          <w:b/>
          <w:sz w:val="20"/>
          <w:szCs w:val="20"/>
          <w:lang w:val="en-US"/>
        </w:rPr>
        <w:t>DPOs could provide to MSPs</w:t>
      </w:r>
      <w:r w:rsidR="00F01B90" w:rsidRPr="008109C1">
        <w:rPr>
          <w:rFonts w:ascii="Arial" w:hAnsi="Arial" w:cs="Arial"/>
          <w:sz w:val="20"/>
          <w:szCs w:val="20"/>
          <w:lang w:val="en-US"/>
        </w:rPr>
        <w:t>, among others</w:t>
      </w:r>
      <w:r w:rsidR="00EB1ED6" w:rsidRPr="008109C1">
        <w:rPr>
          <w:rFonts w:ascii="Arial" w:hAnsi="Arial" w:cs="Arial"/>
          <w:sz w:val="20"/>
          <w:szCs w:val="20"/>
          <w:lang w:val="en-US"/>
        </w:rPr>
        <w:t>.</w:t>
      </w:r>
    </w:p>
    <w:p w14:paraId="752E5D83" w14:textId="77777777" w:rsidR="001D24C9" w:rsidRPr="008109C1" w:rsidRDefault="001D24C9" w:rsidP="00235F83">
      <w:pPr>
        <w:ind w:left="720"/>
        <w:rPr>
          <w:rFonts w:ascii="Arial" w:hAnsi="Arial" w:cs="Arial"/>
          <w:sz w:val="20"/>
          <w:szCs w:val="20"/>
          <w:lang w:val="en-US"/>
        </w:rPr>
      </w:pPr>
    </w:p>
    <w:p w14:paraId="0EC6513F" w14:textId="20E38F1F" w:rsidR="001D24C9" w:rsidRPr="008109C1" w:rsidRDefault="001D24C9" w:rsidP="00235F83">
      <w:pPr>
        <w:ind w:left="720"/>
        <w:rPr>
          <w:rFonts w:ascii="Arial" w:hAnsi="Arial" w:cs="Arial"/>
          <w:sz w:val="20"/>
          <w:szCs w:val="20"/>
          <w:lang w:val="en-US"/>
        </w:rPr>
      </w:pPr>
      <w:r w:rsidRPr="008109C1">
        <w:rPr>
          <w:rFonts w:ascii="Arial" w:hAnsi="Arial" w:cs="Arial"/>
          <w:sz w:val="20"/>
          <w:szCs w:val="20"/>
          <w:lang w:val="en-US"/>
        </w:rPr>
        <w:t>The “</w:t>
      </w:r>
      <w:r w:rsidRPr="0063536E">
        <w:rPr>
          <w:rFonts w:ascii="Arial" w:hAnsi="Arial" w:cs="Arial"/>
          <w:b/>
          <w:sz w:val="20"/>
          <w:szCs w:val="20"/>
          <w:lang w:val="en-US"/>
        </w:rPr>
        <w:t>business case</w:t>
      </w:r>
      <w:r w:rsidRPr="008109C1">
        <w:rPr>
          <w:rFonts w:ascii="Arial" w:hAnsi="Arial" w:cs="Arial"/>
          <w:sz w:val="20"/>
          <w:szCs w:val="20"/>
          <w:lang w:val="en-US"/>
        </w:rPr>
        <w:t>” for including disability in mainstream MSPs could mention:</w:t>
      </w:r>
    </w:p>
    <w:p w14:paraId="54F657A6" w14:textId="45A765F3" w:rsidR="001D24C9" w:rsidRPr="008109C1" w:rsidRDefault="001D24C9" w:rsidP="001D24C9">
      <w:pPr>
        <w:pStyle w:val="ListParagraph"/>
        <w:numPr>
          <w:ilvl w:val="0"/>
          <w:numId w:val="3"/>
        </w:numPr>
        <w:rPr>
          <w:rFonts w:ascii="Arial" w:hAnsi="Arial" w:cs="Arial"/>
          <w:sz w:val="20"/>
          <w:szCs w:val="20"/>
          <w:lang w:val="en-US"/>
        </w:rPr>
      </w:pPr>
      <w:r w:rsidRPr="0063536E">
        <w:rPr>
          <w:rFonts w:ascii="Arial" w:hAnsi="Arial" w:cs="Arial"/>
          <w:b/>
          <w:sz w:val="20"/>
          <w:szCs w:val="20"/>
          <w:lang w:val="en-US"/>
        </w:rPr>
        <w:t>Statistics</w:t>
      </w:r>
      <w:r w:rsidRPr="008109C1">
        <w:rPr>
          <w:rFonts w:ascii="Arial" w:hAnsi="Arial" w:cs="Arial"/>
          <w:sz w:val="20"/>
          <w:szCs w:val="20"/>
          <w:lang w:val="en-US"/>
        </w:rPr>
        <w:t>, particularly the higher prevalence of disability in developing countries</w:t>
      </w:r>
    </w:p>
    <w:p w14:paraId="40CAF861" w14:textId="1B6351B9" w:rsidR="001D24C9" w:rsidRPr="008109C1" w:rsidRDefault="001D24C9" w:rsidP="001D24C9">
      <w:pPr>
        <w:pStyle w:val="ListParagraph"/>
        <w:numPr>
          <w:ilvl w:val="0"/>
          <w:numId w:val="3"/>
        </w:numPr>
        <w:rPr>
          <w:rFonts w:ascii="Arial" w:hAnsi="Arial" w:cs="Arial"/>
          <w:sz w:val="20"/>
          <w:szCs w:val="20"/>
          <w:lang w:val="en-US"/>
        </w:rPr>
      </w:pPr>
      <w:r w:rsidRPr="008109C1">
        <w:rPr>
          <w:rFonts w:ascii="Arial" w:hAnsi="Arial" w:cs="Arial"/>
          <w:sz w:val="20"/>
          <w:szCs w:val="20"/>
          <w:lang w:val="en-US"/>
        </w:rPr>
        <w:t xml:space="preserve">The unequal and </w:t>
      </w:r>
      <w:r w:rsidRPr="0063536E">
        <w:rPr>
          <w:rFonts w:ascii="Arial" w:hAnsi="Arial" w:cs="Arial"/>
          <w:b/>
          <w:sz w:val="20"/>
          <w:szCs w:val="20"/>
          <w:lang w:val="en-US"/>
        </w:rPr>
        <w:t>adverse socioeconomic outcomes</w:t>
      </w:r>
      <w:r w:rsidRPr="008109C1">
        <w:rPr>
          <w:rFonts w:ascii="Arial" w:hAnsi="Arial" w:cs="Arial"/>
          <w:sz w:val="20"/>
          <w:szCs w:val="20"/>
          <w:lang w:val="en-US"/>
        </w:rPr>
        <w:t xml:space="preserve"> persons with disabilities experience</w:t>
      </w:r>
    </w:p>
    <w:p w14:paraId="7D3CAA6F" w14:textId="00F75BF8" w:rsidR="001D24C9" w:rsidRPr="008109C1" w:rsidRDefault="00C47919" w:rsidP="001D24C9">
      <w:pPr>
        <w:pStyle w:val="ListParagraph"/>
        <w:numPr>
          <w:ilvl w:val="0"/>
          <w:numId w:val="3"/>
        </w:numPr>
        <w:rPr>
          <w:rFonts w:ascii="Arial" w:hAnsi="Arial" w:cs="Arial"/>
          <w:sz w:val="20"/>
          <w:szCs w:val="20"/>
          <w:lang w:val="en-US"/>
        </w:rPr>
      </w:pPr>
      <w:r w:rsidRPr="008109C1">
        <w:rPr>
          <w:rFonts w:ascii="Arial" w:hAnsi="Arial" w:cs="Arial"/>
          <w:sz w:val="20"/>
          <w:szCs w:val="20"/>
          <w:lang w:val="en-US"/>
        </w:rPr>
        <w:t xml:space="preserve">Aspects of the legislative, physical, and social environment that create or maintain </w:t>
      </w:r>
      <w:r w:rsidRPr="0063536E">
        <w:rPr>
          <w:rFonts w:ascii="Arial" w:hAnsi="Arial" w:cs="Arial"/>
          <w:b/>
          <w:sz w:val="20"/>
          <w:szCs w:val="20"/>
          <w:lang w:val="en-US"/>
        </w:rPr>
        <w:t>barriers to the participation</w:t>
      </w:r>
      <w:r w:rsidRPr="008109C1">
        <w:rPr>
          <w:rFonts w:ascii="Arial" w:hAnsi="Arial" w:cs="Arial"/>
          <w:sz w:val="20"/>
          <w:szCs w:val="20"/>
          <w:lang w:val="en-US"/>
        </w:rPr>
        <w:t xml:space="preserve"> of persons with disabilities in economic, civic, and social life</w:t>
      </w:r>
    </w:p>
    <w:p w14:paraId="6357F288" w14:textId="5B6F074D" w:rsidR="00C47919" w:rsidRPr="008109C1" w:rsidRDefault="00C47919" w:rsidP="001D24C9">
      <w:pPr>
        <w:pStyle w:val="ListParagraph"/>
        <w:numPr>
          <w:ilvl w:val="0"/>
          <w:numId w:val="3"/>
        </w:numPr>
        <w:rPr>
          <w:rFonts w:ascii="Arial" w:hAnsi="Arial" w:cs="Arial"/>
          <w:sz w:val="20"/>
          <w:szCs w:val="20"/>
          <w:lang w:val="en-US"/>
        </w:rPr>
      </w:pPr>
      <w:r w:rsidRPr="008109C1">
        <w:rPr>
          <w:rFonts w:ascii="Arial" w:hAnsi="Arial" w:cs="Arial"/>
          <w:sz w:val="20"/>
          <w:szCs w:val="20"/>
          <w:lang w:val="en-US"/>
        </w:rPr>
        <w:t xml:space="preserve">The cause-effect </w:t>
      </w:r>
      <w:r w:rsidRPr="0063536E">
        <w:rPr>
          <w:rFonts w:ascii="Arial" w:hAnsi="Arial" w:cs="Arial"/>
          <w:b/>
          <w:sz w:val="20"/>
          <w:szCs w:val="20"/>
          <w:lang w:val="en-US"/>
        </w:rPr>
        <w:t>linkage between disability and poverty</w:t>
      </w:r>
    </w:p>
    <w:p w14:paraId="40003667" w14:textId="0CAFB7A3" w:rsidR="00C47919" w:rsidRPr="008109C1" w:rsidRDefault="00C47919" w:rsidP="001D24C9">
      <w:pPr>
        <w:pStyle w:val="ListParagraph"/>
        <w:numPr>
          <w:ilvl w:val="0"/>
          <w:numId w:val="3"/>
        </w:numPr>
        <w:rPr>
          <w:rFonts w:ascii="Arial" w:hAnsi="Arial" w:cs="Arial"/>
          <w:sz w:val="20"/>
          <w:szCs w:val="20"/>
          <w:lang w:val="en-US"/>
        </w:rPr>
      </w:pPr>
      <w:r w:rsidRPr="008109C1">
        <w:rPr>
          <w:rFonts w:ascii="Arial" w:hAnsi="Arial" w:cs="Arial"/>
          <w:sz w:val="20"/>
          <w:szCs w:val="20"/>
          <w:lang w:val="en-US"/>
        </w:rPr>
        <w:t xml:space="preserve">Human rights and </w:t>
      </w:r>
      <w:r w:rsidRPr="0063536E">
        <w:rPr>
          <w:rFonts w:ascii="Arial" w:hAnsi="Arial" w:cs="Arial"/>
          <w:b/>
          <w:sz w:val="20"/>
          <w:szCs w:val="20"/>
          <w:lang w:val="en-US"/>
        </w:rPr>
        <w:t>CRPD</w:t>
      </w:r>
    </w:p>
    <w:p w14:paraId="4D77EC43" w14:textId="7CF5F777" w:rsidR="00C47919" w:rsidRPr="008109C1" w:rsidRDefault="00C47919" w:rsidP="001D24C9">
      <w:pPr>
        <w:pStyle w:val="ListParagraph"/>
        <w:numPr>
          <w:ilvl w:val="0"/>
          <w:numId w:val="3"/>
        </w:numPr>
        <w:rPr>
          <w:rFonts w:ascii="Arial" w:hAnsi="Arial" w:cs="Arial"/>
          <w:sz w:val="20"/>
          <w:szCs w:val="20"/>
          <w:lang w:val="en-US"/>
        </w:rPr>
      </w:pPr>
      <w:r w:rsidRPr="008109C1">
        <w:rPr>
          <w:rFonts w:ascii="Arial" w:hAnsi="Arial" w:cs="Arial"/>
          <w:sz w:val="20"/>
          <w:szCs w:val="20"/>
          <w:lang w:val="en-US"/>
        </w:rPr>
        <w:t xml:space="preserve">The increasing number of bilateral </w:t>
      </w:r>
      <w:r w:rsidRPr="0063536E">
        <w:rPr>
          <w:rFonts w:ascii="Arial" w:hAnsi="Arial" w:cs="Arial"/>
          <w:b/>
          <w:sz w:val="20"/>
          <w:szCs w:val="20"/>
          <w:lang w:val="en-US"/>
        </w:rPr>
        <w:t>donors</w:t>
      </w:r>
      <w:r w:rsidR="0063536E">
        <w:rPr>
          <w:rFonts w:ascii="Arial" w:hAnsi="Arial" w:cs="Arial"/>
          <w:sz w:val="20"/>
          <w:szCs w:val="20"/>
          <w:lang w:val="en-US"/>
        </w:rPr>
        <w:t xml:space="preserve"> that</w:t>
      </w:r>
      <w:r w:rsidRPr="008109C1">
        <w:rPr>
          <w:rFonts w:ascii="Arial" w:hAnsi="Arial" w:cs="Arial"/>
          <w:sz w:val="20"/>
          <w:szCs w:val="20"/>
          <w:lang w:val="en-US"/>
        </w:rPr>
        <w:t xml:space="preserve"> have developed </w:t>
      </w:r>
      <w:r w:rsidRPr="0063536E">
        <w:rPr>
          <w:rFonts w:ascii="Arial" w:hAnsi="Arial" w:cs="Arial"/>
          <w:b/>
          <w:sz w:val="20"/>
          <w:szCs w:val="20"/>
          <w:lang w:val="en-US"/>
        </w:rPr>
        <w:t>disability policies</w:t>
      </w:r>
      <w:r w:rsidRPr="008109C1">
        <w:rPr>
          <w:rFonts w:ascii="Arial" w:hAnsi="Arial" w:cs="Arial"/>
          <w:sz w:val="20"/>
          <w:szCs w:val="20"/>
          <w:lang w:val="en-US"/>
        </w:rPr>
        <w:t xml:space="preserve"> to guide their international aid</w:t>
      </w:r>
    </w:p>
    <w:p w14:paraId="1481A487" w14:textId="04FC0FC9" w:rsidR="00C47919" w:rsidRPr="008109C1" w:rsidRDefault="00C47919" w:rsidP="001D24C9">
      <w:pPr>
        <w:pStyle w:val="ListParagraph"/>
        <w:numPr>
          <w:ilvl w:val="0"/>
          <w:numId w:val="3"/>
        </w:numPr>
        <w:rPr>
          <w:rFonts w:ascii="Arial" w:hAnsi="Arial" w:cs="Arial"/>
          <w:sz w:val="20"/>
          <w:szCs w:val="20"/>
          <w:lang w:val="en-US"/>
        </w:rPr>
      </w:pPr>
      <w:r w:rsidRPr="008109C1">
        <w:rPr>
          <w:rFonts w:ascii="Arial" w:hAnsi="Arial" w:cs="Arial"/>
          <w:sz w:val="20"/>
          <w:szCs w:val="20"/>
          <w:lang w:val="en-US"/>
        </w:rPr>
        <w:t xml:space="preserve">The increasing number of </w:t>
      </w:r>
      <w:r w:rsidRPr="0063536E">
        <w:rPr>
          <w:rFonts w:ascii="Arial" w:hAnsi="Arial" w:cs="Arial"/>
          <w:b/>
          <w:sz w:val="20"/>
          <w:szCs w:val="20"/>
          <w:lang w:val="en-US"/>
        </w:rPr>
        <w:t>disability discrimination laws and constitutional provisions at national level</w:t>
      </w:r>
    </w:p>
    <w:p w14:paraId="66D79B3F" w14:textId="76617B69" w:rsidR="008109C1" w:rsidRPr="008109C1" w:rsidRDefault="008109C1" w:rsidP="001D24C9">
      <w:pPr>
        <w:pStyle w:val="ListParagraph"/>
        <w:numPr>
          <w:ilvl w:val="0"/>
          <w:numId w:val="3"/>
        </w:numPr>
        <w:rPr>
          <w:rFonts w:ascii="Arial" w:hAnsi="Arial" w:cs="Arial"/>
          <w:sz w:val="20"/>
          <w:szCs w:val="20"/>
          <w:lang w:val="en-US"/>
        </w:rPr>
      </w:pPr>
      <w:r w:rsidRPr="008109C1">
        <w:rPr>
          <w:rFonts w:ascii="Arial" w:hAnsi="Arial" w:cs="Arial"/>
          <w:sz w:val="20"/>
          <w:szCs w:val="20"/>
          <w:lang w:val="en-US"/>
        </w:rPr>
        <w:t xml:space="preserve">The </w:t>
      </w:r>
      <w:r w:rsidRPr="0063536E">
        <w:rPr>
          <w:rFonts w:ascii="Arial" w:hAnsi="Arial" w:cs="Arial"/>
          <w:b/>
          <w:sz w:val="20"/>
          <w:szCs w:val="20"/>
          <w:lang w:val="en-US"/>
        </w:rPr>
        <w:t>2030 Agenda for Sustainable Development</w:t>
      </w:r>
      <w:r w:rsidRPr="008109C1">
        <w:rPr>
          <w:rFonts w:ascii="Arial" w:hAnsi="Arial" w:cs="Arial"/>
          <w:sz w:val="20"/>
          <w:szCs w:val="20"/>
          <w:lang w:val="en-US"/>
        </w:rPr>
        <w:t xml:space="preserve"> which clearly states that disability cannot be a reason or criteria for lack of access to development programming and the realization of human rights</w:t>
      </w:r>
    </w:p>
    <w:p w14:paraId="29E94DFC" w14:textId="042CBDBC" w:rsidR="008109C1" w:rsidRPr="008109C1" w:rsidRDefault="008109C1" w:rsidP="001D24C9">
      <w:pPr>
        <w:pStyle w:val="ListParagraph"/>
        <w:numPr>
          <w:ilvl w:val="0"/>
          <w:numId w:val="3"/>
        </w:numPr>
        <w:rPr>
          <w:rFonts w:ascii="Arial" w:hAnsi="Arial" w:cs="Arial"/>
          <w:sz w:val="20"/>
          <w:szCs w:val="20"/>
          <w:lang w:val="en-US"/>
        </w:rPr>
      </w:pPr>
      <w:r w:rsidRPr="008109C1">
        <w:rPr>
          <w:rFonts w:ascii="Arial" w:hAnsi="Arial" w:cs="Arial"/>
          <w:sz w:val="20"/>
          <w:szCs w:val="20"/>
          <w:lang w:val="en-US"/>
        </w:rPr>
        <w:t xml:space="preserve">The </w:t>
      </w:r>
      <w:r w:rsidR="0063536E">
        <w:rPr>
          <w:rFonts w:ascii="Arial" w:hAnsi="Arial" w:cs="Arial"/>
          <w:b/>
          <w:sz w:val="20"/>
          <w:szCs w:val="20"/>
          <w:lang w:val="en-US"/>
        </w:rPr>
        <w:t>SDG</w:t>
      </w:r>
      <w:r w:rsidRPr="0063536E">
        <w:rPr>
          <w:rFonts w:ascii="Arial" w:hAnsi="Arial" w:cs="Arial"/>
          <w:b/>
          <w:sz w:val="20"/>
          <w:szCs w:val="20"/>
          <w:lang w:val="en-US"/>
        </w:rPr>
        <w:t xml:space="preserve"> framework</w:t>
      </w:r>
      <w:r w:rsidRPr="008109C1">
        <w:rPr>
          <w:rFonts w:ascii="Arial" w:hAnsi="Arial" w:cs="Arial"/>
          <w:sz w:val="20"/>
          <w:szCs w:val="20"/>
          <w:lang w:val="en-US"/>
        </w:rPr>
        <w:t xml:space="preserve"> which includes seven targets which explicitly refer to persons with disabilities and six further targets on persons in vulnerable situations which include persons with disabilities</w:t>
      </w:r>
      <w:r w:rsidRPr="008109C1">
        <w:rPr>
          <w:rStyle w:val="FootnoteReference"/>
          <w:rFonts w:ascii="Arial" w:hAnsi="Arial" w:cs="Arial"/>
          <w:sz w:val="20"/>
          <w:szCs w:val="20"/>
          <w:lang w:val="en-US"/>
        </w:rPr>
        <w:footnoteReference w:id="16"/>
      </w:r>
    </w:p>
    <w:p w14:paraId="02D9DECB" w14:textId="77777777" w:rsidR="001D24C9" w:rsidRPr="008109C1" w:rsidRDefault="001D24C9" w:rsidP="00235F83">
      <w:pPr>
        <w:ind w:left="720"/>
        <w:rPr>
          <w:rFonts w:ascii="Arial" w:hAnsi="Arial" w:cs="Arial"/>
          <w:sz w:val="20"/>
          <w:szCs w:val="20"/>
          <w:lang w:val="en-US"/>
        </w:rPr>
      </w:pPr>
    </w:p>
    <w:sectPr w:rsidR="001D24C9" w:rsidRPr="008109C1" w:rsidSect="00016DAB">
      <w:pgSz w:w="11900" w:h="16820"/>
      <w:pgMar w:top="1440" w:right="1800" w:bottom="1440" w:left="1800" w:header="720" w:footer="720" w:gutter="0"/>
      <w:cols w:space="720"/>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E8BCB" w14:textId="77777777" w:rsidR="008109C1" w:rsidRDefault="008109C1" w:rsidP="00CF0291">
      <w:r>
        <w:separator/>
      </w:r>
    </w:p>
  </w:endnote>
  <w:endnote w:type="continuationSeparator" w:id="0">
    <w:p w14:paraId="1C3A8B6F" w14:textId="77777777" w:rsidR="008109C1" w:rsidRDefault="008109C1" w:rsidP="00CF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9BB17" w14:textId="77777777" w:rsidR="008109C1" w:rsidRDefault="008109C1" w:rsidP="00CF0291">
      <w:r>
        <w:separator/>
      </w:r>
    </w:p>
  </w:footnote>
  <w:footnote w:type="continuationSeparator" w:id="0">
    <w:p w14:paraId="1CDB2CDD" w14:textId="77777777" w:rsidR="008109C1" w:rsidRDefault="008109C1" w:rsidP="00CF0291">
      <w:r>
        <w:continuationSeparator/>
      </w:r>
    </w:p>
  </w:footnote>
  <w:footnote w:id="1">
    <w:p w14:paraId="3E8E4100" w14:textId="77777777" w:rsidR="008109C1" w:rsidRPr="008109C1" w:rsidRDefault="008109C1">
      <w:pPr>
        <w:pStyle w:val="FootnoteText"/>
        <w:rPr>
          <w:sz w:val="20"/>
          <w:szCs w:val="20"/>
          <w:lang w:val="en-US"/>
        </w:rPr>
      </w:pPr>
      <w:r w:rsidRPr="008109C1">
        <w:rPr>
          <w:rStyle w:val="FootnoteReference"/>
          <w:sz w:val="20"/>
          <w:szCs w:val="20"/>
        </w:rPr>
        <w:footnoteRef/>
      </w:r>
      <w:r w:rsidRPr="008109C1">
        <w:rPr>
          <w:sz w:val="20"/>
          <w:szCs w:val="20"/>
        </w:rPr>
        <w:t xml:space="preserve"> http://www.un.org/en/ecosoc/newfunct/pdf15/2015partnerships_background_note.pdf</w:t>
      </w:r>
    </w:p>
  </w:footnote>
  <w:footnote w:id="2">
    <w:p w14:paraId="30A02216" w14:textId="7ECC4A72" w:rsidR="008109C1" w:rsidRPr="008109C1" w:rsidRDefault="008109C1">
      <w:pPr>
        <w:pStyle w:val="FootnoteText"/>
        <w:rPr>
          <w:sz w:val="20"/>
          <w:szCs w:val="20"/>
          <w:lang w:val="en-US"/>
        </w:rPr>
      </w:pPr>
      <w:r w:rsidRPr="008109C1">
        <w:rPr>
          <w:rStyle w:val="FootnoteReference"/>
          <w:sz w:val="20"/>
          <w:szCs w:val="20"/>
        </w:rPr>
        <w:footnoteRef/>
      </w:r>
      <w:r w:rsidRPr="008109C1">
        <w:rPr>
          <w:sz w:val="20"/>
          <w:szCs w:val="20"/>
        </w:rPr>
        <w:t xml:space="preserve"> </w:t>
      </w:r>
      <w:r w:rsidRPr="008109C1">
        <w:rPr>
          <w:sz w:val="20"/>
          <w:szCs w:val="20"/>
        </w:rPr>
        <w:t>https://sustainabledevelopment.un.org/content/dsd/dsd_aofw_par/par_mand_baliguidprin.shtml</w:t>
      </w:r>
    </w:p>
  </w:footnote>
  <w:footnote w:id="3">
    <w:p w14:paraId="72607689" w14:textId="77777777" w:rsidR="008109C1" w:rsidRPr="008109C1" w:rsidRDefault="008109C1">
      <w:pPr>
        <w:pStyle w:val="FootnoteText"/>
        <w:rPr>
          <w:sz w:val="20"/>
          <w:szCs w:val="20"/>
          <w:lang w:val="en-US"/>
        </w:rPr>
      </w:pPr>
      <w:r w:rsidRPr="008109C1">
        <w:rPr>
          <w:rStyle w:val="FootnoteReference"/>
          <w:sz w:val="20"/>
          <w:szCs w:val="20"/>
        </w:rPr>
        <w:footnoteRef/>
      </w:r>
      <w:r w:rsidRPr="008109C1">
        <w:rPr>
          <w:sz w:val="20"/>
          <w:szCs w:val="20"/>
        </w:rPr>
        <w:t xml:space="preserve"> </w:t>
      </w:r>
      <w:r w:rsidRPr="008109C1">
        <w:rPr>
          <w:sz w:val="20"/>
          <w:szCs w:val="20"/>
        </w:rPr>
        <w:t>http://www.un.org/esa/sustdev/partnerships/publications/brochure_E.pdf</w:t>
      </w:r>
    </w:p>
  </w:footnote>
  <w:footnote w:id="4">
    <w:p w14:paraId="79B0684B" w14:textId="77777777" w:rsidR="008109C1" w:rsidRPr="008109C1" w:rsidRDefault="008109C1">
      <w:pPr>
        <w:pStyle w:val="FootnoteText"/>
        <w:rPr>
          <w:sz w:val="20"/>
          <w:szCs w:val="20"/>
          <w:lang w:val="en-US"/>
        </w:rPr>
      </w:pPr>
      <w:r w:rsidRPr="008109C1">
        <w:rPr>
          <w:rStyle w:val="FootnoteReference"/>
          <w:sz w:val="20"/>
          <w:szCs w:val="20"/>
        </w:rPr>
        <w:footnoteRef/>
      </w:r>
      <w:r w:rsidRPr="008109C1">
        <w:rPr>
          <w:sz w:val="20"/>
          <w:szCs w:val="20"/>
        </w:rPr>
        <w:t xml:space="preserve"> </w:t>
      </w:r>
      <w:r w:rsidRPr="008109C1">
        <w:rPr>
          <w:sz w:val="20"/>
          <w:szCs w:val="20"/>
        </w:rPr>
        <w:t>http://www.un.org/en/ecosoc/newfunct/pdf15/2015partnerships_background_note.pdf</w:t>
      </w:r>
    </w:p>
  </w:footnote>
  <w:footnote w:id="5">
    <w:p w14:paraId="502427CB" w14:textId="6175C576" w:rsidR="008109C1" w:rsidRPr="008109C1" w:rsidRDefault="008109C1">
      <w:pPr>
        <w:pStyle w:val="FootnoteText"/>
        <w:rPr>
          <w:sz w:val="20"/>
          <w:szCs w:val="20"/>
          <w:lang w:val="en-US"/>
        </w:rPr>
      </w:pPr>
      <w:r w:rsidRPr="008109C1">
        <w:rPr>
          <w:rStyle w:val="FootnoteReference"/>
          <w:sz w:val="20"/>
          <w:szCs w:val="20"/>
        </w:rPr>
        <w:footnoteRef/>
      </w:r>
      <w:r w:rsidRPr="008109C1">
        <w:rPr>
          <w:sz w:val="20"/>
          <w:szCs w:val="20"/>
        </w:rPr>
        <w:t xml:space="preserve"> https://sustainabledevelopment.un.org/majorgroups</w:t>
      </w:r>
    </w:p>
  </w:footnote>
  <w:footnote w:id="6">
    <w:p w14:paraId="7F9DEF44" w14:textId="77777777" w:rsidR="008109C1" w:rsidRPr="008109C1" w:rsidRDefault="008109C1">
      <w:pPr>
        <w:pStyle w:val="FootnoteText"/>
        <w:rPr>
          <w:sz w:val="20"/>
          <w:szCs w:val="20"/>
          <w:lang w:val="en-US"/>
        </w:rPr>
      </w:pPr>
      <w:r w:rsidRPr="008109C1">
        <w:rPr>
          <w:rStyle w:val="FootnoteReference"/>
          <w:sz w:val="20"/>
          <w:szCs w:val="20"/>
        </w:rPr>
        <w:footnoteRef/>
      </w:r>
      <w:r w:rsidRPr="008109C1">
        <w:rPr>
          <w:sz w:val="20"/>
          <w:szCs w:val="20"/>
        </w:rPr>
        <w:t xml:space="preserve"> </w:t>
      </w:r>
      <w:r w:rsidRPr="008109C1">
        <w:rPr>
          <w:sz w:val="20"/>
          <w:szCs w:val="20"/>
        </w:rPr>
        <w:t>http://www.un.org/en/ecosoc/newfunct/pdf15/2015partnerships_background_note.pdf</w:t>
      </w:r>
    </w:p>
  </w:footnote>
  <w:footnote w:id="7">
    <w:p w14:paraId="68F104CD" w14:textId="77777777" w:rsidR="008109C1" w:rsidRPr="008109C1" w:rsidRDefault="008109C1">
      <w:pPr>
        <w:pStyle w:val="FootnoteText"/>
        <w:rPr>
          <w:sz w:val="20"/>
          <w:szCs w:val="20"/>
          <w:lang w:val="en-US"/>
        </w:rPr>
      </w:pPr>
      <w:r w:rsidRPr="008109C1">
        <w:rPr>
          <w:rStyle w:val="FootnoteReference"/>
          <w:sz w:val="20"/>
          <w:szCs w:val="20"/>
        </w:rPr>
        <w:footnoteRef/>
      </w:r>
      <w:r w:rsidRPr="008109C1">
        <w:rPr>
          <w:sz w:val="20"/>
          <w:szCs w:val="20"/>
        </w:rPr>
        <w:t xml:space="preserve"> https://sustainabledevelopment.un.org/partnerships/about</w:t>
      </w:r>
    </w:p>
  </w:footnote>
  <w:footnote w:id="8">
    <w:p w14:paraId="7BE645BA" w14:textId="77777777" w:rsidR="008109C1" w:rsidRPr="00462003" w:rsidRDefault="008109C1" w:rsidP="001F77D0">
      <w:pPr>
        <w:pStyle w:val="FootnoteText"/>
        <w:rPr>
          <w:lang w:val="en-US"/>
        </w:rPr>
      </w:pPr>
      <w:r w:rsidRPr="008109C1">
        <w:rPr>
          <w:rStyle w:val="FootnoteReference"/>
          <w:sz w:val="20"/>
          <w:szCs w:val="20"/>
        </w:rPr>
        <w:footnoteRef/>
      </w:r>
      <w:r w:rsidRPr="008109C1">
        <w:rPr>
          <w:sz w:val="20"/>
          <w:szCs w:val="20"/>
        </w:rPr>
        <w:t xml:space="preserve"> </w:t>
      </w:r>
      <w:r w:rsidRPr="008109C1">
        <w:rPr>
          <w:sz w:val="20"/>
          <w:szCs w:val="20"/>
          <w:lang w:val="en-US"/>
        </w:rPr>
        <w:t>UN General Assembly, 60th session, Report of the Secretary General. UN Doc A/60/214</w:t>
      </w:r>
    </w:p>
  </w:footnote>
  <w:footnote w:id="9">
    <w:p w14:paraId="0F700DA4" w14:textId="77777777" w:rsidR="008109C1" w:rsidRPr="008109C1" w:rsidRDefault="008109C1" w:rsidP="00856C64">
      <w:pPr>
        <w:pStyle w:val="FootnoteText"/>
        <w:rPr>
          <w:sz w:val="20"/>
          <w:szCs w:val="20"/>
          <w:lang w:val="en-US"/>
        </w:rPr>
      </w:pPr>
      <w:r w:rsidRPr="008109C1">
        <w:rPr>
          <w:rStyle w:val="FootnoteReference"/>
          <w:sz w:val="20"/>
          <w:szCs w:val="20"/>
        </w:rPr>
        <w:footnoteRef/>
      </w:r>
      <w:r w:rsidRPr="008109C1">
        <w:rPr>
          <w:sz w:val="20"/>
          <w:szCs w:val="20"/>
        </w:rPr>
        <w:t xml:space="preserve"> https://www.apc.org/es/system/files/catia_ms_guide_EN-1.pdf</w:t>
      </w:r>
    </w:p>
  </w:footnote>
  <w:footnote w:id="10">
    <w:p w14:paraId="266FEDE4" w14:textId="38D22CB7" w:rsidR="008109C1" w:rsidRPr="008109C1" w:rsidRDefault="008109C1">
      <w:pPr>
        <w:pStyle w:val="FootnoteText"/>
        <w:rPr>
          <w:sz w:val="20"/>
          <w:szCs w:val="20"/>
          <w:lang w:val="en-US"/>
        </w:rPr>
      </w:pPr>
      <w:r w:rsidRPr="008109C1">
        <w:rPr>
          <w:rStyle w:val="FootnoteReference"/>
          <w:sz w:val="20"/>
          <w:szCs w:val="20"/>
        </w:rPr>
        <w:footnoteRef/>
      </w:r>
      <w:r w:rsidRPr="008109C1">
        <w:rPr>
          <w:sz w:val="20"/>
          <w:szCs w:val="20"/>
        </w:rPr>
        <w:t xml:space="preserve"> </w:t>
      </w:r>
      <w:r w:rsidRPr="008109C1">
        <w:rPr>
          <w:sz w:val="20"/>
          <w:szCs w:val="20"/>
        </w:rPr>
        <w:t>https://icscentre.org/downloads/14_10_02_Multi-Stakeholder_Partnerships.pdf</w:t>
      </w:r>
    </w:p>
  </w:footnote>
  <w:footnote w:id="11">
    <w:p w14:paraId="737AF85D" w14:textId="720A367A" w:rsidR="008109C1" w:rsidRPr="008109C1" w:rsidRDefault="008109C1">
      <w:pPr>
        <w:pStyle w:val="FootnoteText"/>
        <w:rPr>
          <w:sz w:val="20"/>
          <w:szCs w:val="20"/>
          <w:lang w:val="en-US"/>
        </w:rPr>
      </w:pPr>
      <w:r w:rsidRPr="008109C1">
        <w:rPr>
          <w:rStyle w:val="FootnoteReference"/>
          <w:sz w:val="20"/>
          <w:szCs w:val="20"/>
        </w:rPr>
        <w:footnoteRef/>
      </w:r>
      <w:r w:rsidRPr="008109C1">
        <w:rPr>
          <w:sz w:val="20"/>
          <w:szCs w:val="20"/>
        </w:rPr>
        <w:t>https://sustainabledevelopment.un.org/content/documents/1738Global%20Multistakeholder.pdf</w:t>
      </w:r>
    </w:p>
  </w:footnote>
  <w:footnote w:id="12">
    <w:p w14:paraId="3A1AD8D1" w14:textId="2B34BAA3" w:rsidR="008109C1" w:rsidRPr="004E6E67" w:rsidRDefault="008109C1">
      <w:pPr>
        <w:pStyle w:val="FootnoteText"/>
        <w:rPr>
          <w:sz w:val="16"/>
          <w:szCs w:val="16"/>
          <w:lang w:val="en-US"/>
        </w:rPr>
      </w:pPr>
      <w:r w:rsidRPr="008109C1">
        <w:rPr>
          <w:rStyle w:val="FootnoteReference"/>
          <w:sz w:val="20"/>
          <w:szCs w:val="20"/>
          <w:lang w:val="en-US"/>
        </w:rPr>
        <w:footnoteRef/>
      </w:r>
      <w:r w:rsidRPr="008109C1">
        <w:rPr>
          <w:sz w:val="20"/>
          <w:szCs w:val="20"/>
          <w:lang w:val="en-US"/>
        </w:rPr>
        <w:t xml:space="preserve"> </w:t>
      </w:r>
      <w:proofErr w:type="gramStart"/>
      <w:r w:rsidRPr="008109C1">
        <w:rPr>
          <w:sz w:val="20"/>
          <w:szCs w:val="20"/>
          <w:lang w:val="en-US"/>
        </w:rPr>
        <w:t>multi</w:t>
      </w:r>
      <w:proofErr w:type="gramEnd"/>
      <w:r w:rsidRPr="008109C1">
        <w:rPr>
          <w:sz w:val="20"/>
          <w:szCs w:val="20"/>
          <w:lang w:val="en-US"/>
        </w:rPr>
        <w:t>-donor humanitarian financing through rapidly available mechanisms</w:t>
      </w:r>
    </w:p>
  </w:footnote>
  <w:footnote w:id="13">
    <w:p w14:paraId="6C903C4A" w14:textId="61EFCEF4" w:rsidR="008109C1" w:rsidRPr="008109C1" w:rsidRDefault="008109C1">
      <w:pPr>
        <w:pStyle w:val="FootnoteText"/>
        <w:rPr>
          <w:sz w:val="20"/>
          <w:szCs w:val="20"/>
          <w:lang w:val="en-US"/>
        </w:rPr>
      </w:pPr>
      <w:r w:rsidRPr="008109C1">
        <w:rPr>
          <w:rStyle w:val="FootnoteReference"/>
          <w:sz w:val="20"/>
          <w:szCs w:val="20"/>
          <w:lang w:val="en-US"/>
        </w:rPr>
        <w:footnoteRef/>
      </w:r>
      <w:r w:rsidRPr="008109C1">
        <w:rPr>
          <w:sz w:val="20"/>
          <w:szCs w:val="20"/>
          <w:lang w:val="en-US"/>
        </w:rPr>
        <w:t xml:space="preserve"> </w:t>
      </w:r>
      <w:proofErr w:type="gramStart"/>
      <w:r w:rsidRPr="008109C1">
        <w:rPr>
          <w:sz w:val="20"/>
          <w:szCs w:val="20"/>
          <w:lang w:val="en-US"/>
        </w:rPr>
        <w:t>complementary</w:t>
      </w:r>
      <w:proofErr w:type="gramEnd"/>
      <w:r w:rsidRPr="008109C1">
        <w:rPr>
          <w:sz w:val="20"/>
          <w:szCs w:val="20"/>
          <w:lang w:val="en-US"/>
        </w:rPr>
        <w:t xml:space="preserve"> use of grants (or grant-equivalent instruments) and non-grant financing from private and/or public sources to provide financing on terms that would make projects financially viable and/or financially sustainable</w:t>
      </w:r>
    </w:p>
  </w:footnote>
  <w:footnote w:id="14">
    <w:p w14:paraId="178E4F53" w14:textId="2C997BF1" w:rsidR="008109C1" w:rsidRPr="008109C1" w:rsidRDefault="008109C1">
      <w:pPr>
        <w:pStyle w:val="FootnoteText"/>
        <w:rPr>
          <w:sz w:val="20"/>
          <w:szCs w:val="20"/>
          <w:lang w:val="en-US"/>
        </w:rPr>
      </w:pPr>
      <w:r w:rsidRPr="008109C1">
        <w:rPr>
          <w:rStyle w:val="FootnoteReference"/>
          <w:sz w:val="20"/>
          <w:szCs w:val="20"/>
        </w:rPr>
        <w:footnoteRef/>
      </w:r>
      <w:r w:rsidR="00016DAB">
        <w:rPr>
          <w:sz w:val="20"/>
          <w:szCs w:val="20"/>
        </w:rPr>
        <w:t xml:space="preserve"> </w:t>
      </w:r>
      <w:r w:rsidRPr="008109C1">
        <w:rPr>
          <w:sz w:val="20"/>
          <w:szCs w:val="20"/>
        </w:rPr>
        <w:t>https://sustainabledevelopment.un.org/content/documents/1738Global%20Multistakeholder.pdf</w:t>
      </w:r>
    </w:p>
  </w:footnote>
  <w:footnote w:id="15">
    <w:p w14:paraId="567E7632" w14:textId="0716EFAC" w:rsidR="008109C1" w:rsidRPr="008109C1" w:rsidRDefault="008109C1">
      <w:pPr>
        <w:pStyle w:val="FootnoteText"/>
        <w:rPr>
          <w:sz w:val="20"/>
          <w:szCs w:val="20"/>
          <w:lang w:val="en-US"/>
        </w:rPr>
      </w:pPr>
      <w:r w:rsidRPr="008109C1">
        <w:rPr>
          <w:rStyle w:val="FootnoteReference"/>
          <w:sz w:val="20"/>
          <w:szCs w:val="20"/>
        </w:rPr>
        <w:footnoteRef/>
      </w:r>
      <w:r w:rsidRPr="008109C1">
        <w:rPr>
          <w:sz w:val="20"/>
          <w:szCs w:val="20"/>
        </w:rPr>
        <w:t xml:space="preserve"> </w:t>
      </w:r>
      <w:r w:rsidRPr="008109C1">
        <w:rPr>
          <w:sz w:val="20"/>
          <w:szCs w:val="20"/>
        </w:rPr>
        <w:t>https://www.odi.org/sites/odi.org.uk/files/odi-assets/publications-opinion-files/2117.pdf</w:t>
      </w:r>
    </w:p>
  </w:footnote>
  <w:footnote w:id="16">
    <w:p w14:paraId="0E3E5B9B" w14:textId="5033D62A" w:rsidR="008109C1" w:rsidRPr="008109C1" w:rsidRDefault="008109C1">
      <w:pPr>
        <w:pStyle w:val="FootnoteText"/>
        <w:rPr>
          <w:lang w:val="en-US"/>
        </w:rPr>
      </w:pPr>
      <w:r w:rsidRPr="008109C1">
        <w:rPr>
          <w:rStyle w:val="FootnoteReference"/>
          <w:sz w:val="20"/>
          <w:szCs w:val="20"/>
        </w:rPr>
        <w:footnoteRef/>
      </w:r>
      <w:r w:rsidRPr="008109C1">
        <w:rPr>
          <w:sz w:val="20"/>
          <w:szCs w:val="20"/>
        </w:rPr>
        <w:t xml:space="preserve"> http://www.worldbank.org/en/topic/disability/overview#1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1DF"/>
    <w:multiLevelType w:val="hybridMultilevel"/>
    <w:tmpl w:val="7EA88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7F6543"/>
    <w:multiLevelType w:val="hybridMultilevel"/>
    <w:tmpl w:val="08F870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CFE737D"/>
    <w:multiLevelType w:val="hybridMultilevel"/>
    <w:tmpl w:val="89340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291"/>
    <w:rsid w:val="00016DAB"/>
    <w:rsid w:val="000B1F12"/>
    <w:rsid w:val="000B401E"/>
    <w:rsid w:val="001D24C9"/>
    <w:rsid w:val="001D707E"/>
    <w:rsid w:val="001F77D0"/>
    <w:rsid w:val="00235F83"/>
    <w:rsid w:val="00237E85"/>
    <w:rsid w:val="002639DB"/>
    <w:rsid w:val="002E48A9"/>
    <w:rsid w:val="00326B7D"/>
    <w:rsid w:val="00395F37"/>
    <w:rsid w:val="003C5B12"/>
    <w:rsid w:val="00462003"/>
    <w:rsid w:val="004E6E67"/>
    <w:rsid w:val="00527DBD"/>
    <w:rsid w:val="0063536E"/>
    <w:rsid w:val="00680AB1"/>
    <w:rsid w:val="006A24B7"/>
    <w:rsid w:val="00726496"/>
    <w:rsid w:val="00793A27"/>
    <w:rsid w:val="007D4905"/>
    <w:rsid w:val="008109C1"/>
    <w:rsid w:val="00856A56"/>
    <w:rsid w:val="00856C64"/>
    <w:rsid w:val="009A226A"/>
    <w:rsid w:val="009B30C4"/>
    <w:rsid w:val="009C54E0"/>
    <w:rsid w:val="00A04888"/>
    <w:rsid w:val="00A743F9"/>
    <w:rsid w:val="00AB22F4"/>
    <w:rsid w:val="00AB6E3B"/>
    <w:rsid w:val="00AC675D"/>
    <w:rsid w:val="00BF721F"/>
    <w:rsid w:val="00C47919"/>
    <w:rsid w:val="00C53D76"/>
    <w:rsid w:val="00C65BA0"/>
    <w:rsid w:val="00CB32D6"/>
    <w:rsid w:val="00CF0291"/>
    <w:rsid w:val="00D06774"/>
    <w:rsid w:val="00E36CEC"/>
    <w:rsid w:val="00E559F6"/>
    <w:rsid w:val="00EB1ED6"/>
    <w:rsid w:val="00ED050A"/>
    <w:rsid w:val="00F01B90"/>
    <w:rsid w:val="00F07E85"/>
    <w:rsid w:val="00FD6407"/>
    <w:rsid w:val="00FF713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01BB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09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109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09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0291"/>
    <w:pPr>
      <w:spacing w:before="100" w:beforeAutospacing="1" w:after="100" w:afterAutospacing="1"/>
    </w:pPr>
    <w:rPr>
      <w:rFonts w:ascii="Times" w:hAnsi="Times" w:cs="Times New Roman"/>
      <w:sz w:val="20"/>
      <w:szCs w:val="20"/>
      <w:lang w:val="es-US"/>
    </w:rPr>
  </w:style>
  <w:style w:type="paragraph" w:styleId="FootnoteText">
    <w:name w:val="footnote text"/>
    <w:basedOn w:val="Normal"/>
    <w:link w:val="FootnoteTextChar"/>
    <w:uiPriority w:val="99"/>
    <w:unhideWhenUsed/>
    <w:rsid w:val="00CF0291"/>
  </w:style>
  <w:style w:type="character" w:customStyle="1" w:styleId="FootnoteTextChar">
    <w:name w:val="Footnote Text Char"/>
    <w:basedOn w:val="DefaultParagraphFont"/>
    <w:link w:val="FootnoteText"/>
    <w:uiPriority w:val="99"/>
    <w:rsid w:val="00CF0291"/>
  </w:style>
  <w:style w:type="character" w:styleId="FootnoteReference">
    <w:name w:val="footnote reference"/>
    <w:basedOn w:val="DefaultParagraphFont"/>
    <w:uiPriority w:val="99"/>
    <w:unhideWhenUsed/>
    <w:rsid w:val="00CF0291"/>
    <w:rPr>
      <w:vertAlign w:val="superscript"/>
    </w:rPr>
  </w:style>
  <w:style w:type="paragraph" w:styleId="ListParagraph">
    <w:name w:val="List Paragraph"/>
    <w:basedOn w:val="Normal"/>
    <w:uiPriority w:val="34"/>
    <w:qFormat/>
    <w:rsid w:val="00E36CEC"/>
    <w:pPr>
      <w:ind w:left="720"/>
      <w:contextualSpacing/>
    </w:pPr>
  </w:style>
  <w:style w:type="paragraph" w:styleId="EndnoteText">
    <w:name w:val="endnote text"/>
    <w:basedOn w:val="Normal"/>
    <w:link w:val="EndnoteTextChar"/>
    <w:uiPriority w:val="99"/>
    <w:unhideWhenUsed/>
    <w:rsid w:val="00ED050A"/>
  </w:style>
  <w:style w:type="character" w:customStyle="1" w:styleId="EndnoteTextChar">
    <w:name w:val="Endnote Text Char"/>
    <w:basedOn w:val="DefaultParagraphFont"/>
    <w:link w:val="EndnoteText"/>
    <w:uiPriority w:val="99"/>
    <w:rsid w:val="00ED050A"/>
  </w:style>
  <w:style w:type="character" w:styleId="EndnoteReference">
    <w:name w:val="endnote reference"/>
    <w:basedOn w:val="DefaultParagraphFont"/>
    <w:uiPriority w:val="99"/>
    <w:unhideWhenUsed/>
    <w:rsid w:val="00ED050A"/>
    <w:rPr>
      <w:vertAlign w:val="superscript"/>
    </w:rPr>
  </w:style>
  <w:style w:type="character" w:customStyle="1" w:styleId="Heading1Char">
    <w:name w:val="Heading 1 Char"/>
    <w:basedOn w:val="DefaultParagraphFont"/>
    <w:link w:val="Heading1"/>
    <w:uiPriority w:val="9"/>
    <w:rsid w:val="008109C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109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09C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8109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9C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09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109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09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0291"/>
    <w:pPr>
      <w:spacing w:before="100" w:beforeAutospacing="1" w:after="100" w:afterAutospacing="1"/>
    </w:pPr>
    <w:rPr>
      <w:rFonts w:ascii="Times" w:hAnsi="Times" w:cs="Times New Roman"/>
      <w:sz w:val="20"/>
      <w:szCs w:val="20"/>
      <w:lang w:val="es-US"/>
    </w:rPr>
  </w:style>
  <w:style w:type="paragraph" w:styleId="FootnoteText">
    <w:name w:val="footnote text"/>
    <w:basedOn w:val="Normal"/>
    <w:link w:val="FootnoteTextChar"/>
    <w:uiPriority w:val="99"/>
    <w:unhideWhenUsed/>
    <w:rsid w:val="00CF0291"/>
  </w:style>
  <w:style w:type="character" w:customStyle="1" w:styleId="FootnoteTextChar">
    <w:name w:val="Footnote Text Char"/>
    <w:basedOn w:val="DefaultParagraphFont"/>
    <w:link w:val="FootnoteText"/>
    <w:uiPriority w:val="99"/>
    <w:rsid w:val="00CF0291"/>
  </w:style>
  <w:style w:type="character" w:styleId="FootnoteReference">
    <w:name w:val="footnote reference"/>
    <w:basedOn w:val="DefaultParagraphFont"/>
    <w:uiPriority w:val="99"/>
    <w:unhideWhenUsed/>
    <w:rsid w:val="00CF0291"/>
    <w:rPr>
      <w:vertAlign w:val="superscript"/>
    </w:rPr>
  </w:style>
  <w:style w:type="paragraph" w:styleId="ListParagraph">
    <w:name w:val="List Paragraph"/>
    <w:basedOn w:val="Normal"/>
    <w:uiPriority w:val="34"/>
    <w:qFormat/>
    <w:rsid w:val="00E36CEC"/>
    <w:pPr>
      <w:ind w:left="720"/>
      <w:contextualSpacing/>
    </w:pPr>
  </w:style>
  <w:style w:type="paragraph" w:styleId="EndnoteText">
    <w:name w:val="endnote text"/>
    <w:basedOn w:val="Normal"/>
    <w:link w:val="EndnoteTextChar"/>
    <w:uiPriority w:val="99"/>
    <w:unhideWhenUsed/>
    <w:rsid w:val="00ED050A"/>
  </w:style>
  <w:style w:type="character" w:customStyle="1" w:styleId="EndnoteTextChar">
    <w:name w:val="Endnote Text Char"/>
    <w:basedOn w:val="DefaultParagraphFont"/>
    <w:link w:val="EndnoteText"/>
    <w:uiPriority w:val="99"/>
    <w:rsid w:val="00ED050A"/>
  </w:style>
  <w:style w:type="character" w:styleId="EndnoteReference">
    <w:name w:val="endnote reference"/>
    <w:basedOn w:val="DefaultParagraphFont"/>
    <w:uiPriority w:val="99"/>
    <w:unhideWhenUsed/>
    <w:rsid w:val="00ED050A"/>
    <w:rPr>
      <w:vertAlign w:val="superscript"/>
    </w:rPr>
  </w:style>
  <w:style w:type="character" w:customStyle="1" w:styleId="Heading1Char">
    <w:name w:val="Heading 1 Char"/>
    <w:basedOn w:val="DefaultParagraphFont"/>
    <w:link w:val="Heading1"/>
    <w:uiPriority w:val="9"/>
    <w:rsid w:val="008109C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109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09C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8109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9C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446">
      <w:bodyDiv w:val="1"/>
      <w:marLeft w:val="0"/>
      <w:marRight w:val="0"/>
      <w:marTop w:val="0"/>
      <w:marBottom w:val="0"/>
      <w:divBdr>
        <w:top w:val="none" w:sz="0" w:space="0" w:color="auto"/>
        <w:left w:val="none" w:sz="0" w:space="0" w:color="auto"/>
        <w:bottom w:val="none" w:sz="0" w:space="0" w:color="auto"/>
        <w:right w:val="none" w:sz="0" w:space="0" w:color="auto"/>
      </w:divBdr>
      <w:divsChild>
        <w:div w:id="1556696610">
          <w:marLeft w:val="0"/>
          <w:marRight w:val="0"/>
          <w:marTop w:val="0"/>
          <w:marBottom w:val="0"/>
          <w:divBdr>
            <w:top w:val="none" w:sz="0" w:space="0" w:color="auto"/>
            <w:left w:val="none" w:sz="0" w:space="0" w:color="auto"/>
            <w:bottom w:val="none" w:sz="0" w:space="0" w:color="auto"/>
            <w:right w:val="none" w:sz="0" w:space="0" w:color="auto"/>
          </w:divBdr>
          <w:divsChild>
            <w:div w:id="476923551">
              <w:marLeft w:val="0"/>
              <w:marRight w:val="0"/>
              <w:marTop w:val="0"/>
              <w:marBottom w:val="0"/>
              <w:divBdr>
                <w:top w:val="none" w:sz="0" w:space="0" w:color="auto"/>
                <w:left w:val="none" w:sz="0" w:space="0" w:color="auto"/>
                <w:bottom w:val="none" w:sz="0" w:space="0" w:color="auto"/>
                <w:right w:val="none" w:sz="0" w:space="0" w:color="auto"/>
              </w:divBdr>
              <w:divsChild>
                <w:div w:id="2217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8257">
      <w:bodyDiv w:val="1"/>
      <w:marLeft w:val="0"/>
      <w:marRight w:val="0"/>
      <w:marTop w:val="0"/>
      <w:marBottom w:val="0"/>
      <w:divBdr>
        <w:top w:val="none" w:sz="0" w:space="0" w:color="auto"/>
        <w:left w:val="none" w:sz="0" w:space="0" w:color="auto"/>
        <w:bottom w:val="none" w:sz="0" w:space="0" w:color="auto"/>
        <w:right w:val="none" w:sz="0" w:space="0" w:color="auto"/>
      </w:divBdr>
      <w:divsChild>
        <w:div w:id="604925770">
          <w:marLeft w:val="0"/>
          <w:marRight w:val="0"/>
          <w:marTop w:val="0"/>
          <w:marBottom w:val="0"/>
          <w:divBdr>
            <w:top w:val="none" w:sz="0" w:space="0" w:color="auto"/>
            <w:left w:val="none" w:sz="0" w:space="0" w:color="auto"/>
            <w:bottom w:val="none" w:sz="0" w:space="0" w:color="auto"/>
            <w:right w:val="none" w:sz="0" w:space="0" w:color="auto"/>
          </w:divBdr>
          <w:divsChild>
            <w:div w:id="427625200">
              <w:marLeft w:val="0"/>
              <w:marRight w:val="0"/>
              <w:marTop w:val="0"/>
              <w:marBottom w:val="0"/>
              <w:divBdr>
                <w:top w:val="none" w:sz="0" w:space="0" w:color="auto"/>
                <w:left w:val="none" w:sz="0" w:space="0" w:color="auto"/>
                <w:bottom w:val="none" w:sz="0" w:space="0" w:color="auto"/>
                <w:right w:val="none" w:sz="0" w:space="0" w:color="auto"/>
              </w:divBdr>
              <w:divsChild>
                <w:div w:id="14629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5184">
      <w:bodyDiv w:val="1"/>
      <w:marLeft w:val="0"/>
      <w:marRight w:val="0"/>
      <w:marTop w:val="0"/>
      <w:marBottom w:val="0"/>
      <w:divBdr>
        <w:top w:val="none" w:sz="0" w:space="0" w:color="auto"/>
        <w:left w:val="none" w:sz="0" w:space="0" w:color="auto"/>
        <w:bottom w:val="none" w:sz="0" w:space="0" w:color="auto"/>
        <w:right w:val="none" w:sz="0" w:space="0" w:color="auto"/>
      </w:divBdr>
      <w:divsChild>
        <w:div w:id="140973640">
          <w:marLeft w:val="0"/>
          <w:marRight w:val="0"/>
          <w:marTop w:val="0"/>
          <w:marBottom w:val="0"/>
          <w:divBdr>
            <w:top w:val="none" w:sz="0" w:space="0" w:color="auto"/>
            <w:left w:val="none" w:sz="0" w:space="0" w:color="auto"/>
            <w:bottom w:val="none" w:sz="0" w:space="0" w:color="auto"/>
            <w:right w:val="none" w:sz="0" w:space="0" w:color="auto"/>
          </w:divBdr>
          <w:divsChild>
            <w:div w:id="1673024663">
              <w:marLeft w:val="0"/>
              <w:marRight w:val="0"/>
              <w:marTop w:val="0"/>
              <w:marBottom w:val="0"/>
              <w:divBdr>
                <w:top w:val="none" w:sz="0" w:space="0" w:color="auto"/>
                <w:left w:val="none" w:sz="0" w:space="0" w:color="auto"/>
                <w:bottom w:val="none" w:sz="0" w:space="0" w:color="auto"/>
                <w:right w:val="none" w:sz="0" w:space="0" w:color="auto"/>
              </w:divBdr>
              <w:divsChild>
                <w:div w:id="833109296">
                  <w:marLeft w:val="0"/>
                  <w:marRight w:val="0"/>
                  <w:marTop w:val="0"/>
                  <w:marBottom w:val="0"/>
                  <w:divBdr>
                    <w:top w:val="none" w:sz="0" w:space="0" w:color="auto"/>
                    <w:left w:val="none" w:sz="0" w:space="0" w:color="auto"/>
                    <w:bottom w:val="none" w:sz="0" w:space="0" w:color="auto"/>
                    <w:right w:val="none" w:sz="0" w:space="0" w:color="auto"/>
                  </w:divBdr>
                </w:div>
              </w:divsChild>
            </w:div>
            <w:div w:id="1284655286">
              <w:marLeft w:val="0"/>
              <w:marRight w:val="0"/>
              <w:marTop w:val="0"/>
              <w:marBottom w:val="0"/>
              <w:divBdr>
                <w:top w:val="none" w:sz="0" w:space="0" w:color="auto"/>
                <w:left w:val="none" w:sz="0" w:space="0" w:color="auto"/>
                <w:bottom w:val="none" w:sz="0" w:space="0" w:color="auto"/>
                <w:right w:val="none" w:sz="0" w:space="0" w:color="auto"/>
              </w:divBdr>
              <w:divsChild>
                <w:div w:id="9239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3674">
          <w:marLeft w:val="0"/>
          <w:marRight w:val="0"/>
          <w:marTop w:val="0"/>
          <w:marBottom w:val="0"/>
          <w:divBdr>
            <w:top w:val="none" w:sz="0" w:space="0" w:color="auto"/>
            <w:left w:val="none" w:sz="0" w:space="0" w:color="auto"/>
            <w:bottom w:val="none" w:sz="0" w:space="0" w:color="auto"/>
            <w:right w:val="none" w:sz="0" w:space="0" w:color="auto"/>
          </w:divBdr>
          <w:divsChild>
            <w:div w:id="1811053520">
              <w:marLeft w:val="0"/>
              <w:marRight w:val="0"/>
              <w:marTop w:val="0"/>
              <w:marBottom w:val="0"/>
              <w:divBdr>
                <w:top w:val="none" w:sz="0" w:space="0" w:color="auto"/>
                <w:left w:val="none" w:sz="0" w:space="0" w:color="auto"/>
                <w:bottom w:val="none" w:sz="0" w:space="0" w:color="auto"/>
                <w:right w:val="none" w:sz="0" w:space="0" w:color="auto"/>
              </w:divBdr>
              <w:divsChild>
                <w:div w:id="1453161734">
                  <w:marLeft w:val="0"/>
                  <w:marRight w:val="0"/>
                  <w:marTop w:val="0"/>
                  <w:marBottom w:val="0"/>
                  <w:divBdr>
                    <w:top w:val="none" w:sz="0" w:space="0" w:color="auto"/>
                    <w:left w:val="none" w:sz="0" w:space="0" w:color="auto"/>
                    <w:bottom w:val="none" w:sz="0" w:space="0" w:color="auto"/>
                    <w:right w:val="none" w:sz="0" w:space="0" w:color="auto"/>
                  </w:divBdr>
                </w:div>
              </w:divsChild>
            </w:div>
            <w:div w:id="1176312053">
              <w:marLeft w:val="0"/>
              <w:marRight w:val="0"/>
              <w:marTop w:val="0"/>
              <w:marBottom w:val="0"/>
              <w:divBdr>
                <w:top w:val="none" w:sz="0" w:space="0" w:color="auto"/>
                <w:left w:val="none" w:sz="0" w:space="0" w:color="auto"/>
                <w:bottom w:val="none" w:sz="0" w:space="0" w:color="auto"/>
                <w:right w:val="none" w:sz="0" w:space="0" w:color="auto"/>
              </w:divBdr>
              <w:divsChild>
                <w:div w:id="19689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7221">
          <w:marLeft w:val="0"/>
          <w:marRight w:val="0"/>
          <w:marTop w:val="0"/>
          <w:marBottom w:val="0"/>
          <w:divBdr>
            <w:top w:val="none" w:sz="0" w:space="0" w:color="auto"/>
            <w:left w:val="none" w:sz="0" w:space="0" w:color="auto"/>
            <w:bottom w:val="none" w:sz="0" w:space="0" w:color="auto"/>
            <w:right w:val="none" w:sz="0" w:space="0" w:color="auto"/>
          </w:divBdr>
          <w:divsChild>
            <w:div w:id="1265503746">
              <w:marLeft w:val="0"/>
              <w:marRight w:val="0"/>
              <w:marTop w:val="0"/>
              <w:marBottom w:val="0"/>
              <w:divBdr>
                <w:top w:val="none" w:sz="0" w:space="0" w:color="auto"/>
                <w:left w:val="none" w:sz="0" w:space="0" w:color="auto"/>
                <w:bottom w:val="none" w:sz="0" w:space="0" w:color="auto"/>
                <w:right w:val="none" w:sz="0" w:space="0" w:color="auto"/>
              </w:divBdr>
              <w:divsChild>
                <w:div w:id="7495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35544">
      <w:bodyDiv w:val="1"/>
      <w:marLeft w:val="0"/>
      <w:marRight w:val="0"/>
      <w:marTop w:val="0"/>
      <w:marBottom w:val="0"/>
      <w:divBdr>
        <w:top w:val="none" w:sz="0" w:space="0" w:color="auto"/>
        <w:left w:val="none" w:sz="0" w:space="0" w:color="auto"/>
        <w:bottom w:val="none" w:sz="0" w:space="0" w:color="auto"/>
        <w:right w:val="none" w:sz="0" w:space="0" w:color="auto"/>
      </w:divBdr>
      <w:divsChild>
        <w:div w:id="1397896194">
          <w:marLeft w:val="0"/>
          <w:marRight w:val="0"/>
          <w:marTop w:val="0"/>
          <w:marBottom w:val="0"/>
          <w:divBdr>
            <w:top w:val="none" w:sz="0" w:space="0" w:color="auto"/>
            <w:left w:val="none" w:sz="0" w:space="0" w:color="auto"/>
            <w:bottom w:val="none" w:sz="0" w:space="0" w:color="auto"/>
            <w:right w:val="none" w:sz="0" w:space="0" w:color="auto"/>
          </w:divBdr>
          <w:divsChild>
            <w:div w:id="1049258758">
              <w:marLeft w:val="0"/>
              <w:marRight w:val="0"/>
              <w:marTop w:val="0"/>
              <w:marBottom w:val="0"/>
              <w:divBdr>
                <w:top w:val="none" w:sz="0" w:space="0" w:color="auto"/>
                <w:left w:val="none" w:sz="0" w:space="0" w:color="auto"/>
                <w:bottom w:val="none" w:sz="0" w:space="0" w:color="auto"/>
                <w:right w:val="none" w:sz="0" w:space="0" w:color="auto"/>
              </w:divBdr>
              <w:divsChild>
                <w:div w:id="1052004073">
                  <w:marLeft w:val="0"/>
                  <w:marRight w:val="0"/>
                  <w:marTop w:val="0"/>
                  <w:marBottom w:val="0"/>
                  <w:divBdr>
                    <w:top w:val="none" w:sz="0" w:space="0" w:color="auto"/>
                    <w:left w:val="none" w:sz="0" w:space="0" w:color="auto"/>
                    <w:bottom w:val="none" w:sz="0" w:space="0" w:color="auto"/>
                    <w:right w:val="none" w:sz="0" w:space="0" w:color="auto"/>
                  </w:divBdr>
                </w:div>
                <w:div w:id="1329016023">
                  <w:marLeft w:val="0"/>
                  <w:marRight w:val="0"/>
                  <w:marTop w:val="0"/>
                  <w:marBottom w:val="0"/>
                  <w:divBdr>
                    <w:top w:val="none" w:sz="0" w:space="0" w:color="auto"/>
                    <w:left w:val="none" w:sz="0" w:space="0" w:color="auto"/>
                    <w:bottom w:val="none" w:sz="0" w:space="0" w:color="auto"/>
                    <w:right w:val="none" w:sz="0" w:space="0" w:color="auto"/>
                  </w:divBdr>
                </w:div>
              </w:divsChild>
            </w:div>
            <w:div w:id="1161313343">
              <w:marLeft w:val="0"/>
              <w:marRight w:val="0"/>
              <w:marTop w:val="0"/>
              <w:marBottom w:val="0"/>
              <w:divBdr>
                <w:top w:val="none" w:sz="0" w:space="0" w:color="auto"/>
                <w:left w:val="none" w:sz="0" w:space="0" w:color="auto"/>
                <w:bottom w:val="none" w:sz="0" w:space="0" w:color="auto"/>
                <w:right w:val="none" w:sz="0" w:space="0" w:color="auto"/>
              </w:divBdr>
              <w:divsChild>
                <w:div w:id="1027021497">
                  <w:marLeft w:val="0"/>
                  <w:marRight w:val="0"/>
                  <w:marTop w:val="0"/>
                  <w:marBottom w:val="0"/>
                  <w:divBdr>
                    <w:top w:val="none" w:sz="0" w:space="0" w:color="auto"/>
                    <w:left w:val="none" w:sz="0" w:space="0" w:color="auto"/>
                    <w:bottom w:val="none" w:sz="0" w:space="0" w:color="auto"/>
                    <w:right w:val="none" w:sz="0" w:space="0" w:color="auto"/>
                  </w:divBdr>
                  <w:divsChild>
                    <w:div w:id="18521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266227">
      <w:bodyDiv w:val="1"/>
      <w:marLeft w:val="0"/>
      <w:marRight w:val="0"/>
      <w:marTop w:val="0"/>
      <w:marBottom w:val="0"/>
      <w:divBdr>
        <w:top w:val="none" w:sz="0" w:space="0" w:color="auto"/>
        <w:left w:val="none" w:sz="0" w:space="0" w:color="auto"/>
        <w:bottom w:val="none" w:sz="0" w:space="0" w:color="auto"/>
        <w:right w:val="none" w:sz="0" w:space="0" w:color="auto"/>
      </w:divBdr>
      <w:divsChild>
        <w:div w:id="1205823521">
          <w:marLeft w:val="0"/>
          <w:marRight w:val="0"/>
          <w:marTop w:val="0"/>
          <w:marBottom w:val="0"/>
          <w:divBdr>
            <w:top w:val="none" w:sz="0" w:space="0" w:color="auto"/>
            <w:left w:val="none" w:sz="0" w:space="0" w:color="auto"/>
            <w:bottom w:val="none" w:sz="0" w:space="0" w:color="auto"/>
            <w:right w:val="none" w:sz="0" w:space="0" w:color="auto"/>
          </w:divBdr>
          <w:divsChild>
            <w:div w:id="621620506">
              <w:marLeft w:val="0"/>
              <w:marRight w:val="0"/>
              <w:marTop w:val="0"/>
              <w:marBottom w:val="0"/>
              <w:divBdr>
                <w:top w:val="none" w:sz="0" w:space="0" w:color="auto"/>
                <w:left w:val="none" w:sz="0" w:space="0" w:color="auto"/>
                <w:bottom w:val="none" w:sz="0" w:space="0" w:color="auto"/>
                <w:right w:val="none" w:sz="0" w:space="0" w:color="auto"/>
              </w:divBdr>
              <w:divsChild>
                <w:div w:id="485897818">
                  <w:marLeft w:val="0"/>
                  <w:marRight w:val="0"/>
                  <w:marTop w:val="0"/>
                  <w:marBottom w:val="0"/>
                  <w:divBdr>
                    <w:top w:val="none" w:sz="0" w:space="0" w:color="auto"/>
                    <w:left w:val="none" w:sz="0" w:space="0" w:color="auto"/>
                    <w:bottom w:val="none" w:sz="0" w:space="0" w:color="auto"/>
                    <w:right w:val="none" w:sz="0" w:space="0" w:color="auto"/>
                  </w:divBdr>
                </w:div>
                <w:div w:id="654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4386">
      <w:bodyDiv w:val="1"/>
      <w:marLeft w:val="0"/>
      <w:marRight w:val="0"/>
      <w:marTop w:val="0"/>
      <w:marBottom w:val="0"/>
      <w:divBdr>
        <w:top w:val="none" w:sz="0" w:space="0" w:color="auto"/>
        <w:left w:val="none" w:sz="0" w:space="0" w:color="auto"/>
        <w:bottom w:val="none" w:sz="0" w:space="0" w:color="auto"/>
        <w:right w:val="none" w:sz="0" w:space="0" w:color="auto"/>
      </w:divBdr>
      <w:divsChild>
        <w:div w:id="8072071">
          <w:marLeft w:val="0"/>
          <w:marRight w:val="0"/>
          <w:marTop w:val="0"/>
          <w:marBottom w:val="0"/>
          <w:divBdr>
            <w:top w:val="none" w:sz="0" w:space="0" w:color="auto"/>
            <w:left w:val="none" w:sz="0" w:space="0" w:color="auto"/>
            <w:bottom w:val="none" w:sz="0" w:space="0" w:color="auto"/>
            <w:right w:val="none" w:sz="0" w:space="0" w:color="auto"/>
          </w:divBdr>
          <w:divsChild>
            <w:div w:id="1843811314">
              <w:marLeft w:val="0"/>
              <w:marRight w:val="0"/>
              <w:marTop w:val="0"/>
              <w:marBottom w:val="0"/>
              <w:divBdr>
                <w:top w:val="none" w:sz="0" w:space="0" w:color="auto"/>
                <w:left w:val="none" w:sz="0" w:space="0" w:color="auto"/>
                <w:bottom w:val="none" w:sz="0" w:space="0" w:color="auto"/>
                <w:right w:val="none" w:sz="0" w:space="0" w:color="auto"/>
              </w:divBdr>
              <w:divsChild>
                <w:div w:id="15366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8686">
      <w:bodyDiv w:val="1"/>
      <w:marLeft w:val="0"/>
      <w:marRight w:val="0"/>
      <w:marTop w:val="0"/>
      <w:marBottom w:val="0"/>
      <w:divBdr>
        <w:top w:val="none" w:sz="0" w:space="0" w:color="auto"/>
        <w:left w:val="none" w:sz="0" w:space="0" w:color="auto"/>
        <w:bottom w:val="none" w:sz="0" w:space="0" w:color="auto"/>
        <w:right w:val="none" w:sz="0" w:space="0" w:color="auto"/>
      </w:divBdr>
      <w:divsChild>
        <w:div w:id="2123382211">
          <w:marLeft w:val="0"/>
          <w:marRight w:val="0"/>
          <w:marTop w:val="0"/>
          <w:marBottom w:val="0"/>
          <w:divBdr>
            <w:top w:val="none" w:sz="0" w:space="0" w:color="auto"/>
            <w:left w:val="none" w:sz="0" w:space="0" w:color="auto"/>
            <w:bottom w:val="none" w:sz="0" w:space="0" w:color="auto"/>
            <w:right w:val="none" w:sz="0" w:space="0" w:color="auto"/>
          </w:divBdr>
          <w:divsChild>
            <w:div w:id="696279160">
              <w:marLeft w:val="0"/>
              <w:marRight w:val="0"/>
              <w:marTop w:val="0"/>
              <w:marBottom w:val="0"/>
              <w:divBdr>
                <w:top w:val="none" w:sz="0" w:space="0" w:color="auto"/>
                <w:left w:val="none" w:sz="0" w:space="0" w:color="auto"/>
                <w:bottom w:val="none" w:sz="0" w:space="0" w:color="auto"/>
                <w:right w:val="none" w:sz="0" w:space="0" w:color="auto"/>
              </w:divBdr>
              <w:divsChild>
                <w:div w:id="481970726">
                  <w:marLeft w:val="0"/>
                  <w:marRight w:val="0"/>
                  <w:marTop w:val="0"/>
                  <w:marBottom w:val="0"/>
                  <w:divBdr>
                    <w:top w:val="none" w:sz="0" w:space="0" w:color="auto"/>
                    <w:left w:val="none" w:sz="0" w:space="0" w:color="auto"/>
                    <w:bottom w:val="none" w:sz="0" w:space="0" w:color="auto"/>
                    <w:right w:val="none" w:sz="0" w:space="0" w:color="auto"/>
                  </w:divBdr>
                  <w:divsChild>
                    <w:div w:id="1751582845">
                      <w:marLeft w:val="0"/>
                      <w:marRight w:val="0"/>
                      <w:marTop w:val="0"/>
                      <w:marBottom w:val="0"/>
                      <w:divBdr>
                        <w:top w:val="none" w:sz="0" w:space="0" w:color="auto"/>
                        <w:left w:val="none" w:sz="0" w:space="0" w:color="auto"/>
                        <w:bottom w:val="none" w:sz="0" w:space="0" w:color="auto"/>
                        <w:right w:val="none" w:sz="0" w:space="0" w:color="auto"/>
                      </w:divBdr>
                    </w:div>
                    <w:div w:id="534078552">
                      <w:marLeft w:val="0"/>
                      <w:marRight w:val="0"/>
                      <w:marTop w:val="0"/>
                      <w:marBottom w:val="0"/>
                      <w:divBdr>
                        <w:top w:val="none" w:sz="0" w:space="0" w:color="auto"/>
                        <w:left w:val="none" w:sz="0" w:space="0" w:color="auto"/>
                        <w:bottom w:val="none" w:sz="0" w:space="0" w:color="auto"/>
                        <w:right w:val="none" w:sz="0" w:space="0" w:color="auto"/>
                      </w:divBdr>
                    </w:div>
                    <w:div w:id="556625828">
                      <w:marLeft w:val="0"/>
                      <w:marRight w:val="0"/>
                      <w:marTop w:val="0"/>
                      <w:marBottom w:val="0"/>
                      <w:divBdr>
                        <w:top w:val="none" w:sz="0" w:space="0" w:color="auto"/>
                        <w:left w:val="none" w:sz="0" w:space="0" w:color="auto"/>
                        <w:bottom w:val="none" w:sz="0" w:space="0" w:color="auto"/>
                        <w:right w:val="none" w:sz="0" w:space="0" w:color="auto"/>
                      </w:divBdr>
                    </w:div>
                    <w:div w:id="415178784">
                      <w:marLeft w:val="0"/>
                      <w:marRight w:val="0"/>
                      <w:marTop w:val="0"/>
                      <w:marBottom w:val="0"/>
                      <w:divBdr>
                        <w:top w:val="none" w:sz="0" w:space="0" w:color="auto"/>
                        <w:left w:val="none" w:sz="0" w:space="0" w:color="auto"/>
                        <w:bottom w:val="none" w:sz="0" w:space="0" w:color="auto"/>
                        <w:right w:val="none" w:sz="0" w:space="0" w:color="auto"/>
                      </w:divBdr>
                    </w:div>
                    <w:div w:id="209381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3</Pages>
  <Words>1350</Words>
  <Characters>7695</Characters>
  <Application>Microsoft Macintosh Word</Application>
  <DocSecurity>0</DocSecurity>
  <Lines>64</Lines>
  <Paragraphs>18</Paragraphs>
  <ScaleCrop>false</ScaleCrop>
  <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Verónica Reina</dc:creator>
  <cp:keywords/>
  <dc:description/>
  <cp:lastModifiedBy>María Verónica Reina</cp:lastModifiedBy>
  <cp:revision>15</cp:revision>
  <dcterms:created xsi:type="dcterms:W3CDTF">2016-06-08T22:48:00Z</dcterms:created>
  <dcterms:modified xsi:type="dcterms:W3CDTF">2016-06-10T03:27:00Z</dcterms:modified>
</cp:coreProperties>
</file>