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628EE4" w14:textId="4DD5C293" w:rsidR="00C475E6" w:rsidRPr="003D2C5B" w:rsidRDefault="00C475E6" w:rsidP="00D52744">
      <w:pPr>
        <w:shd w:val="clear" w:color="auto" w:fill="FFFFFF"/>
        <w:jc w:val="center"/>
        <w:rPr>
          <w:rFonts w:ascii="Roboto" w:hAnsi="Roboto" w:cs="Arial"/>
          <w:b/>
          <w:sz w:val="22"/>
          <w:szCs w:val="22"/>
          <w:lang w:val="en-GB"/>
        </w:rPr>
      </w:pPr>
      <w:r w:rsidRPr="003D2C5B">
        <w:rPr>
          <w:rFonts w:ascii="Roboto" w:hAnsi="Roboto" w:cs="Arial"/>
          <w:b/>
          <w:noProof/>
          <w:sz w:val="22"/>
          <w:szCs w:val="22"/>
          <w:lang w:val="en-GB"/>
        </w:rPr>
        <w:drawing>
          <wp:inline distT="0" distB="0" distL="0" distR="0" wp14:anchorId="6B729EBF" wp14:editId="7038CB22">
            <wp:extent cx="5126990" cy="25730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26990" cy="2573020"/>
                    </a:xfrm>
                    <a:prstGeom prst="rect">
                      <a:avLst/>
                    </a:prstGeom>
                    <a:noFill/>
                  </pic:spPr>
                </pic:pic>
              </a:graphicData>
            </a:graphic>
          </wp:inline>
        </w:drawing>
      </w:r>
    </w:p>
    <w:p w14:paraId="4A27FC0D" w14:textId="77777777" w:rsidR="00C475E6" w:rsidRPr="003D2C5B" w:rsidRDefault="00C475E6" w:rsidP="00D4232F">
      <w:pPr>
        <w:shd w:val="clear" w:color="auto" w:fill="FFFFFF"/>
        <w:jc w:val="both"/>
        <w:rPr>
          <w:rFonts w:ascii="Roboto" w:hAnsi="Roboto" w:cs="Arial"/>
          <w:b/>
          <w:sz w:val="22"/>
          <w:szCs w:val="22"/>
          <w:lang w:val="en-GB"/>
        </w:rPr>
      </w:pPr>
    </w:p>
    <w:p w14:paraId="629A90BC" w14:textId="3D0424D7" w:rsidR="00C475E6" w:rsidRPr="003D2C5B" w:rsidRDefault="00C475E6" w:rsidP="00D4232F">
      <w:pPr>
        <w:shd w:val="clear" w:color="auto" w:fill="FFFFFF"/>
        <w:jc w:val="both"/>
        <w:rPr>
          <w:rFonts w:ascii="Roboto" w:hAnsi="Roboto" w:cs="Arial"/>
          <w:b/>
          <w:sz w:val="22"/>
          <w:szCs w:val="22"/>
          <w:lang w:val="en-GB"/>
        </w:rPr>
      </w:pPr>
    </w:p>
    <w:p w14:paraId="630624F8" w14:textId="7DC52844" w:rsidR="00F67CCA" w:rsidRPr="003D2C5B" w:rsidRDefault="00F67CCA" w:rsidP="00D4232F">
      <w:pPr>
        <w:shd w:val="clear" w:color="auto" w:fill="FFFFFF"/>
        <w:jc w:val="both"/>
        <w:rPr>
          <w:rFonts w:ascii="Roboto" w:hAnsi="Roboto" w:cs="Arial"/>
          <w:b/>
          <w:sz w:val="22"/>
          <w:szCs w:val="22"/>
          <w:lang w:val="en-GB"/>
        </w:rPr>
      </w:pPr>
    </w:p>
    <w:p w14:paraId="0FA6A14E" w14:textId="77777777" w:rsidR="00F67CCA" w:rsidRPr="003D2C5B" w:rsidRDefault="00F67CCA" w:rsidP="00D4232F">
      <w:pPr>
        <w:shd w:val="clear" w:color="auto" w:fill="FFFFFF"/>
        <w:jc w:val="both"/>
        <w:rPr>
          <w:rFonts w:ascii="Roboto" w:hAnsi="Roboto" w:cs="Arial"/>
          <w:b/>
          <w:sz w:val="22"/>
          <w:szCs w:val="22"/>
          <w:lang w:val="en-GB"/>
        </w:rPr>
      </w:pPr>
    </w:p>
    <w:p w14:paraId="3F9525A1" w14:textId="164C417E" w:rsidR="00C475E6" w:rsidRPr="003D2C5B" w:rsidRDefault="00C475E6" w:rsidP="00C475E6">
      <w:pPr>
        <w:snapToGrid w:val="0"/>
        <w:spacing w:before="120" w:after="120"/>
        <w:contextualSpacing/>
        <w:jc w:val="center"/>
        <w:rPr>
          <w:rFonts w:ascii="Roboto" w:eastAsia="Times New Roman" w:hAnsi="Roboto" w:cs="Calibri Light"/>
          <w:b/>
          <w:bCs/>
          <w:color w:val="000000"/>
          <w:sz w:val="32"/>
          <w:szCs w:val="32"/>
          <w:lang w:val="en-CA"/>
        </w:rPr>
      </w:pPr>
      <w:r w:rsidRPr="003D2C5B">
        <w:rPr>
          <w:rFonts w:ascii="Roboto" w:eastAsia="Calibri" w:hAnsi="Roboto" w:cs="Times New Roman"/>
          <w:b/>
          <w:bCs/>
          <w:color w:val="4F81BD"/>
          <w:sz w:val="56"/>
          <w:szCs w:val="56"/>
          <w:lang w:val="en-US"/>
        </w:rPr>
        <w:t xml:space="preserve">IDA’s Compilation of </w:t>
      </w:r>
      <w:r w:rsidR="00667B2E">
        <w:rPr>
          <w:rFonts w:ascii="Roboto" w:eastAsia="Calibri" w:hAnsi="Roboto" w:cs="Times New Roman"/>
          <w:b/>
          <w:bCs/>
          <w:color w:val="4F81BD"/>
          <w:sz w:val="56"/>
          <w:szCs w:val="56"/>
          <w:lang w:val="en-US"/>
        </w:rPr>
        <w:t>Disability-Related</w:t>
      </w:r>
      <w:r w:rsidRPr="003D2C5B">
        <w:rPr>
          <w:rFonts w:ascii="Roboto" w:eastAsia="Calibri" w:hAnsi="Roboto" w:cs="Times New Roman"/>
          <w:b/>
          <w:bCs/>
          <w:color w:val="4F81BD"/>
          <w:sz w:val="56"/>
          <w:szCs w:val="56"/>
          <w:lang w:val="en-US"/>
        </w:rPr>
        <w:t xml:space="preserve"> Extracts of Concluding Observations of the Committee on Economic, Social and Cultural Rights</w:t>
      </w:r>
    </w:p>
    <w:p w14:paraId="57D1725F" w14:textId="77777777" w:rsidR="00C475E6" w:rsidRPr="003D2C5B" w:rsidRDefault="00C475E6" w:rsidP="00C475E6">
      <w:pPr>
        <w:snapToGrid w:val="0"/>
        <w:spacing w:before="120" w:after="120"/>
        <w:contextualSpacing/>
        <w:jc w:val="both"/>
        <w:rPr>
          <w:rFonts w:ascii="Roboto" w:eastAsia="Times New Roman" w:hAnsi="Roboto" w:cs="Calibri Light"/>
          <w:b/>
          <w:bCs/>
          <w:color w:val="000000"/>
          <w:sz w:val="32"/>
          <w:szCs w:val="32"/>
          <w:lang w:val="en-CA"/>
        </w:rPr>
      </w:pPr>
    </w:p>
    <w:p w14:paraId="191D7B09" w14:textId="7B3ED151" w:rsidR="00C475E6" w:rsidRPr="003D2C5B" w:rsidRDefault="00C475E6" w:rsidP="00C475E6">
      <w:pPr>
        <w:snapToGrid w:val="0"/>
        <w:spacing w:before="120" w:after="120"/>
        <w:contextualSpacing/>
        <w:jc w:val="both"/>
        <w:rPr>
          <w:rFonts w:ascii="Roboto" w:eastAsia="Times New Roman" w:hAnsi="Roboto" w:cs="Calibri Light"/>
          <w:b/>
          <w:bCs/>
          <w:color w:val="000000"/>
          <w:sz w:val="32"/>
          <w:szCs w:val="32"/>
          <w:lang w:val="en-CA"/>
        </w:rPr>
      </w:pPr>
    </w:p>
    <w:p w14:paraId="33F103E4" w14:textId="402F1839" w:rsidR="00F67CCA" w:rsidRPr="003D2C5B" w:rsidRDefault="00F67CCA" w:rsidP="00C475E6">
      <w:pPr>
        <w:snapToGrid w:val="0"/>
        <w:spacing w:before="120" w:after="120"/>
        <w:contextualSpacing/>
        <w:jc w:val="both"/>
        <w:rPr>
          <w:rFonts w:ascii="Roboto" w:eastAsia="Times New Roman" w:hAnsi="Roboto" w:cs="Calibri Light"/>
          <w:b/>
          <w:bCs/>
          <w:color w:val="000000"/>
          <w:sz w:val="32"/>
          <w:szCs w:val="32"/>
          <w:lang w:val="en-CA"/>
        </w:rPr>
      </w:pPr>
    </w:p>
    <w:p w14:paraId="69C106BD" w14:textId="2D2C7E2B" w:rsidR="00F67CCA" w:rsidRPr="003D2C5B" w:rsidRDefault="00F67CCA" w:rsidP="00C475E6">
      <w:pPr>
        <w:snapToGrid w:val="0"/>
        <w:spacing w:before="120" w:after="120"/>
        <w:contextualSpacing/>
        <w:jc w:val="both"/>
        <w:rPr>
          <w:rFonts w:ascii="Roboto" w:eastAsia="Times New Roman" w:hAnsi="Roboto" w:cs="Calibri Light"/>
          <w:b/>
          <w:bCs/>
          <w:color w:val="000000"/>
          <w:sz w:val="32"/>
          <w:szCs w:val="32"/>
          <w:lang w:val="en-CA"/>
        </w:rPr>
      </w:pPr>
    </w:p>
    <w:p w14:paraId="1EF0F49D" w14:textId="1CE4FF55" w:rsidR="00F67CCA" w:rsidRPr="003D2C5B" w:rsidRDefault="00F67CCA" w:rsidP="00C475E6">
      <w:pPr>
        <w:snapToGrid w:val="0"/>
        <w:spacing w:before="120" w:after="120"/>
        <w:contextualSpacing/>
        <w:jc w:val="both"/>
        <w:rPr>
          <w:rFonts w:ascii="Roboto" w:eastAsia="Times New Roman" w:hAnsi="Roboto" w:cs="Calibri Light"/>
          <w:b/>
          <w:bCs/>
          <w:color w:val="000000"/>
          <w:sz w:val="32"/>
          <w:szCs w:val="32"/>
          <w:lang w:val="en-CA"/>
        </w:rPr>
      </w:pPr>
    </w:p>
    <w:p w14:paraId="1824209F" w14:textId="6F031B2C" w:rsidR="00F67CCA" w:rsidRPr="003D2C5B" w:rsidRDefault="00F67CCA" w:rsidP="00B96F74">
      <w:pPr>
        <w:snapToGrid w:val="0"/>
        <w:spacing w:before="120" w:after="120"/>
        <w:contextualSpacing/>
        <w:jc w:val="center"/>
        <w:rPr>
          <w:rFonts w:ascii="Roboto" w:eastAsia="Times New Roman" w:hAnsi="Roboto" w:cs="Calibri Light"/>
          <w:b/>
          <w:bCs/>
          <w:color w:val="000000"/>
          <w:sz w:val="32"/>
          <w:szCs w:val="32"/>
          <w:lang w:val="en-CA"/>
        </w:rPr>
      </w:pPr>
      <w:r w:rsidRPr="003D2C5B">
        <w:rPr>
          <w:rFonts w:ascii="Roboto" w:eastAsia="Calibri" w:hAnsi="Roboto" w:cs="Times New Roman"/>
          <w:b/>
          <w:bCs/>
          <w:color w:val="000000"/>
          <w:sz w:val="52"/>
          <w:szCs w:val="52"/>
          <w:lang w:val="es-ES"/>
        </w:rPr>
        <w:t>CESCR Committee’s 7</w:t>
      </w:r>
      <w:r w:rsidR="00DF75BC">
        <w:rPr>
          <w:rFonts w:ascii="Roboto" w:eastAsia="Calibri" w:hAnsi="Roboto" w:cs="Times New Roman"/>
          <w:b/>
          <w:bCs/>
          <w:color w:val="000000"/>
          <w:sz w:val="52"/>
          <w:szCs w:val="52"/>
          <w:lang w:val="es-ES"/>
        </w:rPr>
        <w:t xml:space="preserve">2nd </w:t>
      </w:r>
      <w:r w:rsidRPr="003D2C5B">
        <w:rPr>
          <w:rFonts w:ascii="Roboto" w:eastAsia="Calibri" w:hAnsi="Roboto" w:cs="Times New Roman"/>
          <w:b/>
          <w:bCs/>
          <w:color w:val="000000"/>
          <w:sz w:val="52"/>
          <w:szCs w:val="52"/>
          <w:lang w:val="es-ES"/>
        </w:rPr>
        <w:t>session</w:t>
      </w:r>
    </w:p>
    <w:p w14:paraId="1B05B78D" w14:textId="77777777" w:rsidR="00C475E6" w:rsidRPr="003D2C5B" w:rsidRDefault="00C475E6" w:rsidP="00B96F74">
      <w:pPr>
        <w:snapToGrid w:val="0"/>
        <w:spacing w:before="120" w:after="120"/>
        <w:contextualSpacing/>
        <w:jc w:val="center"/>
        <w:rPr>
          <w:rFonts w:ascii="Roboto" w:eastAsia="Times New Roman" w:hAnsi="Roboto" w:cs="Calibri Light"/>
          <w:b/>
          <w:bCs/>
          <w:color w:val="000000"/>
          <w:sz w:val="32"/>
          <w:szCs w:val="32"/>
          <w:lang w:val="en-CA"/>
        </w:rPr>
      </w:pPr>
    </w:p>
    <w:p w14:paraId="455F674D" w14:textId="478C079E" w:rsidR="00C475E6" w:rsidRPr="003D2C5B" w:rsidRDefault="00C475E6" w:rsidP="00B96F74">
      <w:pPr>
        <w:snapToGrid w:val="0"/>
        <w:spacing w:before="120" w:after="120"/>
        <w:contextualSpacing/>
        <w:jc w:val="center"/>
        <w:rPr>
          <w:rFonts w:ascii="Roboto" w:eastAsia="Times New Roman" w:hAnsi="Roboto" w:cs="Calibri Light"/>
          <w:b/>
          <w:bCs/>
          <w:color w:val="000000"/>
          <w:sz w:val="32"/>
          <w:szCs w:val="32"/>
          <w:lang w:val="en-CA"/>
        </w:rPr>
      </w:pPr>
      <w:r w:rsidRPr="003D2C5B">
        <w:rPr>
          <w:rFonts w:ascii="Roboto" w:eastAsia="Calibri" w:hAnsi="Roboto" w:cs="Times New Roman"/>
          <w:b/>
          <w:bCs/>
          <w:color w:val="000000"/>
          <w:sz w:val="52"/>
          <w:szCs w:val="52"/>
          <w:lang w:val="en-GB"/>
        </w:rPr>
        <w:t>(</w:t>
      </w:r>
      <w:r w:rsidR="00267E66" w:rsidRPr="003D2C5B">
        <w:rPr>
          <w:rFonts w:ascii="Roboto" w:eastAsia="Calibri" w:hAnsi="Roboto" w:cs="Times New Roman"/>
          <w:b/>
          <w:bCs/>
          <w:color w:val="000000"/>
          <w:sz w:val="52"/>
          <w:szCs w:val="52"/>
          <w:lang w:val="en-GB"/>
        </w:rPr>
        <w:t>26 Sep</w:t>
      </w:r>
      <w:r w:rsidRPr="003D2C5B">
        <w:rPr>
          <w:rFonts w:ascii="Roboto" w:eastAsia="Calibri" w:hAnsi="Roboto" w:cs="Times New Roman"/>
          <w:b/>
          <w:bCs/>
          <w:color w:val="000000"/>
          <w:sz w:val="52"/>
          <w:szCs w:val="52"/>
          <w:lang w:val="en-GB"/>
        </w:rPr>
        <w:t xml:space="preserve"> 2022- </w:t>
      </w:r>
      <w:r w:rsidR="00267E66" w:rsidRPr="003D2C5B">
        <w:rPr>
          <w:rFonts w:ascii="Roboto" w:eastAsia="Calibri" w:hAnsi="Roboto" w:cs="Times New Roman"/>
          <w:b/>
          <w:bCs/>
          <w:color w:val="000000"/>
          <w:sz w:val="52"/>
          <w:szCs w:val="52"/>
          <w:lang w:val="en-GB"/>
        </w:rPr>
        <w:t>14</w:t>
      </w:r>
      <w:r w:rsidRPr="003D2C5B">
        <w:rPr>
          <w:rFonts w:ascii="Roboto" w:eastAsia="Calibri" w:hAnsi="Roboto" w:cs="Times New Roman"/>
          <w:b/>
          <w:bCs/>
          <w:color w:val="000000"/>
          <w:sz w:val="52"/>
          <w:szCs w:val="52"/>
          <w:lang w:val="en-GB"/>
        </w:rPr>
        <w:t xml:space="preserve"> </w:t>
      </w:r>
      <w:r w:rsidR="00267E66" w:rsidRPr="003D2C5B">
        <w:rPr>
          <w:rFonts w:ascii="Roboto" w:eastAsia="Calibri" w:hAnsi="Roboto" w:cs="Times New Roman"/>
          <w:b/>
          <w:bCs/>
          <w:color w:val="000000"/>
          <w:sz w:val="52"/>
          <w:szCs w:val="52"/>
          <w:lang w:val="en-GB"/>
        </w:rPr>
        <w:t>Oct</w:t>
      </w:r>
      <w:r w:rsidRPr="003D2C5B">
        <w:rPr>
          <w:rFonts w:ascii="Roboto" w:eastAsia="Calibri" w:hAnsi="Roboto" w:cs="Times New Roman"/>
          <w:b/>
          <w:bCs/>
          <w:color w:val="000000"/>
          <w:sz w:val="52"/>
          <w:szCs w:val="52"/>
          <w:lang w:val="en-GB"/>
        </w:rPr>
        <w:t xml:space="preserve"> 2022)</w:t>
      </w:r>
    </w:p>
    <w:p w14:paraId="0A311D17" w14:textId="77777777" w:rsidR="00C475E6" w:rsidRPr="003D2C5B" w:rsidRDefault="00C475E6" w:rsidP="00D4232F">
      <w:pPr>
        <w:shd w:val="clear" w:color="auto" w:fill="FFFFFF"/>
        <w:jc w:val="both"/>
        <w:rPr>
          <w:rFonts w:ascii="Roboto" w:hAnsi="Roboto" w:cs="Arial"/>
          <w:b/>
          <w:sz w:val="22"/>
          <w:szCs w:val="22"/>
          <w:lang w:val="en-GB"/>
        </w:rPr>
      </w:pPr>
    </w:p>
    <w:p w14:paraId="3B97F204" w14:textId="77777777" w:rsidR="00C475E6" w:rsidRPr="003D2C5B" w:rsidRDefault="00C475E6" w:rsidP="00D4232F">
      <w:pPr>
        <w:shd w:val="clear" w:color="auto" w:fill="FFFFFF"/>
        <w:jc w:val="both"/>
        <w:rPr>
          <w:rFonts w:ascii="Roboto" w:hAnsi="Roboto" w:cs="Arial"/>
          <w:b/>
          <w:sz w:val="22"/>
          <w:szCs w:val="22"/>
          <w:lang w:val="en-GB"/>
        </w:rPr>
      </w:pPr>
    </w:p>
    <w:p w14:paraId="74C18F61" w14:textId="77777777" w:rsidR="00C475E6" w:rsidRPr="003D2C5B" w:rsidRDefault="00C475E6" w:rsidP="00D4232F">
      <w:pPr>
        <w:shd w:val="clear" w:color="auto" w:fill="FFFFFF"/>
        <w:jc w:val="both"/>
        <w:rPr>
          <w:rFonts w:ascii="Roboto" w:hAnsi="Roboto" w:cs="Arial"/>
          <w:b/>
          <w:sz w:val="22"/>
          <w:szCs w:val="22"/>
          <w:lang w:val="en-GB"/>
        </w:rPr>
      </w:pPr>
    </w:p>
    <w:p w14:paraId="4D6B5386" w14:textId="77777777" w:rsidR="00C475E6" w:rsidRPr="003D2C5B" w:rsidRDefault="00C475E6" w:rsidP="00D4232F">
      <w:pPr>
        <w:shd w:val="clear" w:color="auto" w:fill="FFFFFF"/>
        <w:jc w:val="both"/>
        <w:rPr>
          <w:rFonts w:ascii="Roboto" w:hAnsi="Roboto" w:cs="Arial"/>
          <w:b/>
          <w:sz w:val="22"/>
          <w:szCs w:val="22"/>
          <w:lang w:val="en-GB"/>
        </w:rPr>
      </w:pPr>
    </w:p>
    <w:p w14:paraId="4A8F1127" w14:textId="77777777" w:rsidR="00C475E6" w:rsidRPr="003D2C5B" w:rsidRDefault="00C475E6" w:rsidP="00D4232F">
      <w:pPr>
        <w:shd w:val="clear" w:color="auto" w:fill="FFFFFF"/>
        <w:jc w:val="both"/>
        <w:rPr>
          <w:rFonts w:ascii="Roboto" w:hAnsi="Roboto" w:cs="Arial"/>
          <w:b/>
          <w:sz w:val="22"/>
          <w:szCs w:val="22"/>
          <w:lang w:val="en-GB"/>
        </w:rPr>
      </w:pPr>
    </w:p>
    <w:p w14:paraId="128965DB" w14:textId="77777777" w:rsidR="00C475E6" w:rsidRPr="003D2C5B" w:rsidRDefault="00C475E6" w:rsidP="00D4232F">
      <w:pPr>
        <w:shd w:val="clear" w:color="auto" w:fill="FFFFFF"/>
        <w:jc w:val="both"/>
        <w:rPr>
          <w:rFonts w:ascii="Roboto" w:hAnsi="Roboto" w:cs="Arial"/>
          <w:b/>
          <w:sz w:val="22"/>
          <w:szCs w:val="22"/>
          <w:lang w:val="en-GB"/>
        </w:rPr>
      </w:pPr>
    </w:p>
    <w:p w14:paraId="109A127E" w14:textId="59521937" w:rsidR="000A1957" w:rsidRPr="003D2C5B" w:rsidRDefault="000A1957">
      <w:pPr>
        <w:rPr>
          <w:rFonts w:ascii="Roboto" w:hAnsi="Roboto" w:cs="Arial"/>
          <w:b/>
          <w:sz w:val="22"/>
          <w:szCs w:val="22"/>
          <w:lang w:val="en-GB"/>
        </w:rPr>
      </w:pPr>
      <w:r w:rsidRPr="003D2C5B">
        <w:rPr>
          <w:rFonts w:ascii="Roboto" w:hAnsi="Roboto" w:cs="Arial"/>
          <w:b/>
          <w:sz w:val="22"/>
          <w:szCs w:val="22"/>
          <w:lang w:val="en-GB"/>
        </w:rPr>
        <w:br w:type="page"/>
      </w:r>
    </w:p>
    <w:p w14:paraId="3D9E2BB2" w14:textId="77777777" w:rsidR="00C475E6" w:rsidRPr="003D2C5B" w:rsidRDefault="00C475E6" w:rsidP="00D4232F">
      <w:pPr>
        <w:shd w:val="clear" w:color="auto" w:fill="FFFFFF"/>
        <w:jc w:val="both"/>
        <w:rPr>
          <w:rFonts w:ascii="Roboto" w:hAnsi="Roboto" w:cs="Arial"/>
          <w:b/>
          <w:sz w:val="22"/>
          <w:szCs w:val="22"/>
          <w:lang w:val="en-GB"/>
        </w:rPr>
      </w:pPr>
    </w:p>
    <w:tbl>
      <w:tblPr>
        <w:tblStyle w:val="TableGridLight1"/>
        <w:tblW w:w="9640" w:type="dxa"/>
        <w:tblInd w:w="-147" w:type="dxa"/>
        <w:tblLook w:val="04A0" w:firstRow="1" w:lastRow="0" w:firstColumn="1" w:lastColumn="0" w:noHBand="0" w:noVBand="1"/>
      </w:tblPr>
      <w:tblGrid>
        <w:gridCol w:w="8789"/>
        <w:gridCol w:w="851"/>
      </w:tblGrid>
      <w:tr w:rsidR="003D2C5B" w:rsidRPr="003D2C5B" w14:paraId="1690DFDF" w14:textId="77777777" w:rsidTr="00DF75BC">
        <w:trPr>
          <w:trHeight w:val="1000"/>
        </w:trPr>
        <w:tc>
          <w:tcPr>
            <w:tcW w:w="9640" w:type="dxa"/>
            <w:gridSpan w:val="2"/>
            <w:noWrap/>
            <w:hideMark/>
          </w:tcPr>
          <w:p w14:paraId="0D8C3C4C" w14:textId="77777777" w:rsidR="003D2C5B" w:rsidRDefault="003D2C5B" w:rsidP="00D4232F">
            <w:pPr>
              <w:jc w:val="both"/>
              <w:rPr>
                <w:rFonts w:ascii="Roboto" w:hAnsi="Roboto" w:cs="Arial"/>
                <w:b/>
                <w:bCs/>
                <w:color w:val="000000"/>
                <w:lang w:val="en-US"/>
              </w:rPr>
            </w:pPr>
          </w:p>
          <w:p w14:paraId="318E1B5A" w14:textId="284DE5D3" w:rsidR="003D2C5B" w:rsidRPr="003D2C5B" w:rsidRDefault="003D2C5B" w:rsidP="00D4232F">
            <w:pPr>
              <w:jc w:val="both"/>
              <w:rPr>
                <w:rFonts w:ascii="Roboto" w:hAnsi="Roboto" w:cs="Arial"/>
                <w:b/>
                <w:bCs/>
                <w:color w:val="000000"/>
                <w:lang w:val="en-US"/>
              </w:rPr>
            </w:pPr>
            <w:r>
              <w:rPr>
                <w:rFonts w:ascii="Roboto" w:hAnsi="Roboto" w:cs="Arial"/>
                <w:b/>
                <w:bCs/>
                <w:color w:val="000000"/>
                <w:lang w:val="en-US"/>
              </w:rPr>
              <w:t>Committee on Economic, Social and Cultural Rights – 7</w:t>
            </w:r>
            <w:r w:rsidR="00DF75BC">
              <w:rPr>
                <w:rFonts w:ascii="Roboto" w:hAnsi="Roboto" w:cs="Arial"/>
                <w:b/>
                <w:bCs/>
                <w:color w:val="000000"/>
                <w:lang w:val="en-US"/>
              </w:rPr>
              <w:t>2</w:t>
            </w:r>
            <w:r w:rsidR="00DF75BC" w:rsidRPr="00DF75BC">
              <w:rPr>
                <w:rFonts w:ascii="Roboto" w:hAnsi="Roboto" w:cs="Arial"/>
                <w:b/>
                <w:bCs/>
                <w:color w:val="000000"/>
                <w:vertAlign w:val="superscript"/>
                <w:lang w:val="en-US"/>
              </w:rPr>
              <w:t>nd</w:t>
            </w:r>
            <w:r w:rsidR="00DF75BC">
              <w:rPr>
                <w:rFonts w:ascii="Roboto" w:hAnsi="Roboto" w:cs="Arial"/>
                <w:b/>
                <w:bCs/>
                <w:color w:val="000000"/>
                <w:lang w:val="en-US"/>
              </w:rPr>
              <w:t xml:space="preserve"> </w:t>
            </w:r>
            <w:r>
              <w:rPr>
                <w:rFonts w:ascii="Roboto" w:hAnsi="Roboto" w:cs="Arial"/>
                <w:b/>
                <w:bCs/>
                <w:color w:val="000000"/>
                <w:lang w:val="en-US"/>
              </w:rPr>
              <w:t>session - 2022</w:t>
            </w:r>
          </w:p>
          <w:p w14:paraId="5D2CB10B" w14:textId="4DE6946B" w:rsidR="003D2C5B" w:rsidRPr="003D2C5B" w:rsidRDefault="003D2C5B" w:rsidP="00D4232F">
            <w:pPr>
              <w:jc w:val="both"/>
              <w:rPr>
                <w:rFonts w:ascii="Roboto" w:hAnsi="Roboto" w:cs="Arial"/>
                <w:b/>
                <w:bCs/>
                <w:color w:val="000000"/>
                <w:lang w:val="en-US"/>
              </w:rPr>
            </w:pPr>
          </w:p>
        </w:tc>
      </w:tr>
      <w:tr w:rsidR="00F77AAE" w:rsidRPr="003D2C5B" w14:paraId="0921FF49" w14:textId="77777777" w:rsidTr="00DF75BC">
        <w:trPr>
          <w:trHeight w:val="987"/>
        </w:trPr>
        <w:tc>
          <w:tcPr>
            <w:tcW w:w="8789" w:type="dxa"/>
            <w:noWrap/>
            <w:hideMark/>
          </w:tcPr>
          <w:p w14:paraId="4EE91E91" w14:textId="321DB8AE" w:rsidR="00F77AAE" w:rsidRPr="003D2C5B" w:rsidRDefault="00F77AAE" w:rsidP="00D4232F">
            <w:pPr>
              <w:jc w:val="both"/>
              <w:rPr>
                <w:rFonts w:ascii="Roboto" w:hAnsi="Roboto" w:cs="Arial"/>
                <w:color w:val="000000"/>
                <w:lang w:val="en-US"/>
              </w:rPr>
            </w:pPr>
            <w:r w:rsidRPr="003D2C5B">
              <w:rPr>
                <w:rFonts w:ascii="Roboto" w:hAnsi="Roboto" w:cs="Arial"/>
                <w:color w:val="000000"/>
                <w:lang w:val="en-US"/>
              </w:rPr>
              <w:t>Total n</w:t>
            </w:r>
            <w:r w:rsidR="00B96F74" w:rsidRPr="003D2C5B">
              <w:rPr>
                <w:rFonts w:ascii="Roboto" w:hAnsi="Roboto" w:cs="Arial"/>
                <w:color w:val="000000"/>
                <w:lang w:val="en-US"/>
              </w:rPr>
              <w:t>umber</w:t>
            </w:r>
            <w:r w:rsidRPr="003D2C5B">
              <w:rPr>
                <w:rFonts w:ascii="Roboto" w:hAnsi="Roboto" w:cs="Arial"/>
                <w:color w:val="000000"/>
                <w:lang w:val="en-US"/>
              </w:rPr>
              <w:t xml:space="preserve"> of Concluding Observations</w:t>
            </w:r>
          </w:p>
        </w:tc>
        <w:tc>
          <w:tcPr>
            <w:tcW w:w="851" w:type="dxa"/>
            <w:noWrap/>
            <w:hideMark/>
          </w:tcPr>
          <w:p w14:paraId="60466F20" w14:textId="67C44205" w:rsidR="00F77AAE" w:rsidRPr="003D2C5B" w:rsidRDefault="004C0AFC" w:rsidP="00D4232F">
            <w:pPr>
              <w:jc w:val="both"/>
              <w:rPr>
                <w:rFonts w:ascii="Roboto" w:hAnsi="Roboto" w:cs="Arial"/>
                <w:color w:val="000000"/>
                <w:lang w:val="en-US"/>
              </w:rPr>
            </w:pPr>
            <w:r w:rsidRPr="003D2C5B">
              <w:rPr>
                <w:rFonts w:ascii="Roboto" w:hAnsi="Roboto" w:cs="Arial"/>
                <w:color w:val="000000"/>
                <w:lang w:val="en-US"/>
              </w:rPr>
              <w:t>5</w:t>
            </w:r>
          </w:p>
        </w:tc>
      </w:tr>
      <w:tr w:rsidR="00F77AAE" w:rsidRPr="003D2C5B" w14:paraId="18299061" w14:textId="77777777" w:rsidTr="00DF75BC">
        <w:trPr>
          <w:trHeight w:val="972"/>
        </w:trPr>
        <w:tc>
          <w:tcPr>
            <w:tcW w:w="8789" w:type="dxa"/>
            <w:noWrap/>
            <w:hideMark/>
          </w:tcPr>
          <w:p w14:paraId="784B5321" w14:textId="047B4335" w:rsidR="00F77AAE" w:rsidRPr="003D2C5B" w:rsidRDefault="00F77AAE" w:rsidP="00D4232F">
            <w:pPr>
              <w:jc w:val="both"/>
              <w:rPr>
                <w:rFonts w:ascii="Roboto" w:hAnsi="Roboto" w:cs="Arial"/>
                <w:color w:val="000000"/>
                <w:lang w:val="en-US"/>
              </w:rPr>
            </w:pPr>
            <w:r w:rsidRPr="003D2C5B">
              <w:rPr>
                <w:rFonts w:ascii="Roboto" w:hAnsi="Roboto" w:cs="Arial"/>
                <w:color w:val="000000"/>
                <w:lang w:val="en-US"/>
              </w:rPr>
              <w:t>N</w:t>
            </w:r>
            <w:r w:rsidR="00B96F74" w:rsidRPr="003D2C5B">
              <w:rPr>
                <w:rFonts w:ascii="Roboto" w:hAnsi="Roboto" w:cs="Arial"/>
                <w:color w:val="000000"/>
                <w:lang w:val="en-US"/>
              </w:rPr>
              <w:t>umber</w:t>
            </w:r>
            <w:r w:rsidRPr="003D2C5B">
              <w:rPr>
                <w:rFonts w:ascii="Roboto" w:hAnsi="Roboto" w:cs="Arial"/>
                <w:color w:val="000000"/>
                <w:lang w:val="en-US"/>
              </w:rPr>
              <w:t xml:space="preserve"> of countries receiving recommendations on persons with </w:t>
            </w:r>
            <w:r w:rsidR="00D4232F" w:rsidRPr="003D2C5B">
              <w:rPr>
                <w:rFonts w:ascii="Roboto" w:hAnsi="Roboto" w:cs="Arial"/>
                <w:color w:val="000000"/>
                <w:lang w:val="en-US"/>
              </w:rPr>
              <w:t>disab</w:t>
            </w:r>
            <w:r w:rsidRPr="003D2C5B">
              <w:rPr>
                <w:rFonts w:ascii="Roboto" w:hAnsi="Roboto" w:cs="Arial"/>
                <w:color w:val="000000"/>
                <w:lang w:val="en-US"/>
              </w:rPr>
              <w:t>ilities</w:t>
            </w:r>
          </w:p>
        </w:tc>
        <w:tc>
          <w:tcPr>
            <w:tcW w:w="851" w:type="dxa"/>
            <w:noWrap/>
            <w:hideMark/>
          </w:tcPr>
          <w:p w14:paraId="7CC1215B" w14:textId="134D3B4A" w:rsidR="00F77AAE" w:rsidRPr="003D2C5B" w:rsidRDefault="004C0AFC" w:rsidP="00D4232F">
            <w:pPr>
              <w:jc w:val="both"/>
              <w:rPr>
                <w:rFonts w:ascii="Roboto" w:hAnsi="Roboto" w:cs="Arial"/>
                <w:color w:val="000000"/>
                <w:lang w:val="en-US"/>
              </w:rPr>
            </w:pPr>
            <w:r w:rsidRPr="003D2C5B">
              <w:rPr>
                <w:rFonts w:ascii="Roboto" w:hAnsi="Roboto" w:cs="Arial"/>
                <w:color w:val="000000"/>
                <w:lang w:val="en-US"/>
              </w:rPr>
              <w:t>5</w:t>
            </w:r>
          </w:p>
        </w:tc>
      </w:tr>
      <w:tr w:rsidR="00F77AAE" w:rsidRPr="003D2C5B" w14:paraId="427EB3D0" w14:textId="77777777" w:rsidTr="00DF75BC">
        <w:trPr>
          <w:trHeight w:val="1128"/>
        </w:trPr>
        <w:tc>
          <w:tcPr>
            <w:tcW w:w="8789" w:type="dxa"/>
            <w:noWrap/>
            <w:hideMark/>
          </w:tcPr>
          <w:p w14:paraId="0D949782" w14:textId="2FC4B89C" w:rsidR="00F77AAE" w:rsidRPr="003D2C5B" w:rsidRDefault="00B96F74" w:rsidP="00D4232F">
            <w:pPr>
              <w:jc w:val="both"/>
              <w:rPr>
                <w:rFonts w:ascii="Roboto" w:hAnsi="Roboto" w:cs="Arial"/>
                <w:color w:val="000000"/>
                <w:lang w:val="en-US"/>
              </w:rPr>
            </w:pPr>
            <w:r w:rsidRPr="003D2C5B">
              <w:rPr>
                <w:rFonts w:ascii="Roboto" w:hAnsi="Roboto" w:cs="Arial"/>
                <w:color w:val="000000"/>
                <w:lang w:val="en-US"/>
              </w:rPr>
              <w:t>Percentage</w:t>
            </w:r>
            <w:r w:rsidR="00F77AAE" w:rsidRPr="003D2C5B">
              <w:rPr>
                <w:rFonts w:ascii="Roboto" w:hAnsi="Roboto" w:cs="Arial"/>
                <w:color w:val="000000"/>
                <w:lang w:val="en-US"/>
              </w:rPr>
              <w:t xml:space="preserve"> of countries receiving recommendations on persons with </w:t>
            </w:r>
            <w:r w:rsidR="00D4232F" w:rsidRPr="003D2C5B">
              <w:rPr>
                <w:rFonts w:ascii="Roboto" w:hAnsi="Roboto" w:cs="Arial"/>
                <w:color w:val="000000"/>
                <w:lang w:val="en-US"/>
              </w:rPr>
              <w:t>disab</w:t>
            </w:r>
            <w:r w:rsidR="00F77AAE" w:rsidRPr="003D2C5B">
              <w:rPr>
                <w:rFonts w:ascii="Roboto" w:hAnsi="Roboto" w:cs="Arial"/>
                <w:color w:val="000000"/>
                <w:lang w:val="en-US"/>
              </w:rPr>
              <w:t>ilities</w:t>
            </w:r>
          </w:p>
        </w:tc>
        <w:tc>
          <w:tcPr>
            <w:tcW w:w="851" w:type="dxa"/>
            <w:noWrap/>
            <w:hideMark/>
          </w:tcPr>
          <w:p w14:paraId="18850788" w14:textId="32D8F949" w:rsidR="00F77AAE" w:rsidRPr="003D2C5B" w:rsidRDefault="0045354C" w:rsidP="00D4232F">
            <w:pPr>
              <w:jc w:val="both"/>
              <w:rPr>
                <w:rFonts w:ascii="Roboto" w:hAnsi="Roboto" w:cs="Arial"/>
                <w:color w:val="000000"/>
                <w:lang w:val="en-US"/>
              </w:rPr>
            </w:pPr>
            <w:r w:rsidRPr="003D2C5B">
              <w:rPr>
                <w:rFonts w:ascii="Roboto" w:hAnsi="Roboto" w:cs="Arial"/>
                <w:color w:val="000000"/>
                <w:lang w:val="en-US"/>
              </w:rPr>
              <w:t>100%</w:t>
            </w:r>
          </w:p>
        </w:tc>
      </w:tr>
      <w:tr w:rsidR="00F77AAE" w:rsidRPr="003D2C5B" w14:paraId="5C2040F3" w14:textId="77777777" w:rsidTr="00DF75BC">
        <w:trPr>
          <w:trHeight w:val="988"/>
        </w:trPr>
        <w:tc>
          <w:tcPr>
            <w:tcW w:w="8789" w:type="dxa"/>
            <w:noWrap/>
            <w:hideMark/>
          </w:tcPr>
          <w:p w14:paraId="11C51060" w14:textId="3183FAF0" w:rsidR="00F77AAE" w:rsidRPr="003D2C5B" w:rsidRDefault="00F77AAE" w:rsidP="00D4232F">
            <w:pPr>
              <w:jc w:val="both"/>
              <w:rPr>
                <w:rFonts w:ascii="Roboto" w:hAnsi="Roboto" w:cs="Arial"/>
                <w:color w:val="000000"/>
                <w:lang w:val="en-US"/>
              </w:rPr>
            </w:pPr>
            <w:r w:rsidRPr="003D2C5B">
              <w:rPr>
                <w:rFonts w:ascii="Roboto" w:hAnsi="Roboto" w:cs="Arial"/>
                <w:color w:val="000000"/>
                <w:lang w:val="en-US"/>
              </w:rPr>
              <w:t>N</w:t>
            </w:r>
            <w:r w:rsidR="00B96F74" w:rsidRPr="003D2C5B">
              <w:rPr>
                <w:rFonts w:ascii="Roboto" w:hAnsi="Roboto" w:cs="Arial"/>
                <w:color w:val="000000"/>
                <w:lang w:val="en-US"/>
              </w:rPr>
              <w:t>umber</w:t>
            </w:r>
            <w:r w:rsidRPr="003D2C5B">
              <w:rPr>
                <w:rFonts w:ascii="Roboto" w:hAnsi="Roboto" w:cs="Arial"/>
                <w:color w:val="000000"/>
                <w:lang w:val="en-US"/>
              </w:rPr>
              <w:t xml:space="preserve"> of recommendations including explicit references on </w:t>
            </w:r>
            <w:r w:rsidR="00D4232F" w:rsidRPr="003D2C5B">
              <w:rPr>
                <w:rFonts w:ascii="Roboto" w:hAnsi="Roboto" w:cs="Arial"/>
                <w:color w:val="000000"/>
                <w:lang w:val="en-US"/>
              </w:rPr>
              <w:t>disab</w:t>
            </w:r>
            <w:r w:rsidRPr="003D2C5B">
              <w:rPr>
                <w:rFonts w:ascii="Roboto" w:hAnsi="Roboto" w:cs="Arial"/>
                <w:color w:val="000000"/>
                <w:lang w:val="en-US"/>
              </w:rPr>
              <w:t xml:space="preserve">ility </w:t>
            </w:r>
          </w:p>
        </w:tc>
        <w:tc>
          <w:tcPr>
            <w:tcW w:w="851" w:type="dxa"/>
            <w:noWrap/>
            <w:hideMark/>
          </w:tcPr>
          <w:p w14:paraId="5011F63C" w14:textId="12BC8930" w:rsidR="00F77AAE" w:rsidRPr="003D2C5B" w:rsidRDefault="00EE7D0B" w:rsidP="00D4232F">
            <w:pPr>
              <w:jc w:val="both"/>
              <w:rPr>
                <w:rFonts w:ascii="Roboto" w:hAnsi="Roboto" w:cs="Arial"/>
                <w:color w:val="000000"/>
                <w:lang w:val="en-US"/>
              </w:rPr>
            </w:pPr>
            <w:r w:rsidRPr="003D2C5B">
              <w:rPr>
                <w:rFonts w:ascii="Roboto" w:hAnsi="Roboto" w:cs="Arial"/>
                <w:color w:val="000000"/>
                <w:lang w:val="en-US"/>
              </w:rPr>
              <w:t>15</w:t>
            </w:r>
          </w:p>
        </w:tc>
      </w:tr>
    </w:tbl>
    <w:p w14:paraId="78066DE6" w14:textId="6D08D63A" w:rsidR="00F46FBA" w:rsidRPr="003D2C5B" w:rsidRDefault="00F46FBA" w:rsidP="00F22228">
      <w:pPr>
        <w:jc w:val="both"/>
        <w:rPr>
          <w:rFonts w:ascii="Roboto" w:hAnsi="Roboto" w:cs="Arial"/>
          <w:sz w:val="22"/>
          <w:szCs w:val="22"/>
          <w:lang w:val="en-GB"/>
        </w:rPr>
      </w:pPr>
    </w:p>
    <w:p w14:paraId="070F567A" w14:textId="77777777" w:rsidR="0023408F" w:rsidRPr="003D2C5B" w:rsidRDefault="0023408F" w:rsidP="00C475E6">
      <w:pPr>
        <w:spacing w:after="120"/>
        <w:jc w:val="both"/>
        <w:rPr>
          <w:rFonts w:ascii="Roboto" w:hAnsi="Roboto" w:cs="Arial"/>
          <w:sz w:val="22"/>
          <w:szCs w:val="22"/>
          <w:lang w:val="en-GB"/>
        </w:rPr>
      </w:pPr>
    </w:p>
    <w:sdt>
      <w:sdtPr>
        <w:rPr>
          <w:rFonts w:asciiTheme="minorHAnsi" w:eastAsiaTheme="minorEastAsia" w:hAnsiTheme="minorHAnsi" w:cstheme="minorBidi"/>
          <w:color w:val="auto"/>
          <w:sz w:val="24"/>
          <w:szCs w:val="24"/>
          <w:lang w:val="fr-FR"/>
        </w:rPr>
        <w:id w:val="579643881"/>
        <w:docPartObj>
          <w:docPartGallery w:val="Table of Contents"/>
          <w:docPartUnique/>
        </w:docPartObj>
      </w:sdtPr>
      <w:sdtEndPr>
        <w:rPr>
          <w:b/>
          <w:bCs/>
          <w:noProof/>
        </w:rPr>
      </w:sdtEndPr>
      <w:sdtContent>
        <w:p w14:paraId="69C48946" w14:textId="7F995209" w:rsidR="001F5738" w:rsidRPr="003D2C5B" w:rsidRDefault="001F5738" w:rsidP="00F22228">
          <w:pPr>
            <w:pStyle w:val="TOCHeading"/>
            <w:spacing w:before="0" w:line="360" w:lineRule="auto"/>
          </w:pPr>
        </w:p>
        <w:p w14:paraId="5F3C6D52" w14:textId="63FE3E0B" w:rsidR="003D2C5B" w:rsidRDefault="001F5738" w:rsidP="00F22228">
          <w:pPr>
            <w:pStyle w:val="TOC1"/>
            <w:spacing w:line="360" w:lineRule="auto"/>
            <w:rPr>
              <w:noProof/>
              <w:kern w:val="2"/>
              <w:sz w:val="22"/>
              <w:szCs w:val="22"/>
              <w:lang w:val="en-KE" w:eastAsia="en-KE"/>
              <w14:ligatures w14:val="standardContextual"/>
            </w:rPr>
          </w:pPr>
          <w:r w:rsidRPr="003D2C5B">
            <w:fldChar w:fldCharType="begin"/>
          </w:r>
          <w:r w:rsidRPr="003D2C5B">
            <w:instrText xml:space="preserve"> TOC \o "1-3" \h \z \u </w:instrText>
          </w:r>
          <w:r w:rsidRPr="003D2C5B">
            <w:fldChar w:fldCharType="separate"/>
          </w:r>
          <w:hyperlink w:anchor="_Toc152001850" w:history="1">
            <w:r w:rsidR="003D2C5B" w:rsidRPr="00E557C3">
              <w:rPr>
                <w:rStyle w:val="Hyperlink"/>
                <w:rFonts w:ascii="Roboto" w:hAnsi="Roboto"/>
                <w:b/>
                <w:bCs/>
                <w:noProof/>
              </w:rPr>
              <w:t>EL SALVADOR -</w:t>
            </w:r>
            <w:r w:rsidR="003D2C5B" w:rsidRPr="00E557C3">
              <w:rPr>
                <w:rStyle w:val="Hyperlink"/>
                <w:rFonts w:ascii="Times New Roman" w:eastAsia="Times New Roman" w:hAnsi="Times New Roman" w:cs="Times New Roman"/>
                <w:b/>
                <w:bCs/>
                <w:noProof/>
                <w:lang w:val="en-GB"/>
              </w:rPr>
              <w:t xml:space="preserve"> </w:t>
            </w:r>
            <w:r w:rsidR="003D2C5B" w:rsidRPr="00E557C3">
              <w:rPr>
                <w:rStyle w:val="Hyperlink"/>
                <w:rFonts w:ascii="Roboto" w:hAnsi="Roboto"/>
                <w:b/>
                <w:bCs/>
                <w:noProof/>
                <w:lang w:val="en-GB"/>
              </w:rPr>
              <w:t>E/C.12/SLV/CO/6</w:t>
            </w:r>
          </w:hyperlink>
        </w:p>
        <w:p w14:paraId="2C3ABF41" w14:textId="0F480D90" w:rsidR="003D2C5B" w:rsidRDefault="00000000" w:rsidP="00F22228">
          <w:pPr>
            <w:pStyle w:val="TOC1"/>
            <w:spacing w:line="360" w:lineRule="auto"/>
            <w:rPr>
              <w:noProof/>
              <w:kern w:val="2"/>
              <w:sz w:val="22"/>
              <w:szCs w:val="22"/>
              <w:lang w:val="en-KE" w:eastAsia="en-KE"/>
              <w14:ligatures w14:val="standardContextual"/>
            </w:rPr>
          </w:pPr>
          <w:hyperlink w:anchor="_Toc152001851" w:history="1">
            <w:r w:rsidR="003D2C5B" w:rsidRPr="00E557C3">
              <w:rPr>
                <w:rStyle w:val="Hyperlink"/>
                <w:rFonts w:ascii="Roboto" w:hAnsi="Roboto"/>
                <w:b/>
                <w:bCs/>
                <w:noProof/>
                <w:lang w:val="en-GB"/>
              </w:rPr>
              <w:t>GUETAMALA -</w:t>
            </w:r>
            <w:r w:rsidR="003D2C5B" w:rsidRPr="00E557C3">
              <w:rPr>
                <w:rStyle w:val="Hyperlink"/>
                <w:rFonts w:ascii="Times New Roman" w:eastAsia="Times New Roman" w:hAnsi="Times New Roman" w:cs="Times New Roman"/>
                <w:b/>
                <w:bCs/>
                <w:noProof/>
                <w:lang w:val="en-GB"/>
              </w:rPr>
              <w:t xml:space="preserve"> </w:t>
            </w:r>
            <w:r w:rsidR="003D2C5B" w:rsidRPr="00E557C3">
              <w:rPr>
                <w:rStyle w:val="Hyperlink"/>
                <w:rFonts w:ascii="Roboto" w:hAnsi="Roboto"/>
                <w:b/>
                <w:bCs/>
                <w:noProof/>
                <w:lang w:val="en-GB"/>
              </w:rPr>
              <w:t>E/C.12/GTM/CO/4</w:t>
            </w:r>
          </w:hyperlink>
        </w:p>
        <w:p w14:paraId="64C7D9A2" w14:textId="73062386" w:rsidR="003D2C5B" w:rsidRDefault="00000000" w:rsidP="00F22228">
          <w:pPr>
            <w:pStyle w:val="TOC1"/>
            <w:spacing w:line="360" w:lineRule="auto"/>
            <w:rPr>
              <w:noProof/>
              <w:kern w:val="2"/>
              <w:sz w:val="22"/>
              <w:szCs w:val="22"/>
              <w:lang w:val="en-KE" w:eastAsia="en-KE"/>
              <w14:ligatures w14:val="standardContextual"/>
            </w:rPr>
          </w:pPr>
          <w:hyperlink w:anchor="_Toc152001852" w:history="1">
            <w:r w:rsidR="003D2C5B" w:rsidRPr="00E557C3">
              <w:rPr>
                <w:rStyle w:val="Hyperlink"/>
                <w:rFonts w:ascii="Roboto" w:hAnsi="Roboto"/>
                <w:b/>
                <w:bCs/>
                <w:noProof/>
                <w:lang w:val="en-US"/>
              </w:rPr>
              <w:t>LUXEMBOURG -</w:t>
            </w:r>
            <w:r w:rsidR="003D2C5B" w:rsidRPr="00E557C3">
              <w:rPr>
                <w:rStyle w:val="Hyperlink"/>
                <w:rFonts w:ascii="Times New Roman" w:eastAsia="Times New Roman" w:hAnsi="Times New Roman" w:cs="Times New Roman"/>
                <w:b/>
                <w:bCs/>
                <w:noProof/>
                <w:lang w:val="en-GB"/>
              </w:rPr>
              <w:t xml:space="preserve"> </w:t>
            </w:r>
            <w:r w:rsidR="003D2C5B" w:rsidRPr="00E557C3">
              <w:rPr>
                <w:rStyle w:val="Hyperlink"/>
                <w:rFonts w:ascii="Roboto" w:hAnsi="Roboto"/>
                <w:b/>
                <w:bCs/>
                <w:noProof/>
                <w:lang w:val="en-GB"/>
              </w:rPr>
              <w:t>E/C.12/LUX/CO/4</w:t>
            </w:r>
          </w:hyperlink>
        </w:p>
        <w:p w14:paraId="61F4FE75" w14:textId="527D5E2A" w:rsidR="003D2C5B" w:rsidRDefault="00000000" w:rsidP="00F22228">
          <w:pPr>
            <w:pStyle w:val="TOC1"/>
            <w:spacing w:line="360" w:lineRule="auto"/>
            <w:rPr>
              <w:noProof/>
              <w:kern w:val="2"/>
              <w:sz w:val="22"/>
              <w:szCs w:val="22"/>
              <w:lang w:val="en-KE" w:eastAsia="en-KE"/>
              <w14:ligatures w14:val="standardContextual"/>
            </w:rPr>
          </w:pPr>
          <w:hyperlink w:anchor="_Toc152001853" w:history="1">
            <w:r w:rsidR="003D2C5B" w:rsidRPr="00E557C3">
              <w:rPr>
                <w:rStyle w:val="Hyperlink"/>
                <w:rFonts w:ascii="Roboto" w:hAnsi="Roboto"/>
                <w:b/>
                <w:bCs/>
                <w:noProof/>
                <w:lang w:val="en-GB"/>
              </w:rPr>
              <w:t>MONGOLIA -</w:t>
            </w:r>
            <w:r w:rsidR="003D2C5B" w:rsidRPr="00E557C3">
              <w:rPr>
                <w:rStyle w:val="Hyperlink"/>
                <w:rFonts w:ascii="Times New Roman" w:eastAsiaTheme="minorHAnsi" w:hAnsi="Times New Roman" w:cs="Times New Roman"/>
                <w:b/>
                <w:bCs/>
                <w:noProof/>
                <w:lang w:val="fr-CH"/>
              </w:rPr>
              <w:t xml:space="preserve"> </w:t>
            </w:r>
            <w:r w:rsidR="003D2C5B" w:rsidRPr="00E557C3">
              <w:rPr>
                <w:rStyle w:val="Hyperlink"/>
                <w:rFonts w:ascii="Roboto" w:hAnsi="Roboto"/>
                <w:b/>
                <w:bCs/>
                <w:noProof/>
                <w:lang w:val="en-GB"/>
              </w:rPr>
              <w:t>E/C.12/MNG/CO/5</w:t>
            </w:r>
          </w:hyperlink>
        </w:p>
        <w:p w14:paraId="0ED2A9D8" w14:textId="3C077EE3" w:rsidR="003D2C5B" w:rsidRDefault="00000000" w:rsidP="00F22228">
          <w:pPr>
            <w:pStyle w:val="TOC1"/>
            <w:spacing w:line="360" w:lineRule="auto"/>
            <w:rPr>
              <w:noProof/>
              <w:kern w:val="2"/>
              <w:sz w:val="22"/>
              <w:szCs w:val="22"/>
              <w:lang w:val="en-KE" w:eastAsia="en-KE"/>
              <w14:ligatures w14:val="standardContextual"/>
            </w:rPr>
          </w:pPr>
          <w:hyperlink w:anchor="_Toc152001854" w:history="1">
            <w:r w:rsidR="003D2C5B" w:rsidRPr="00E557C3">
              <w:rPr>
                <w:rStyle w:val="Hyperlink"/>
                <w:rFonts w:ascii="Roboto" w:hAnsi="Roboto"/>
                <w:b/>
                <w:bCs/>
                <w:noProof/>
                <w:lang w:val="en-GB"/>
              </w:rPr>
              <w:t>ITALY -</w:t>
            </w:r>
            <w:r w:rsidR="003D2C5B" w:rsidRPr="00E557C3">
              <w:rPr>
                <w:rStyle w:val="Hyperlink"/>
                <w:rFonts w:ascii="Times New Roman" w:eastAsia="Times New Roman" w:hAnsi="Times New Roman" w:cs="Times New Roman"/>
                <w:b/>
                <w:bCs/>
                <w:noProof/>
                <w:lang w:val="en-GB"/>
              </w:rPr>
              <w:t xml:space="preserve"> </w:t>
            </w:r>
            <w:r w:rsidR="003D2C5B" w:rsidRPr="00E557C3">
              <w:rPr>
                <w:rStyle w:val="Hyperlink"/>
                <w:rFonts w:ascii="Roboto" w:hAnsi="Roboto"/>
                <w:b/>
                <w:bCs/>
                <w:noProof/>
                <w:lang w:val="en-GB"/>
              </w:rPr>
              <w:t>E/C.12/SRB/CO/3</w:t>
            </w:r>
          </w:hyperlink>
        </w:p>
        <w:p w14:paraId="33D32A0E" w14:textId="42CA870E" w:rsidR="001F5738" w:rsidRPr="003D2C5B" w:rsidRDefault="001F5738" w:rsidP="00F22228">
          <w:pPr>
            <w:spacing w:line="360" w:lineRule="auto"/>
          </w:pPr>
          <w:r w:rsidRPr="003D2C5B">
            <w:rPr>
              <w:b/>
              <w:bCs/>
              <w:noProof/>
            </w:rPr>
            <w:fldChar w:fldCharType="end"/>
          </w:r>
        </w:p>
      </w:sdtContent>
    </w:sdt>
    <w:p w14:paraId="2D0972EE" w14:textId="3B721BA4" w:rsidR="00DF75BC" w:rsidRPr="00DF75BC" w:rsidRDefault="00DF75BC" w:rsidP="00DF75BC">
      <w:pPr>
        <w:rPr>
          <w:rFonts w:ascii="Roboto" w:hAnsi="Roboto"/>
          <w:lang w:val="en-GB"/>
        </w:rPr>
      </w:pPr>
      <w:r w:rsidRPr="00DF75BC">
        <w:rPr>
          <w:rFonts w:ascii="Roboto" w:hAnsi="Roboto"/>
          <w:b/>
          <w:bCs/>
          <w:lang w:val="en-GB"/>
        </w:rPr>
        <w:t xml:space="preserve">Official versions of Concluding Observation are available on the website devoted to the session </w:t>
      </w:r>
      <w:hyperlink r:id="rId9" w:history="1">
        <w:r w:rsidRPr="00DF75BC">
          <w:rPr>
            <w:rStyle w:val="Hyperlink"/>
            <w:rFonts w:ascii="Roboto" w:hAnsi="Roboto"/>
            <w:b/>
            <w:bCs/>
            <w:lang w:val="en-GB"/>
          </w:rPr>
          <w:t>here.</w:t>
        </w:r>
      </w:hyperlink>
    </w:p>
    <w:p w14:paraId="1448AF07" w14:textId="68572437" w:rsidR="0023408F" w:rsidRPr="003D2C5B" w:rsidRDefault="0023408F">
      <w:pPr>
        <w:rPr>
          <w:rFonts w:ascii="Roboto" w:eastAsiaTheme="majorEastAsia" w:hAnsi="Roboto" w:cstheme="majorBidi"/>
          <w:color w:val="365F91" w:themeColor="accent1" w:themeShade="BF"/>
          <w:sz w:val="32"/>
          <w:szCs w:val="32"/>
        </w:rPr>
      </w:pPr>
      <w:r w:rsidRPr="003D2C5B">
        <w:rPr>
          <w:rFonts w:ascii="Roboto" w:hAnsi="Roboto"/>
        </w:rPr>
        <w:br w:type="page"/>
      </w:r>
    </w:p>
    <w:p w14:paraId="4184ECFB" w14:textId="77777777" w:rsidR="00267E66" w:rsidRPr="003D2C5B" w:rsidRDefault="00267E66" w:rsidP="00267E66">
      <w:pPr>
        <w:pStyle w:val="Heading1"/>
        <w:spacing w:before="0" w:after="240"/>
        <w:ind w:right="284"/>
        <w:rPr>
          <w:rFonts w:ascii="Roboto" w:hAnsi="Roboto"/>
          <w:b/>
          <w:bCs/>
          <w:color w:val="auto"/>
          <w:sz w:val="24"/>
          <w:szCs w:val="24"/>
          <w:lang w:val="en-GB"/>
        </w:rPr>
      </w:pPr>
      <w:bookmarkStart w:id="0" w:name="_Toc152001850"/>
      <w:r w:rsidRPr="003D2C5B">
        <w:rPr>
          <w:rFonts w:ascii="Roboto" w:hAnsi="Roboto"/>
          <w:b/>
          <w:bCs/>
          <w:color w:val="auto"/>
          <w:sz w:val="24"/>
          <w:szCs w:val="24"/>
        </w:rPr>
        <w:lastRenderedPageBreak/>
        <w:t>EL SALVADOR</w:t>
      </w:r>
      <w:r w:rsidR="00DB2539" w:rsidRPr="003D2C5B">
        <w:rPr>
          <w:rFonts w:ascii="Roboto" w:hAnsi="Roboto"/>
          <w:b/>
          <w:bCs/>
          <w:color w:val="auto"/>
          <w:sz w:val="24"/>
          <w:szCs w:val="24"/>
        </w:rPr>
        <w:t xml:space="preserve"> </w:t>
      </w:r>
      <w:r w:rsidR="00393B67" w:rsidRPr="003D2C5B">
        <w:rPr>
          <w:rFonts w:ascii="Roboto" w:hAnsi="Roboto"/>
          <w:b/>
          <w:bCs/>
          <w:color w:val="auto"/>
          <w:sz w:val="24"/>
          <w:szCs w:val="24"/>
        </w:rPr>
        <w:t>-</w:t>
      </w:r>
      <w:r w:rsidR="00393B67" w:rsidRPr="003D2C5B">
        <w:rPr>
          <w:rFonts w:ascii="Times New Roman" w:eastAsia="Times New Roman" w:hAnsi="Times New Roman" w:cs="Times New Roman"/>
          <w:b/>
          <w:bCs/>
          <w:color w:val="auto"/>
          <w:sz w:val="24"/>
          <w:szCs w:val="24"/>
          <w:lang w:val="en-GB"/>
        </w:rPr>
        <w:t xml:space="preserve"> </w:t>
      </w:r>
      <w:r w:rsidRPr="003D2C5B">
        <w:rPr>
          <w:rFonts w:ascii="Roboto" w:hAnsi="Roboto"/>
          <w:b/>
          <w:bCs/>
          <w:color w:val="auto"/>
          <w:sz w:val="24"/>
          <w:szCs w:val="24"/>
          <w:lang w:val="en-GB"/>
        </w:rPr>
        <w:t>E/C.12/SLV/CO/6</w:t>
      </w:r>
      <w:bookmarkEnd w:id="0"/>
    </w:p>
    <w:p w14:paraId="2A790549" w14:textId="77777777" w:rsidR="00267E66" w:rsidRPr="003D2C5B" w:rsidRDefault="00267E66" w:rsidP="00267E66">
      <w:pPr>
        <w:ind w:right="284"/>
        <w:jc w:val="both"/>
        <w:rPr>
          <w:rFonts w:ascii="Roboto" w:eastAsia="Calibri" w:hAnsi="Roboto" w:cs="Arial"/>
          <w:b/>
          <w:lang w:val="en-GB"/>
        </w:rPr>
      </w:pPr>
      <w:r w:rsidRPr="003D2C5B">
        <w:rPr>
          <w:rFonts w:ascii="Roboto" w:eastAsia="Calibri" w:hAnsi="Roboto" w:cs="Arial"/>
          <w:b/>
          <w:bCs/>
          <w:lang w:val="en-GB"/>
        </w:rPr>
        <w:t>Persons with disabilities</w:t>
      </w:r>
    </w:p>
    <w:p w14:paraId="7FCC87B9" w14:textId="6B20B9CF" w:rsidR="00267E66" w:rsidRPr="003D2C5B" w:rsidRDefault="00267E66" w:rsidP="00267E66">
      <w:pPr>
        <w:ind w:right="284"/>
        <w:jc w:val="both"/>
        <w:rPr>
          <w:rFonts w:ascii="Roboto" w:eastAsia="Calibri" w:hAnsi="Roboto" w:cs="Arial"/>
          <w:lang w:val="en-GB"/>
        </w:rPr>
      </w:pPr>
      <w:r w:rsidRPr="003D2C5B">
        <w:rPr>
          <w:rFonts w:ascii="Roboto" w:eastAsia="Calibri" w:hAnsi="Roboto" w:cs="Arial"/>
          <w:lang w:val="en-GB"/>
        </w:rPr>
        <w:t>28.The Committee regrets that it has not received detailed statistical information on the results and impact of activities carried out under the regulatory framework that existed prior to the adoption of the Special Act on the Inclusion of Persons with Disabilities, which has been in force since 1 January 2021. Moreover, the Committee remains concerned about the persistence of cultural barriers and prejudices that hinder the enjoyment of economic, social and cultural rights by persons with disabilities (art. 2 (2)).</w:t>
      </w:r>
    </w:p>
    <w:p w14:paraId="2DC98882" w14:textId="25C158CA" w:rsidR="00267E66" w:rsidRPr="003D2C5B" w:rsidRDefault="00267E66" w:rsidP="00267E66">
      <w:pPr>
        <w:ind w:right="284"/>
        <w:jc w:val="both"/>
        <w:rPr>
          <w:rFonts w:ascii="Roboto" w:eastAsia="Calibri" w:hAnsi="Roboto" w:cs="Arial"/>
          <w:b/>
          <w:lang w:val="en-GB"/>
        </w:rPr>
      </w:pPr>
      <w:r w:rsidRPr="003D2C5B">
        <w:rPr>
          <w:rFonts w:ascii="Roboto" w:eastAsia="Calibri" w:hAnsi="Roboto" w:cs="Arial"/>
          <w:lang w:val="en-GB"/>
        </w:rPr>
        <w:t>29.</w:t>
      </w:r>
      <w:r w:rsidRPr="003D2C5B">
        <w:rPr>
          <w:rFonts w:ascii="Roboto" w:eastAsia="Calibri" w:hAnsi="Roboto" w:cs="Arial"/>
          <w:b/>
          <w:bCs/>
          <w:lang w:val="en-GB"/>
        </w:rPr>
        <w:t>The Committee reiterates its previous recommendation</w:t>
      </w:r>
      <w:r w:rsidRPr="003D2C5B">
        <w:rPr>
          <w:rFonts w:ascii="Roboto" w:eastAsia="Calibri" w:hAnsi="Roboto" w:cs="Arial"/>
          <w:vertAlign w:val="superscript"/>
          <w:lang w:val="en-GB"/>
        </w:rPr>
        <w:footnoteReference w:id="1"/>
      </w:r>
      <w:r w:rsidRPr="003D2C5B">
        <w:rPr>
          <w:rFonts w:ascii="Roboto" w:eastAsia="Calibri" w:hAnsi="Roboto" w:cs="Arial"/>
          <w:lang w:val="en-GB"/>
        </w:rPr>
        <w:t xml:space="preserve"> </w:t>
      </w:r>
      <w:r w:rsidRPr="003D2C5B">
        <w:rPr>
          <w:rFonts w:ascii="Roboto" w:eastAsia="Calibri" w:hAnsi="Roboto" w:cs="Arial"/>
          <w:b/>
          <w:bCs/>
          <w:lang w:val="en-GB"/>
        </w:rPr>
        <w:t>in this regard and urges the State party to:</w:t>
      </w:r>
    </w:p>
    <w:p w14:paraId="2786A970" w14:textId="0577F535" w:rsidR="00267E66" w:rsidRPr="003D2C5B" w:rsidRDefault="00267E66" w:rsidP="00267E66">
      <w:pPr>
        <w:ind w:right="284"/>
        <w:jc w:val="both"/>
        <w:rPr>
          <w:rFonts w:ascii="Roboto" w:eastAsia="Calibri" w:hAnsi="Roboto" w:cs="Arial"/>
          <w:b/>
          <w:bCs/>
          <w:lang w:val="en-GB"/>
        </w:rPr>
      </w:pPr>
      <w:r w:rsidRPr="003D2C5B">
        <w:rPr>
          <w:rFonts w:ascii="Roboto" w:eastAsia="Calibri" w:hAnsi="Roboto" w:cs="Arial"/>
          <w:lang w:val="en-GB"/>
        </w:rPr>
        <w:t>(a)</w:t>
      </w:r>
      <w:r w:rsidRPr="003D2C5B">
        <w:rPr>
          <w:rFonts w:ascii="Roboto" w:eastAsia="Calibri" w:hAnsi="Roboto" w:cs="Arial"/>
          <w:b/>
          <w:bCs/>
          <w:lang w:val="en-GB"/>
        </w:rPr>
        <w:t>Set up a monitoring, follow-up and inspection mechanism with sufficient material, technical and human resources to monitor the implementation of the Special Act on the Inclusion of Persons with Disabilities effectively and impartially;</w:t>
      </w:r>
    </w:p>
    <w:p w14:paraId="741EE8BA" w14:textId="6606B217" w:rsidR="00267E66" w:rsidRPr="003D2C5B" w:rsidRDefault="00267E66" w:rsidP="00267E66">
      <w:pPr>
        <w:ind w:right="284"/>
        <w:jc w:val="both"/>
        <w:rPr>
          <w:rFonts w:ascii="Roboto" w:eastAsia="Calibri" w:hAnsi="Roboto" w:cs="Arial"/>
          <w:b/>
          <w:bCs/>
          <w:lang w:val="en-GB"/>
        </w:rPr>
      </w:pPr>
      <w:r w:rsidRPr="003D2C5B">
        <w:rPr>
          <w:rFonts w:ascii="Roboto" w:eastAsia="Calibri" w:hAnsi="Roboto" w:cs="Arial"/>
          <w:lang w:val="en-GB"/>
        </w:rPr>
        <w:t>(b)</w:t>
      </w:r>
      <w:r w:rsidRPr="003D2C5B">
        <w:rPr>
          <w:rFonts w:ascii="Roboto" w:eastAsia="Calibri" w:hAnsi="Roboto" w:cs="Arial"/>
          <w:b/>
          <w:bCs/>
          <w:lang w:val="en-GB"/>
        </w:rPr>
        <w:t>Take all necessary measures to eliminate persistent cultural barriers and prejudices in society with regard to persons with disabilities.</w:t>
      </w:r>
    </w:p>
    <w:p w14:paraId="359C2727" w14:textId="77777777" w:rsidR="00267E66" w:rsidRPr="003D2C5B" w:rsidRDefault="00267E66" w:rsidP="00267E66">
      <w:pPr>
        <w:ind w:right="284"/>
        <w:jc w:val="both"/>
        <w:rPr>
          <w:rFonts w:ascii="Roboto" w:eastAsia="Calibri" w:hAnsi="Roboto" w:cs="Arial"/>
          <w:lang w:val="en-GB"/>
        </w:rPr>
      </w:pPr>
    </w:p>
    <w:p w14:paraId="57C3B588" w14:textId="5B648820" w:rsidR="00074A6F" w:rsidRPr="003D2C5B" w:rsidRDefault="00267E66" w:rsidP="000429D7">
      <w:pPr>
        <w:pStyle w:val="Heading1"/>
        <w:spacing w:before="0" w:after="240"/>
        <w:ind w:right="284"/>
        <w:rPr>
          <w:rFonts w:ascii="Roboto" w:hAnsi="Roboto"/>
          <w:b/>
          <w:bCs/>
          <w:color w:val="auto"/>
          <w:sz w:val="24"/>
          <w:szCs w:val="24"/>
          <w:lang w:val="en-GB"/>
        </w:rPr>
      </w:pPr>
      <w:bookmarkStart w:id="1" w:name="_Toc152001851"/>
      <w:r w:rsidRPr="003D2C5B">
        <w:rPr>
          <w:rFonts w:ascii="Roboto" w:hAnsi="Roboto"/>
          <w:b/>
          <w:bCs/>
          <w:color w:val="auto"/>
          <w:sz w:val="24"/>
          <w:szCs w:val="24"/>
          <w:lang w:val="en-GB"/>
        </w:rPr>
        <w:t>GUETAMALA</w:t>
      </w:r>
      <w:r w:rsidR="00DB2539" w:rsidRPr="003D2C5B">
        <w:rPr>
          <w:rFonts w:ascii="Roboto" w:hAnsi="Roboto"/>
          <w:b/>
          <w:bCs/>
          <w:color w:val="auto"/>
          <w:sz w:val="24"/>
          <w:szCs w:val="24"/>
          <w:lang w:val="en-GB"/>
        </w:rPr>
        <w:t xml:space="preserve"> </w:t>
      </w:r>
      <w:r w:rsidR="00393B67" w:rsidRPr="003D2C5B">
        <w:rPr>
          <w:rFonts w:ascii="Roboto" w:hAnsi="Roboto"/>
          <w:b/>
          <w:bCs/>
          <w:color w:val="auto"/>
          <w:sz w:val="24"/>
          <w:szCs w:val="24"/>
          <w:lang w:val="en-GB"/>
        </w:rPr>
        <w:t>-</w:t>
      </w:r>
      <w:r w:rsidR="00393B67" w:rsidRPr="003D2C5B">
        <w:rPr>
          <w:rFonts w:ascii="Times New Roman" w:eastAsia="Times New Roman" w:hAnsi="Times New Roman" w:cs="Times New Roman"/>
          <w:b/>
          <w:bCs/>
          <w:color w:val="auto"/>
          <w:sz w:val="24"/>
          <w:szCs w:val="24"/>
          <w:lang w:val="en-GB"/>
        </w:rPr>
        <w:t xml:space="preserve"> </w:t>
      </w:r>
      <w:r w:rsidRPr="003D2C5B">
        <w:rPr>
          <w:rFonts w:ascii="Roboto" w:hAnsi="Roboto"/>
          <w:b/>
          <w:bCs/>
          <w:color w:val="auto"/>
          <w:sz w:val="24"/>
          <w:szCs w:val="24"/>
          <w:lang w:val="en-GB"/>
        </w:rPr>
        <w:t>E/C.12/GTM/CO/4</w:t>
      </w:r>
      <w:bookmarkEnd w:id="1"/>
    </w:p>
    <w:p w14:paraId="1DC24B0B" w14:textId="77777777" w:rsidR="00267E66" w:rsidRPr="003D2C5B" w:rsidRDefault="00267E66" w:rsidP="00267E66">
      <w:pPr>
        <w:suppressAutoHyphens/>
        <w:kinsoku w:val="0"/>
        <w:overflowPunct w:val="0"/>
        <w:autoSpaceDE w:val="0"/>
        <w:autoSpaceDN w:val="0"/>
        <w:adjustRightInd w:val="0"/>
        <w:snapToGrid w:val="0"/>
        <w:ind w:right="284"/>
        <w:jc w:val="both"/>
        <w:rPr>
          <w:rFonts w:ascii="Roboto" w:eastAsia="Calibri" w:hAnsi="Roboto" w:cs="Arial"/>
          <w:b/>
          <w:lang w:val="en-US"/>
        </w:rPr>
      </w:pPr>
      <w:bookmarkStart w:id="2" w:name="_Hlk97906055"/>
      <w:r w:rsidRPr="003D2C5B">
        <w:rPr>
          <w:rFonts w:ascii="Roboto" w:eastAsia="Calibri" w:hAnsi="Roboto" w:cs="Arial"/>
          <w:b/>
          <w:lang w:val="en-GB"/>
        </w:rPr>
        <w:t>Non-discrimination</w:t>
      </w:r>
    </w:p>
    <w:p w14:paraId="41C5AC67" w14:textId="6FB5F431" w:rsidR="00267E66" w:rsidRPr="003D2C5B" w:rsidRDefault="00267E66" w:rsidP="00267E66">
      <w:pPr>
        <w:suppressAutoHyphens/>
        <w:kinsoku w:val="0"/>
        <w:overflowPunct w:val="0"/>
        <w:autoSpaceDE w:val="0"/>
        <w:autoSpaceDN w:val="0"/>
        <w:adjustRightInd w:val="0"/>
        <w:snapToGrid w:val="0"/>
        <w:ind w:right="284"/>
        <w:jc w:val="both"/>
        <w:rPr>
          <w:rFonts w:ascii="Roboto" w:eastAsia="Calibri" w:hAnsi="Roboto" w:cs="Arial"/>
          <w:bCs/>
          <w:lang w:val="en-US"/>
        </w:rPr>
      </w:pPr>
      <w:r w:rsidRPr="003D2C5B">
        <w:rPr>
          <w:rFonts w:ascii="Roboto" w:eastAsia="Calibri" w:hAnsi="Roboto" w:cs="Arial"/>
          <w:bCs/>
          <w:lang w:val="en-GB"/>
        </w:rPr>
        <w:t>18.The Committee is concerned at the persistence of discrimination against Indigenous Peoples and persons of African descent in the enjoyment of their economic, social and cultural rights. It is also concerned that persons with disabilities, as well as lesbian, gay, bisexual, transgender and intersex persons, continue to be subjected to stigmatization and discrimination, thus preventing them from enjoying their economic, social and cultural rights on an equal basis with others. The Committee is further concerned that bill No. 5940 on guaranteeing comprehensive protection for children and adolescents against gender identity disorders, which was submitted to the Congress, will contribute to reinforcing the stigma faced by lesbian, gay, bisexual, transgender and intersex persons (art. 2 (2)).</w:t>
      </w:r>
    </w:p>
    <w:p w14:paraId="5773C93A" w14:textId="3C4CF73F" w:rsidR="00267E66" w:rsidRPr="003D2C5B" w:rsidRDefault="00267E66" w:rsidP="00267E66">
      <w:pPr>
        <w:suppressAutoHyphens/>
        <w:kinsoku w:val="0"/>
        <w:overflowPunct w:val="0"/>
        <w:autoSpaceDE w:val="0"/>
        <w:autoSpaceDN w:val="0"/>
        <w:adjustRightInd w:val="0"/>
        <w:snapToGrid w:val="0"/>
        <w:ind w:right="284"/>
        <w:jc w:val="both"/>
        <w:rPr>
          <w:rFonts w:ascii="Roboto" w:eastAsia="Calibri" w:hAnsi="Roboto" w:cs="Arial"/>
          <w:b/>
          <w:lang w:val="en-GB"/>
        </w:rPr>
      </w:pPr>
      <w:r w:rsidRPr="003D2C5B">
        <w:rPr>
          <w:rFonts w:ascii="Roboto" w:eastAsia="Calibri" w:hAnsi="Roboto" w:cs="Arial"/>
          <w:b/>
          <w:lang w:val="en-GB"/>
        </w:rPr>
        <w:t>19.The Committee recommends that the State party:</w:t>
      </w:r>
    </w:p>
    <w:p w14:paraId="32A77198" w14:textId="10AC47D9" w:rsidR="00267E66" w:rsidRPr="003D2C5B" w:rsidRDefault="00267E66" w:rsidP="00267E66">
      <w:pPr>
        <w:suppressAutoHyphens/>
        <w:kinsoku w:val="0"/>
        <w:overflowPunct w:val="0"/>
        <w:autoSpaceDE w:val="0"/>
        <w:autoSpaceDN w:val="0"/>
        <w:adjustRightInd w:val="0"/>
        <w:snapToGrid w:val="0"/>
        <w:ind w:right="284"/>
        <w:jc w:val="both"/>
        <w:rPr>
          <w:rFonts w:ascii="Roboto" w:eastAsia="Calibri" w:hAnsi="Roboto" w:cs="Arial"/>
          <w:b/>
          <w:lang w:val="en-GB"/>
        </w:rPr>
      </w:pPr>
      <w:r w:rsidRPr="003D2C5B">
        <w:rPr>
          <w:rFonts w:ascii="Roboto" w:eastAsia="Calibri" w:hAnsi="Roboto" w:cs="Arial"/>
          <w:b/>
          <w:lang w:val="en-GB"/>
        </w:rPr>
        <w:t>(a)Adopt a comprehensive law on non-discrimination that provides sufficient protection against discrimination in keeping with article 2 of the Covenant and that:</w:t>
      </w:r>
    </w:p>
    <w:p w14:paraId="736F4B42" w14:textId="77777777" w:rsidR="00267E66" w:rsidRPr="003D2C5B" w:rsidRDefault="00267E66" w:rsidP="00267E66">
      <w:pPr>
        <w:suppressAutoHyphens/>
        <w:kinsoku w:val="0"/>
        <w:overflowPunct w:val="0"/>
        <w:autoSpaceDE w:val="0"/>
        <w:autoSpaceDN w:val="0"/>
        <w:adjustRightInd w:val="0"/>
        <w:snapToGrid w:val="0"/>
        <w:ind w:right="284"/>
        <w:jc w:val="both"/>
        <w:rPr>
          <w:rFonts w:ascii="Roboto" w:eastAsia="Calibri" w:hAnsi="Roboto" w:cs="Arial"/>
          <w:b/>
          <w:lang w:val="en-GB"/>
        </w:rPr>
      </w:pPr>
      <w:r w:rsidRPr="003D2C5B">
        <w:rPr>
          <w:rFonts w:ascii="Roboto" w:eastAsia="Calibri" w:hAnsi="Roboto" w:cs="Arial"/>
          <w:b/>
          <w:lang w:val="en-GB"/>
        </w:rPr>
        <w:t xml:space="preserve"> (</w:t>
      </w:r>
      <w:proofErr w:type="spellStart"/>
      <w:r w:rsidRPr="003D2C5B">
        <w:rPr>
          <w:rFonts w:ascii="Roboto" w:eastAsia="Calibri" w:hAnsi="Roboto" w:cs="Arial"/>
          <w:b/>
          <w:lang w:val="en-GB"/>
        </w:rPr>
        <w:t>i</w:t>
      </w:r>
      <w:proofErr w:type="spellEnd"/>
      <w:r w:rsidRPr="003D2C5B">
        <w:rPr>
          <w:rFonts w:ascii="Roboto" w:eastAsia="Calibri" w:hAnsi="Roboto" w:cs="Arial"/>
          <w:b/>
          <w:lang w:val="en-GB"/>
        </w:rPr>
        <w:t xml:space="preserve">) explicitly includes all prohibited grounds for discrimination enumerated in that article and in general comment No. 20 (2009) on non-discrimination in economic, social and cultural rights; </w:t>
      </w:r>
    </w:p>
    <w:p w14:paraId="16B0537B" w14:textId="77777777" w:rsidR="00267E66" w:rsidRPr="003D2C5B" w:rsidRDefault="00267E66" w:rsidP="00267E66">
      <w:pPr>
        <w:suppressAutoHyphens/>
        <w:kinsoku w:val="0"/>
        <w:overflowPunct w:val="0"/>
        <w:autoSpaceDE w:val="0"/>
        <w:autoSpaceDN w:val="0"/>
        <w:adjustRightInd w:val="0"/>
        <w:snapToGrid w:val="0"/>
        <w:ind w:right="284"/>
        <w:jc w:val="both"/>
        <w:rPr>
          <w:rFonts w:ascii="Roboto" w:eastAsia="Calibri" w:hAnsi="Roboto" w:cs="Arial"/>
          <w:b/>
          <w:lang w:val="en-GB"/>
        </w:rPr>
      </w:pPr>
      <w:r w:rsidRPr="003D2C5B">
        <w:rPr>
          <w:rFonts w:ascii="Roboto" w:eastAsia="Calibri" w:hAnsi="Roboto" w:cs="Arial"/>
          <w:b/>
          <w:lang w:val="en-GB"/>
        </w:rPr>
        <w:t xml:space="preserve">(ii) defines direct and indirect discrimination in line with the State party’s obligations under the Covenant; </w:t>
      </w:r>
    </w:p>
    <w:p w14:paraId="037929C8" w14:textId="77777777" w:rsidR="00267E66" w:rsidRPr="003D2C5B" w:rsidRDefault="00267E66" w:rsidP="00267E66">
      <w:pPr>
        <w:suppressAutoHyphens/>
        <w:kinsoku w:val="0"/>
        <w:overflowPunct w:val="0"/>
        <w:autoSpaceDE w:val="0"/>
        <w:autoSpaceDN w:val="0"/>
        <w:adjustRightInd w:val="0"/>
        <w:snapToGrid w:val="0"/>
        <w:ind w:right="284"/>
        <w:jc w:val="both"/>
        <w:rPr>
          <w:rFonts w:ascii="Roboto" w:eastAsia="Calibri" w:hAnsi="Roboto" w:cs="Arial"/>
          <w:b/>
          <w:lang w:val="en-GB"/>
        </w:rPr>
      </w:pPr>
      <w:r w:rsidRPr="003D2C5B">
        <w:rPr>
          <w:rFonts w:ascii="Roboto" w:eastAsia="Calibri" w:hAnsi="Roboto" w:cs="Arial"/>
          <w:b/>
          <w:lang w:val="en-GB"/>
        </w:rPr>
        <w:t xml:space="preserve">(iii) prohibits discrimination in the public and private spheres alike; and </w:t>
      </w:r>
    </w:p>
    <w:p w14:paraId="0FFB9FCC" w14:textId="057F6603" w:rsidR="00267E66" w:rsidRPr="003D2C5B" w:rsidRDefault="00267E66" w:rsidP="00267E66">
      <w:pPr>
        <w:suppressAutoHyphens/>
        <w:kinsoku w:val="0"/>
        <w:overflowPunct w:val="0"/>
        <w:autoSpaceDE w:val="0"/>
        <w:autoSpaceDN w:val="0"/>
        <w:adjustRightInd w:val="0"/>
        <w:snapToGrid w:val="0"/>
        <w:ind w:right="284"/>
        <w:jc w:val="both"/>
        <w:rPr>
          <w:rFonts w:ascii="Roboto" w:eastAsia="Calibri" w:hAnsi="Roboto" w:cs="Arial"/>
          <w:b/>
          <w:lang w:val="en-GB"/>
        </w:rPr>
      </w:pPr>
      <w:r w:rsidRPr="003D2C5B">
        <w:rPr>
          <w:rFonts w:ascii="Roboto" w:eastAsia="Calibri" w:hAnsi="Roboto" w:cs="Arial"/>
          <w:b/>
          <w:lang w:val="en-GB"/>
        </w:rPr>
        <w:t>(iv) establishes effective judicial and administrative mechanisms to guard against discrimination, including the introduction of provisions on reparations in discrimination cases;</w:t>
      </w:r>
    </w:p>
    <w:bookmarkEnd w:id="2"/>
    <w:p w14:paraId="7103D484" w14:textId="77777777" w:rsidR="0092650C" w:rsidRPr="003D2C5B" w:rsidRDefault="0092650C" w:rsidP="000429D7">
      <w:pPr>
        <w:ind w:right="284"/>
        <w:jc w:val="both"/>
        <w:rPr>
          <w:rFonts w:ascii="Roboto" w:hAnsi="Roboto" w:cs="Arial"/>
          <w:lang w:val="en-US"/>
        </w:rPr>
      </w:pPr>
    </w:p>
    <w:p w14:paraId="413D14BE" w14:textId="2FE89290" w:rsidR="00B25B81" w:rsidRPr="003D2C5B" w:rsidRDefault="00B25B81" w:rsidP="00B25B81">
      <w:pPr>
        <w:pStyle w:val="Heading1"/>
        <w:spacing w:before="0" w:after="240"/>
        <w:ind w:right="284"/>
        <w:rPr>
          <w:rFonts w:ascii="Roboto" w:hAnsi="Roboto"/>
          <w:b/>
          <w:bCs/>
          <w:color w:val="auto"/>
          <w:sz w:val="24"/>
          <w:szCs w:val="24"/>
          <w:lang w:val="en-GB"/>
        </w:rPr>
      </w:pPr>
      <w:bookmarkStart w:id="3" w:name="_Toc152001852"/>
      <w:r w:rsidRPr="003D2C5B">
        <w:rPr>
          <w:rFonts w:ascii="Roboto" w:hAnsi="Roboto"/>
          <w:b/>
          <w:bCs/>
          <w:color w:val="auto"/>
          <w:sz w:val="24"/>
          <w:szCs w:val="24"/>
          <w:lang w:val="en-US"/>
        </w:rPr>
        <w:t>LUXEMBOURG</w:t>
      </w:r>
      <w:r w:rsidR="00DB2539" w:rsidRPr="003D2C5B">
        <w:rPr>
          <w:rFonts w:ascii="Roboto" w:hAnsi="Roboto"/>
          <w:b/>
          <w:bCs/>
          <w:color w:val="auto"/>
          <w:sz w:val="24"/>
          <w:szCs w:val="24"/>
          <w:lang w:val="en-US"/>
        </w:rPr>
        <w:t xml:space="preserve"> </w:t>
      </w:r>
      <w:r w:rsidR="001F5738" w:rsidRPr="003D2C5B">
        <w:rPr>
          <w:rFonts w:ascii="Roboto" w:hAnsi="Roboto"/>
          <w:b/>
          <w:bCs/>
          <w:color w:val="auto"/>
          <w:sz w:val="24"/>
          <w:szCs w:val="24"/>
          <w:lang w:val="en-US"/>
        </w:rPr>
        <w:t>-</w:t>
      </w:r>
      <w:r w:rsidR="001F5738" w:rsidRPr="003D2C5B">
        <w:rPr>
          <w:rFonts w:ascii="Times New Roman" w:eastAsia="Times New Roman" w:hAnsi="Times New Roman" w:cs="Times New Roman"/>
          <w:b/>
          <w:bCs/>
          <w:color w:val="auto"/>
          <w:sz w:val="24"/>
          <w:szCs w:val="24"/>
          <w:lang w:val="en-GB"/>
        </w:rPr>
        <w:t xml:space="preserve"> </w:t>
      </w:r>
      <w:r w:rsidRPr="003D2C5B">
        <w:rPr>
          <w:rFonts w:ascii="Roboto" w:hAnsi="Roboto"/>
          <w:b/>
          <w:bCs/>
          <w:color w:val="auto"/>
          <w:sz w:val="24"/>
          <w:szCs w:val="24"/>
          <w:lang w:val="en-GB"/>
        </w:rPr>
        <w:t>E/C.12/LUX/CO/4</w:t>
      </w:r>
      <w:bookmarkEnd w:id="3"/>
    </w:p>
    <w:p w14:paraId="6680E958" w14:textId="5A7B24BC" w:rsidR="00267E66" w:rsidRPr="003D2C5B" w:rsidRDefault="00267E66" w:rsidP="00B25B81">
      <w:pPr>
        <w:rPr>
          <w:rFonts w:ascii="Roboto" w:hAnsi="Roboto"/>
          <w:b/>
          <w:bCs/>
          <w:lang w:val="en-GB"/>
        </w:rPr>
      </w:pPr>
      <w:r w:rsidRPr="003D2C5B">
        <w:rPr>
          <w:rFonts w:ascii="Roboto" w:hAnsi="Roboto"/>
          <w:b/>
          <w:bCs/>
          <w:lang w:val="en-GB"/>
        </w:rPr>
        <w:t>Data collection</w:t>
      </w:r>
    </w:p>
    <w:p w14:paraId="7A84CD4D" w14:textId="632EAE72" w:rsidR="00267E66" w:rsidRPr="003D2C5B" w:rsidRDefault="00267E66" w:rsidP="00267E66">
      <w:pPr>
        <w:ind w:right="284"/>
        <w:jc w:val="both"/>
        <w:rPr>
          <w:rFonts w:ascii="Roboto" w:eastAsia="Calibri" w:hAnsi="Roboto" w:cs="Arial"/>
          <w:bCs/>
          <w:lang w:val="en-GB"/>
        </w:rPr>
      </w:pPr>
      <w:r w:rsidRPr="003D2C5B">
        <w:rPr>
          <w:rFonts w:ascii="Roboto" w:eastAsia="Calibri" w:hAnsi="Roboto" w:cs="Arial"/>
          <w:bCs/>
          <w:lang w:val="en-GB"/>
        </w:rPr>
        <w:t xml:space="preserve">6.The Committee notes the State party’s efforts to improve data collection, such as the establishment in 2020 of the Equality Observatory. However, the Committee is concerned </w:t>
      </w:r>
      <w:r w:rsidRPr="003D2C5B">
        <w:rPr>
          <w:rFonts w:ascii="Roboto" w:eastAsia="Calibri" w:hAnsi="Roboto" w:cs="Arial"/>
          <w:bCs/>
          <w:lang w:val="en-GB"/>
        </w:rPr>
        <w:lastRenderedPageBreak/>
        <w:t>about the lack of systematic collection of data disaggregated by prohibited grounds of discrimination, which hinders a full understanding of the degree to which the Covenant rights are realized.</w:t>
      </w:r>
    </w:p>
    <w:p w14:paraId="53C4F83C" w14:textId="48F7BD87" w:rsidR="00267E66" w:rsidRPr="003D2C5B" w:rsidRDefault="00267E66" w:rsidP="00267E66">
      <w:pPr>
        <w:ind w:right="284"/>
        <w:jc w:val="both"/>
        <w:rPr>
          <w:rFonts w:ascii="Roboto" w:eastAsia="Calibri" w:hAnsi="Roboto" w:cs="Arial"/>
          <w:b/>
          <w:bCs/>
          <w:lang w:val="en-GB"/>
        </w:rPr>
      </w:pPr>
      <w:r w:rsidRPr="003D2C5B">
        <w:rPr>
          <w:rFonts w:ascii="Roboto" w:eastAsia="Calibri" w:hAnsi="Roboto" w:cs="Arial"/>
          <w:b/>
          <w:lang w:val="en-GB"/>
        </w:rPr>
        <w:t>7.</w:t>
      </w:r>
      <w:r w:rsidRPr="003D2C5B">
        <w:rPr>
          <w:rFonts w:ascii="Roboto" w:eastAsia="Calibri" w:hAnsi="Roboto" w:cs="Arial"/>
          <w:b/>
          <w:bCs/>
          <w:lang w:val="en-GB"/>
        </w:rPr>
        <w:t>The Committee recommends that the State party improve its data-collection system to collect data disaggregated by prohibited grounds of discrimination, including ethnic and national origin, disability, sex, age and socioeconomic status, with a view to tracking progress in the realization of Covenant rights and formulating effective and targeted public policies, particularly for disadvantaged and marginalized individuals and groups. In addition, the Committee requests that the State party include, in its next periodic report, annual comparative statistical data, disaggregated by the above-mentioned and other relevant grounds, to measure the progress made in the realization of the rights enshrined in the Covenant. The Committee also recommends that the State party take into consideration the conceptual and methodological framework on human rights indicators developed by the Office of the United Nations High Commissioner for Human Rights.</w:t>
      </w:r>
    </w:p>
    <w:p w14:paraId="7984B2FF" w14:textId="77777777" w:rsidR="00267E66" w:rsidRPr="003D2C5B" w:rsidRDefault="00267E66" w:rsidP="00267E66">
      <w:pPr>
        <w:ind w:right="284"/>
        <w:jc w:val="both"/>
        <w:rPr>
          <w:rFonts w:ascii="Roboto" w:eastAsia="Calibri" w:hAnsi="Roboto" w:cs="Arial"/>
          <w:b/>
          <w:bCs/>
          <w:lang w:val="en-GB"/>
        </w:rPr>
      </w:pPr>
    </w:p>
    <w:p w14:paraId="1B6EC9D8" w14:textId="77777777" w:rsidR="00267E66" w:rsidRPr="003D2C5B" w:rsidRDefault="00267E66" w:rsidP="00267E66">
      <w:pPr>
        <w:ind w:right="284"/>
        <w:jc w:val="both"/>
        <w:rPr>
          <w:rFonts w:ascii="Roboto" w:eastAsia="Calibri" w:hAnsi="Roboto" w:cs="Arial"/>
          <w:b/>
          <w:bCs/>
          <w:lang w:val="en-GB"/>
        </w:rPr>
      </w:pPr>
      <w:r w:rsidRPr="003D2C5B">
        <w:rPr>
          <w:rFonts w:ascii="Roboto" w:eastAsia="Calibri" w:hAnsi="Roboto" w:cs="Arial"/>
          <w:b/>
          <w:bCs/>
          <w:lang w:val="en-GB"/>
        </w:rPr>
        <w:t>Climate change</w:t>
      </w:r>
    </w:p>
    <w:p w14:paraId="044233CC" w14:textId="67DA9E4C" w:rsidR="00267E66" w:rsidRPr="003D2C5B" w:rsidRDefault="00267E66" w:rsidP="00267E66">
      <w:pPr>
        <w:ind w:right="284"/>
        <w:jc w:val="both"/>
        <w:rPr>
          <w:rFonts w:ascii="Roboto" w:eastAsia="Calibri" w:hAnsi="Roboto" w:cs="Arial"/>
          <w:b/>
          <w:bCs/>
          <w:lang w:val="en-GB"/>
        </w:rPr>
      </w:pPr>
      <w:r w:rsidRPr="003D2C5B">
        <w:rPr>
          <w:rFonts w:ascii="Roboto" w:eastAsia="Calibri" w:hAnsi="Roboto" w:cs="Arial"/>
          <w:lang w:val="en-GB"/>
        </w:rPr>
        <w:t>10.The Committee notes the measures taken by the State party to mitigate and adapt to the effects of climate change, including the Climate Act of 15 December 2020, the Integrated National Energy and Climate Plan 2021–2030, and the Climate Change Adaptation Strategy and Action Plan 2018–2023. However, the Committee is concerned about reports that public and private financial institutions under the State party’s jurisdiction continue to hold significant investments in the fossil fuel industry and other carbon-intensive sectors, despite their harmful impact on the climate. The Committee is also concerned about the lack of transparency and the lack of suitable and effective regulation of the financial sector in this regard</w:t>
      </w:r>
      <w:r w:rsidRPr="003D2C5B">
        <w:rPr>
          <w:rFonts w:ascii="Roboto" w:eastAsia="Calibri" w:hAnsi="Roboto" w:cs="Arial"/>
          <w:b/>
          <w:bCs/>
          <w:lang w:val="en-GB"/>
        </w:rPr>
        <w:t xml:space="preserve">. </w:t>
      </w:r>
    </w:p>
    <w:p w14:paraId="530EB80B" w14:textId="239B2AF6" w:rsidR="00CC2F8A" w:rsidRDefault="00267E66" w:rsidP="00667B2E">
      <w:pPr>
        <w:ind w:right="242"/>
        <w:jc w:val="both"/>
        <w:rPr>
          <w:rFonts w:ascii="Roboto" w:eastAsia="Calibri" w:hAnsi="Roboto" w:cs="Arial"/>
          <w:b/>
          <w:bCs/>
          <w:lang w:val="en-GB"/>
        </w:rPr>
      </w:pPr>
      <w:r w:rsidRPr="003D2C5B">
        <w:rPr>
          <w:rFonts w:ascii="Roboto" w:eastAsia="Calibri" w:hAnsi="Roboto" w:cs="Arial"/>
          <w:b/>
          <w:bCs/>
          <w:lang w:val="en-GB"/>
        </w:rPr>
        <w:t>11.The Committee recommends that the State party take the necessary measures to reduce public and private investments in the fossil fuel industry and other carbon-intensive sectors and ensure that those measures are compatible with the need to reduce greenhouse gas emissions, including through effective regulatory and transparency measures. In this regard, the Committee refers the State party to its statement on climate change and the Covenant,</w:t>
      </w:r>
      <w:r w:rsidRPr="003D2C5B">
        <w:rPr>
          <w:rFonts w:ascii="Roboto" w:eastAsia="Calibri" w:hAnsi="Roboto" w:cs="Arial"/>
          <w:b/>
          <w:bCs/>
          <w:vertAlign w:val="superscript"/>
          <w:lang w:val="en-GB"/>
        </w:rPr>
        <w:footnoteReference w:id="2"/>
      </w:r>
      <w:r w:rsidRPr="003D2C5B">
        <w:rPr>
          <w:rFonts w:ascii="Roboto" w:eastAsia="Calibri" w:hAnsi="Roboto" w:cs="Arial"/>
          <w:b/>
          <w:bCs/>
          <w:lang w:val="en-GB"/>
        </w:rPr>
        <w:t xml:space="preserve"> as well as to the joint statement on human rights and climate change issued by the Committee on the Elimination of Discrimination against Women, the Committee on Economic, Social and Cultural Rights, the Committee on the Protection of the Rights of All Migrant Workers and Members of Their Families, the Committee on the Rights of the Child and the Committee on the Rights of Persons with Disabilities.</w:t>
      </w:r>
      <w:r w:rsidRPr="003D2C5B">
        <w:rPr>
          <w:rFonts w:ascii="Roboto" w:eastAsia="Calibri" w:hAnsi="Roboto" w:cs="Arial"/>
          <w:b/>
          <w:bCs/>
          <w:vertAlign w:val="superscript"/>
          <w:lang w:val="en-GB"/>
        </w:rPr>
        <w:footnoteReference w:id="3"/>
      </w:r>
    </w:p>
    <w:p w14:paraId="71640D6A" w14:textId="77777777" w:rsidR="00CC2F8A" w:rsidRDefault="00CC2F8A" w:rsidP="00267E66">
      <w:pPr>
        <w:ind w:right="284"/>
        <w:jc w:val="both"/>
        <w:rPr>
          <w:rFonts w:ascii="Roboto" w:eastAsia="Calibri" w:hAnsi="Roboto" w:cs="Arial"/>
          <w:b/>
          <w:bCs/>
          <w:lang w:val="en-GB"/>
        </w:rPr>
      </w:pPr>
    </w:p>
    <w:p w14:paraId="5538E1C1" w14:textId="76B74F24" w:rsidR="00267E66" w:rsidRPr="003D2C5B" w:rsidRDefault="00267E66" w:rsidP="00267E66">
      <w:pPr>
        <w:ind w:right="284"/>
        <w:jc w:val="both"/>
        <w:rPr>
          <w:rFonts w:ascii="Roboto" w:eastAsia="Calibri" w:hAnsi="Roboto" w:cs="Arial"/>
          <w:b/>
          <w:bCs/>
          <w:lang w:val="en-GB"/>
        </w:rPr>
      </w:pPr>
      <w:r w:rsidRPr="003D2C5B">
        <w:rPr>
          <w:rFonts w:ascii="Roboto" w:eastAsia="Calibri" w:hAnsi="Roboto" w:cs="Arial"/>
          <w:b/>
          <w:bCs/>
          <w:lang w:val="en-GB"/>
        </w:rPr>
        <w:t>Right to work</w:t>
      </w:r>
    </w:p>
    <w:p w14:paraId="02397AF0" w14:textId="4180BF5D" w:rsidR="00267E66" w:rsidRPr="003D2C5B" w:rsidRDefault="00267E66" w:rsidP="00267E66">
      <w:pPr>
        <w:ind w:right="284"/>
        <w:jc w:val="both"/>
        <w:rPr>
          <w:rFonts w:ascii="Roboto" w:eastAsia="Calibri" w:hAnsi="Roboto" w:cs="Arial"/>
          <w:lang w:val="en-GB"/>
        </w:rPr>
      </w:pPr>
      <w:r w:rsidRPr="003D2C5B">
        <w:rPr>
          <w:rFonts w:ascii="Roboto" w:eastAsia="Calibri" w:hAnsi="Roboto" w:cs="Arial"/>
          <w:lang w:val="en-GB"/>
        </w:rPr>
        <w:t xml:space="preserve">22.The Committee notes the sharp decline in the unemployment rate in the State party from 7.5 per cent in July 2020 to 4.4 per cent in August 2022. However, it is concerned that the unemployment rate is much higher among young persons, persons with disabilities, persons with limited education and nationals of countries outside the European Union, including migrants, refugees and asylum-seekers (art. 6). </w:t>
      </w:r>
    </w:p>
    <w:p w14:paraId="722E0A26" w14:textId="760539A1" w:rsidR="00267E66" w:rsidRPr="003D2C5B" w:rsidRDefault="00267E66" w:rsidP="00267E66">
      <w:pPr>
        <w:ind w:right="284"/>
        <w:jc w:val="both"/>
        <w:rPr>
          <w:rFonts w:ascii="Roboto" w:eastAsia="Calibri" w:hAnsi="Roboto" w:cs="Arial"/>
          <w:b/>
          <w:bCs/>
          <w:lang w:val="en-GB"/>
        </w:rPr>
      </w:pPr>
      <w:r w:rsidRPr="003D2C5B">
        <w:rPr>
          <w:rFonts w:ascii="Roboto" w:eastAsia="Calibri" w:hAnsi="Roboto" w:cs="Arial"/>
          <w:b/>
          <w:bCs/>
          <w:lang w:val="en-GB"/>
        </w:rPr>
        <w:t xml:space="preserve">23.The Committee recommends that the State party continue its efforts to reduce unemployment and to assist young persons, persons with disabilities, persons with </w:t>
      </w:r>
      <w:r w:rsidRPr="003D2C5B">
        <w:rPr>
          <w:rFonts w:ascii="Roboto" w:eastAsia="Calibri" w:hAnsi="Roboto" w:cs="Arial"/>
          <w:b/>
          <w:bCs/>
          <w:lang w:val="en-GB"/>
        </w:rPr>
        <w:lastRenderedPageBreak/>
        <w:t>limited education and nationals of countries outside the European Union, including migrants, refugees and asylum-seekers, in gaining access to employment. The Committee also recommends that the State party ensure that programmes promoting the labour market inclusion of the most disadvantaged and marginalized groups do not perpetuate the concentration of those groups in low-skilled jobs. The Committee further recommends that the State party take into account its general comment No. 18 (2005) on the right to work and its 2017 statement on the duties of States towards refugees and migrants under the Covenant.</w:t>
      </w:r>
      <w:r w:rsidRPr="003D2C5B">
        <w:rPr>
          <w:rFonts w:ascii="Roboto" w:eastAsia="Calibri" w:hAnsi="Roboto" w:cs="Arial"/>
          <w:b/>
          <w:bCs/>
          <w:vertAlign w:val="superscript"/>
          <w:lang w:val="en-GB"/>
        </w:rPr>
        <w:footnoteReference w:id="4"/>
      </w:r>
      <w:r w:rsidRPr="003D2C5B">
        <w:rPr>
          <w:rFonts w:ascii="Roboto" w:eastAsia="Calibri" w:hAnsi="Roboto" w:cs="Arial"/>
          <w:b/>
          <w:bCs/>
          <w:lang w:val="en-GB"/>
        </w:rPr>
        <w:t xml:space="preserve"> </w:t>
      </w:r>
    </w:p>
    <w:p w14:paraId="47F676D0" w14:textId="77777777" w:rsidR="00267E66" w:rsidRPr="003D2C5B" w:rsidRDefault="00267E66" w:rsidP="00267E66">
      <w:pPr>
        <w:ind w:right="284"/>
        <w:jc w:val="both"/>
        <w:rPr>
          <w:rFonts w:ascii="Roboto" w:eastAsia="Calibri" w:hAnsi="Roboto" w:cs="Arial"/>
          <w:b/>
          <w:bCs/>
          <w:lang w:val="en-GB"/>
        </w:rPr>
      </w:pPr>
    </w:p>
    <w:p w14:paraId="3C48322D" w14:textId="77777777" w:rsidR="00B25B81" w:rsidRPr="003D2C5B" w:rsidRDefault="00B25B81" w:rsidP="00B25B81">
      <w:pPr>
        <w:ind w:right="284"/>
        <w:jc w:val="both"/>
        <w:rPr>
          <w:rFonts w:ascii="Roboto" w:eastAsia="Calibri" w:hAnsi="Roboto" w:cs="Arial"/>
          <w:b/>
          <w:bCs/>
          <w:lang w:val="en-GB"/>
        </w:rPr>
      </w:pPr>
      <w:r w:rsidRPr="003D2C5B">
        <w:rPr>
          <w:rFonts w:ascii="Roboto" w:eastAsia="Calibri" w:hAnsi="Roboto" w:cs="Arial"/>
          <w:b/>
          <w:bCs/>
          <w:lang w:val="en-GB"/>
        </w:rPr>
        <w:t>Right to education</w:t>
      </w:r>
    </w:p>
    <w:p w14:paraId="38B9B899" w14:textId="06DA0BD9" w:rsidR="00B25B81" w:rsidRPr="003D2C5B" w:rsidRDefault="00B25B81" w:rsidP="00B25B81">
      <w:pPr>
        <w:ind w:right="284"/>
        <w:jc w:val="both"/>
        <w:rPr>
          <w:rFonts w:ascii="Roboto" w:eastAsia="Calibri" w:hAnsi="Roboto" w:cs="Arial"/>
          <w:lang w:val="en-GB"/>
        </w:rPr>
      </w:pPr>
      <w:r w:rsidRPr="003D2C5B">
        <w:rPr>
          <w:rFonts w:ascii="Roboto" w:eastAsia="Calibri" w:hAnsi="Roboto" w:cs="Arial"/>
          <w:lang w:val="en-GB"/>
        </w:rPr>
        <w:t xml:space="preserve">38.The Committee notes the measures taken by the State party to reduce inequalities in education. However, the Committee is seriously concerned about: </w:t>
      </w:r>
    </w:p>
    <w:p w14:paraId="186360D2" w14:textId="505C7AA6" w:rsidR="00267E66" w:rsidRPr="003D2C5B" w:rsidRDefault="00B25B81" w:rsidP="00267E66">
      <w:pPr>
        <w:ind w:right="284"/>
        <w:jc w:val="both"/>
        <w:rPr>
          <w:rFonts w:ascii="Roboto" w:eastAsia="Calibri" w:hAnsi="Roboto" w:cs="Arial"/>
          <w:lang w:val="en-GB"/>
        </w:rPr>
      </w:pPr>
      <w:r w:rsidRPr="003D2C5B">
        <w:rPr>
          <w:rFonts w:ascii="Roboto" w:eastAsia="Calibri" w:hAnsi="Roboto" w:cs="Arial"/>
          <w:lang w:val="en-GB"/>
        </w:rPr>
        <w:t>(c)Reports that the lack of statistics makes it difficult to establish how inclusive education for pupils with disabilities is progressing, and whether, despite the efforts made, some pupils with disabilities are still attending special schools;</w:t>
      </w:r>
    </w:p>
    <w:p w14:paraId="732ED3C3" w14:textId="7F007A30" w:rsidR="00B25B81" w:rsidRPr="003D2C5B" w:rsidRDefault="00B25B81" w:rsidP="00B25B81">
      <w:pPr>
        <w:ind w:right="284"/>
        <w:jc w:val="both"/>
        <w:rPr>
          <w:rFonts w:ascii="Roboto" w:eastAsia="Calibri" w:hAnsi="Roboto" w:cs="Arial"/>
          <w:b/>
          <w:bCs/>
          <w:lang w:val="en-GB"/>
        </w:rPr>
      </w:pPr>
      <w:r w:rsidRPr="003D2C5B">
        <w:rPr>
          <w:rFonts w:ascii="Roboto" w:eastAsia="Calibri" w:hAnsi="Roboto" w:cs="Arial"/>
          <w:lang w:val="en-GB"/>
        </w:rPr>
        <w:t>(d)</w:t>
      </w:r>
      <w:r w:rsidRPr="003D2C5B">
        <w:rPr>
          <w:rFonts w:ascii="Roboto" w:eastAsia="Calibri" w:hAnsi="Roboto" w:cs="Arial"/>
          <w:b/>
          <w:bCs/>
          <w:lang w:val="en-GB"/>
        </w:rPr>
        <w:t xml:space="preserve">Enhance its efforts to ensure inclusive education for children with disabilities and strengthen data collection in this area; </w:t>
      </w:r>
    </w:p>
    <w:p w14:paraId="460CCAA5" w14:textId="77777777" w:rsidR="00D4232F" w:rsidRPr="003D2C5B" w:rsidRDefault="00D4232F" w:rsidP="000429D7">
      <w:pPr>
        <w:ind w:right="284"/>
        <w:jc w:val="both"/>
        <w:rPr>
          <w:rFonts w:ascii="Roboto" w:hAnsi="Roboto" w:cs="Arial"/>
          <w:b/>
          <w:bCs/>
          <w:lang w:val="en-GB"/>
        </w:rPr>
      </w:pPr>
    </w:p>
    <w:p w14:paraId="49DB0807" w14:textId="5F534347" w:rsidR="00D4232F" w:rsidRPr="003D2C5B" w:rsidRDefault="00B25B81" w:rsidP="00B25B81">
      <w:pPr>
        <w:pStyle w:val="Heading1"/>
        <w:spacing w:before="0"/>
        <w:ind w:right="284"/>
        <w:rPr>
          <w:rFonts w:ascii="Roboto" w:hAnsi="Roboto" w:cs="Arial"/>
          <w:b/>
          <w:bCs/>
          <w:color w:val="auto"/>
          <w:sz w:val="24"/>
          <w:szCs w:val="24"/>
          <w:lang w:val="en-GB"/>
        </w:rPr>
      </w:pPr>
      <w:bookmarkStart w:id="4" w:name="_Toc152001853"/>
      <w:r w:rsidRPr="003D2C5B">
        <w:rPr>
          <w:rFonts w:ascii="Roboto" w:hAnsi="Roboto"/>
          <w:b/>
          <w:bCs/>
          <w:color w:val="auto"/>
          <w:sz w:val="24"/>
          <w:szCs w:val="24"/>
          <w:lang w:val="en-GB"/>
        </w:rPr>
        <w:t>MONGOLIA</w:t>
      </w:r>
      <w:r w:rsidR="00DB2539" w:rsidRPr="003D2C5B">
        <w:rPr>
          <w:rFonts w:ascii="Roboto" w:hAnsi="Roboto"/>
          <w:b/>
          <w:bCs/>
          <w:color w:val="auto"/>
          <w:sz w:val="24"/>
          <w:szCs w:val="24"/>
          <w:lang w:val="en-GB"/>
        </w:rPr>
        <w:t xml:space="preserve"> </w:t>
      </w:r>
      <w:r w:rsidR="00393B67" w:rsidRPr="003D2C5B">
        <w:rPr>
          <w:rFonts w:ascii="Roboto" w:hAnsi="Roboto"/>
          <w:b/>
          <w:bCs/>
          <w:color w:val="auto"/>
          <w:sz w:val="24"/>
          <w:szCs w:val="24"/>
          <w:lang w:val="en-GB"/>
        </w:rPr>
        <w:t>-</w:t>
      </w:r>
      <w:r w:rsidR="00393B67" w:rsidRPr="003D2C5B">
        <w:rPr>
          <w:rFonts w:ascii="Times New Roman" w:eastAsiaTheme="minorHAnsi" w:hAnsi="Times New Roman" w:cs="Times New Roman"/>
          <w:b/>
          <w:bCs/>
          <w:color w:val="auto"/>
          <w:sz w:val="24"/>
          <w:szCs w:val="24"/>
          <w:lang w:val="fr-CH"/>
        </w:rPr>
        <w:t xml:space="preserve"> </w:t>
      </w:r>
      <w:r w:rsidRPr="003D2C5B">
        <w:rPr>
          <w:rFonts w:ascii="Roboto" w:hAnsi="Roboto"/>
          <w:b/>
          <w:bCs/>
          <w:color w:val="auto"/>
          <w:sz w:val="24"/>
          <w:szCs w:val="24"/>
          <w:lang w:val="en-GB"/>
        </w:rPr>
        <w:t>E/C.12/MNG/CO/5</w:t>
      </w:r>
      <w:bookmarkEnd w:id="4"/>
    </w:p>
    <w:p w14:paraId="28183FE5" w14:textId="77777777" w:rsidR="00B25B81" w:rsidRPr="003D2C5B" w:rsidRDefault="00B25B81" w:rsidP="003D2C5B">
      <w:pPr>
        <w:spacing w:before="240"/>
        <w:ind w:right="284"/>
        <w:jc w:val="both"/>
        <w:rPr>
          <w:rFonts w:ascii="Roboto" w:hAnsi="Roboto" w:cs="Arial"/>
          <w:b/>
          <w:bCs/>
          <w:lang w:val="en-GB"/>
        </w:rPr>
      </w:pPr>
      <w:r w:rsidRPr="003D2C5B">
        <w:rPr>
          <w:rFonts w:ascii="Roboto" w:hAnsi="Roboto" w:cs="Arial"/>
          <w:b/>
          <w:bCs/>
          <w:lang w:val="en-GB"/>
        </w:rPr>
        <w:t>Non-discrimination</w:t>
      </w:r>
    </w:p>
    <w:p w14:paraId="455807A9" w14:textId="70B8DCEE" w:rsidR="00B25B81" w:rsidRPr="003D2C5B" w:rsidRDefault="00B25B81" w:rsidP="00B25B81">
      <w:pPr>
        <w:ind w:right="284"/>
        <w:jc w:val="both"/>
        <w:rPr>
          <w:rFonts w:ascii="Roboto" w:hAnsi="Roboto" w:cs="Arial"/>
          <w:lang w:val="en-GB"/>
        </w:rPr>
      </w:pPr>
      <w:r w:rsidRPr="003D2C5B">
        <w:rPr>
          <w:rFonts w:ascii="Roboto" w:hAnsi="Roboto" w:cs="Arial"/>
          <w:lang w:val="en-GB"/>
        </w:rPr>
        <w:t>16.While noting the information provided by the State party that its Constitution contains anti-discrimination provisions, the Committee is concerned about reports that discrimination continues to occur in practice, including against asylum-seekers, refugees and stateless persons. The Committee regrets the absence of a comprehensive anti-discrimination law that covers all grounds of discrimination, including against all marginalized and disadvantaged individuals and groups (art. 2 (2)).</w:t>
      </w:r>
    </w:p>
    <w:p w14:paraId="5D2AC592" w14:textId="49DE3B03" w:rsidR="00B25B81" w:rsidRPr="003D2C5B" w:rsidRDefault="00B25B81" w:rsidP="00B25B81">
      <w:pPr>
        <w:ind w:right="284"/>
        <w:jc w:val="both"/>
        <w:rPr>
          <w:rFonts w:ascii="Roboto" w:hAnsi="Roboto" w:cs="Arial"/>
          <w:b/>
          <w:bCs/>
          <w:lang w:val="en-GB"/>
        </w:rPr>
      </w:pPr>
      <w:r w:rsidRPr="003D2C5B">
        <w:rPr>
          <w:rFonts w:ascii="Roboto" w:hAnsi="Roboto" w:cs="Arial"/>
          <w:b/>
          <w:bCs/>
          <w:lang w:val="en-GB"/>
        </w:rPr>
        <w:t xml:space="preserve">17.With reference to its </w:t>
      </w:r>
      <w:proofErr w:type="spellStart"/>
      <w:r w:rsidRPr="003D2C5B">
        <w:rPr>
          <w:rFonts w:ascii="Roboto" w:hAnsi="Roboto" w:cs="Arial"/>
          <w:b/>
          <w:bCs/>
          <w:lang w:val="en-GB"/>
        </w:rPr>
        <w:t>pre</w:t>
      </w:r>
      <w:r w:rsidR="00EE7D0B" w:rsidRPr="003D2C5B">
        <w:rPr>
          <w:rFonts w:ascii="Roboto" w:hAnsi="Roboto" w:cs="Arial"/>
          <w:b/>
          <w:bCs/>
          <w:lang w:val="en-GB"/>
        </w:rPr>
        <w:t>disability</w:t>
      </w:r>
      <w:proofErr w:type="spellEnd"/>
      <w:r w:rsidR="00EE7D0B" w:rsidRPr="003D2C5B">
        <w:rPr>
          <w:rFonts w:ascii="Roboto" w:hAnsi="Roboto" w:cs="Arial"/>
          <w:b/>
          <w:bCs/>
          <w:lang w:val="en-GB"/>
        </w:rPr>
        <w:t xml:space="preserve"> </w:t>
      </w:r>
      <w:proofErr w:type="spellStart"/>
      <w:r w:rsidR="00EE7D0B" w:rsidRPr="003D2C5B">
        <w:rPr>
          <w:rFonts w:ascii="Roboto" w:hAnsi="Roboto" w:cs="Arial"/>
          <w:b/>
          <w:bCs/>
          <w:lang w:val="en-GB"/>
        </w:rPr>
        <w:t>and</w:t>
      </w:r>
      <w:r w:rsidRPr="003D2C5B">
        <w:rPr>
          <w:rFonts w:ascii="Roboto" w:hAnsi="Roboto" w:cs="Arial"/>
          <w:b/>
          <w:bCs/>
          <w:lang w:val="en-GB"/>
        </w:rPr>
        <w:t>ations</w:t>
      </w:r>
      <w:proofErr w:type="spellEnd"/>
      <w:r w:rsidRPr="003D2C5B">
        <w:rPr>
          <w:rFonts w:ascii="Roboto" w:hAnsi="Roboto" w:cs="Arial"/>
          <w:b/>
          <w:bCs/>
          <w:lang w:val="en-GB"/>
        </w:rPr>
        <w:t>,</w:t>
      </w:r>
      <w:r w:rsidRPr="003D2C5B">
        <w:rPr>
          <w:rFonts w:ascii="Roboto" w:hAnsi="Roboto" w:cs="Arial"/>
          <w:b/>
          <w:bCs/>
          <w:vertAlign w:val="superscript"/>
          <w:lang w:val="en-GB"/>
        </w:rPr>
        <w:footnoteReference w:id="5"/>
      </w:r>
      <w:r w:rsidRPr="003D2C5B">
        <w:rPr>
          <w:rFonts w:ascii="Roboto" w:hAnsi="Roboto" w:cs="Arial"/>
          <w:b/>
          <w:bCs/>
          <w:lang w:val="en-GB"/>
        </w:rPr>
        <w:t xml:space="preserve"> the Committee recommends that the State party take steps to adopt a comprehensive anti-discrimination law guaranteeing protection against all forms of direct and indirect discrimination, including on the grounds of disability, and recognize in its legislation the denial of reasonable accommodation as a form of discrimination, in order to ensure equal access to all economic, social and cultural rights. The Committee also recommends that the State party accede to the Convention relating to the Status of Refugees (1951), the Protocol relating to the Status of Refugees (1967), the Convention relating to the Status of Stateless Persons (1954) and the Convention on the Reduction of Statelessness (1961).</w:t>
      </w:r>
    </w:p>
    <w:p w14:paraId="383E2A2D" w14:textId="77777777" w:rsidR="00B25B81" w:rsidRPr="003D2C5B" w:rsidRDefault="00B25B81" w:rsidP="00B25B81">
      <w:pPr>
        <w:ind w:right="284"/>
        <w:jc w:val="both"/>
        <w:rPr>
          <w:rFonts w:ascii="Roboto" w:hAnsi="Roboto" w:cs="Arial"/>
          <w:b/>
          <w:bCs/>
          <w:lang w:val="en-GB"/>
        </w:rPr>
      </w:pPr>
    </w:p>
    <w:p w14:paraId="16EDCC89" w14:textId="77777777" w:rsidR="00B25B81" w:rsidRPr="003D2C5B" w:rsidRDefault="00B25B81" w:rsidP="00B25B81">
      <w:pPr>
        <w:ind w:right="284"/>
        <w:jc w:val="both"/>
        <w:rPr>
          <w:rFonts w:ascii="Roboto" w:hAnsi="Roboto" w:cs="Arial"/>
          <w:b/>
          <w:bCs/>
          <w:lang w:val="en-GB"/>
        </w:rPr>
      </w:pPr>
      <w:r w:rsidRPr="003D2C5B">
        <w:rPr>
          <w:rFonts w:ascii="Roboto" w:hAnsi="Roboto" w:cs="Arial"/>
          <w:b/>
          <w:bCs/>
          <w:lang w:val="en-GB"/>
        </w:rPr>
        <w:t>Right to work</w:t>
      </w:r>
    </w:p>
    <w:p w14:paraId="3BCC530D" w14:textId="59F73B3F" w:rsidR="00B25B81" w:rsidRPr="003D2C5B" w:rsidRDefault="00B25B81" w:rsidP="00B25B81">
      <w:pPr>
        <w:ind w:right="284"/>
        <w:jc w:val="both"/>
        <w:rPr>
          <w:rFonts w:ascii="Roboto" w:hAnsi="Roboto" w:cs="Arial"/>
          <w:lang w:val="en-GB"/>
        </w:rPr>
      </w:pPr>
      <w:r w:rsidRPr="003D2C5B">
        <w:rPr>
          <w:rFonts w:ascii="Roboto" w:hAnsi="Roboto" w:cs="Arial"/>
          <w:lang w:val="en-GB"/>
        </w:rPr>
        <w:t>22.While noting the State party’s efforts to reduce unemployment, the Committee regrets the lack of statistics on the impact of the measures taken and is concerned about reports of continuing high unemployment rates among youth, herders and persons with disabilities (art. 6).</w:t>
      </w:r>
    </w:p>
    <w:p w14:paraId="289AE4CD" w14:textId="3D75597F" w:rsidR="00B25B81" w:rsidRPr="003D2C5B" w:rsidRDefault="00B25B81" w:rsidP="00B25B81">
      <w:pPr>
        <w:ind w:right="284"/>
        <w:jc w:val="both"/>
        <w:rPr>
          <w:rFonts w:ascii="Roboto" w:hAnsi="Roboto" w:cs="Arial"/>
          <w:b/>
          <w:bCs/>
          <w:lang w:val="en-GB"/>
        </w:rPr>
      </w:pPr>
      <w:r w:rsidRPr="003D2C5B">
        <w:rPr>
          <w:rFonts w:ascii="Roboto" w:hAnsi="Roboto" w:cs="Arial"/>
          <w:b/>
          <w:bCs/>
          <w:lang w:val="en-GB"/>
        </w:rPr>
        <w:t>23.The Committee recommends that the State party:</w:t>
      </w:r>
    </w:p>
    <w:p w14:paraId="59486676" w14:textId="1C106EBF" w:rsidR="00B25B81" w:rsidRPr="003D2C5B" w:rsidRDefault="00B25B81" w:rsidP="00B25B81">
      <w:pPr>
        <w:ind w:right="284"/>
        <w:jc w:val="both"/>
        <w:rPr>
          <w:rFonts w:ascii="Roboto" w:hAnsi="Roboto" w:cs="Arial"/>
          <w:b/>
          <w:bCs/>
          <w:lang w:val="en-GB"/>
        </w:rPr>
      </w:pPr>
      <w:r w:rsidRPr="003D2C5B">
        <w:rPr>
          <w:rFonts w:ascii="Roboto" w:hAnsi="Roboto" w:cs="Arial"/>
          <w:b/>
          <w:bCs/>
          <w:lang w:val="en-GB"/>
        </w:rPr>
        <w:t xml:space="preserve">(a)Continue its efforts to reduce unemployment and underemployment and ensure that its policies tackle their root causes, in particular among youth, herders and persons with </w:t>
      </w:r>
      <w:r w:rsidRPr="003D2C5B">
        <w:rPr>
          <w:rFonts w:ascii="Roboto" w:hAnsi="Roboto" w:cs="Arial"/>
          <w:b/>
          <w:bCs/>
          <w:lang w:val="en-GB"/>
        </w:rPr>
        <w:lastRenderedPageBreak/>
        <w:t>disabilities, including by taking targeted positive measures and facilitating their access to technical and vocational training opportunities;</w:t>
      </w:r>
    </w:p>
    <w:p w14:paraId="2572C578" w14:textId="53ADBD0D" w:rsidR="00B25B81" w:rsidRPr="003D2C5B" w:rsidRDefault="00B25B81" w:rsidP="00B25B81">
      <w:pPr>
        <w:ind w:right="284"/>
        <w:jc w:val="both"/>
        <w:rPr>
          <w:rFonts w:ascii="Roboto" w:hAnsi="Roboto" w:cs="Arial"/>
          <w:b/>
          <w:bCs/>
          <w:lang w:val="en-GB"/>
        </w:rPr>
      </w:pPr>
      <w:r w:rsidRPr="003D2C5B">
        <w:rPr>
          <w:rFonts w:ascii="Roboto" w:hAnsi="Roboto" w:cs="Arial"/>
          <w:b/>
          <w:bCs/>
          <w:lang w:val="en-GB"/>
        </w:rPr>
        <w:t>(c)Ensure that it collects disaggregated data on employment, underemployment and unemployment, and provide updated statistics in its next periodic report, disaggregated by sex, age, geographical area, disability, ethnic origin, and residence or documentation status.</w:t>
      </w:r>
    </w:p>
    <w:p w14:paraId="6E92092B" w14:textId="77777777" w:rsidR="00B25B81" w:rsidRPr="003D2C5B" w:rsidRDefault="00B25B81" w:rsidP="00B25B81">
      <w:pPr>
        <w:ind w:right="284"/>
        <w:jc w:val="both"/>
        <w:rPr>
          <w:rFonts w:ascii="Roboto" w:hAnsi="Roboto" w:cs="Arial"/>
          <w:b/>
          <w:bCs/>
          <w:lang w:val="en-GB"/>
        </w:rPr>
      </w:pPr>
    </w:p>
    <w:p w14:paraId="0CC8F307" w14:textId="77777777" w:rsidR="00B25B81" w:rsidRPr="003D2C5B" w:rsidRDefault="00B25B81" w:rsidP="00B25B81">
      <w:pPr>
        <w:ind w:right="284"/>
        <w:jc w:val="both"/>
        <w:rPr>
          <w:rFonts w:ascii="Roboto" w:hAnsi="Roboto" w:cs="Arial"/>
          <w:b/>
          <w:bCs/>
          <w:lang w:val="en-GB"/>
        </w:rPr>
      </w:pPr>
      <w:r w:rsidRPr="003D2C5B">
        <w:rPr>
          <w:rFonts w:ascii="Roboto" w:hAnsi="Roboto" w:cs="Arial"/>
          <w:b/>
          <w:bCs/>
          <w:lang w:val="en-GB"/>
        </w:rPr>
        <w:t>Rights to water and to sanitation</w:t>
      </w:r>
    </w:p>
    <w:p w14:paraId="142015EF" w14:textId="2094C026" w:rsidR="00B25B81" w:rsidRPr="003D2C5B" w:rsidRDefault="00B25B81" w:rsidP="00B25B81">
      <w:pPr>
        <w:ind w:right="284"/>
        <w:jc w:val="both"/>
        <w:rPr>
          <w:rFonts w:ascii="Roboto" w:hAnsi="Roboto" w:cs="Arial"/>
          <w:lang w:val="en-GB"/>
        </w:rPr>
      </w:pPr>
      <w:r w:rsidRPr="003D2C5B">
        <w:rPr>
          <w:rFonts w:ascii="Roboto" w:hAnsi="Roboto" w:cs="Arial"/>
          <w:lang w:val="en-GB"/>
        </w:rPr>
        <w:t>34.The Committee notes the steps taken by the State party to improve access to safe water and sanitation but remains concerned about the disparity between rural and urban areas in access to safe drinking water and sanitation, including in schools. While also noting a range of initiatives taken to reduce water pollution, the Committee is concerned that such pollution continues to be a serious problem, in particular in connection with mining activities, and that it is linked to above-average rates of babies born with disabilities in some areas. The Committee also regrets the insufficient amount of clear information available to the public about drinking water quality (arts. 11–12).</w:t>
      </w:r>
    </w:p>
    <w:p w14:paraId="2DF622C1" w14:textId="0C47264B" w:rsidR="00B25B81" w:rsidRPr="003D2C5B" w:rsidRDefault="00B25B81" w:rsidP="00B25B81">
      <w:pPr>
        <w:ind w:right="284"/>
        <w:jc w:val="both"/>
        <w:rPr>
          <w:rFonts w:ascii="Roboto" w:hAnsi="Roboto" w:cs="Arial"/>
          <w:b/>
          <w:bCs/>
          <w:lang w:val="en-GB"/>
        </w:rPr>
      </w:pPr>
      <w:r w:rsidRPr="003D2C5B">
        <w:rPr>
          <w:rFonts w:ascii="Roboto" w:hAnsi="Roboto" w:cs="Arial"/>
          <w:b/>
          <w:bCs/>
          <w:lang w:val="en-GB"/>
        </w:rPr>
        <w:t>35.The Committee urges the State party to take further measures and provide sufficient financial resources to ensure access to safe drinking water and sanitation for everyone in the State party, including in rural areas and in all schools. The Committee also urges the State party to take further measures to address the impact of water and soil pollution, in particular pollution resulting from mining activities. The Committee further recommends that the State party ensure the availability to the public of clear information about drinking water quality and raise awareness among the public on where to find such information.</w:t>
      </w:r>
    </w:p>
    <w:p w14:paraId="03E91D79" w14:textId="77777777" w:rsidR="00B25B81" w:rsidRPr="003D2C5B" w:rsidRDefault="00B25B81" w:rsidP="00B25B81">
      <w:pPr>
        <w:ind w:right="284"/>
        <w:jc w:val="both"/>
        <w:rPr>
          <w:rFonts w:ascii="Roboto" w:hAnsi="Roboto" w:cs="Arial"/>
          <w:b/>
          <w:bCs/>
          <w:lang w:val="en-GB"/>
        </w:rPr>
      </w:pPr>
    </w:p>
    <w:p w14:paraId="082FED2F" w14:textId="77777777" w:rsidR="00B25B81" w:rsidRPr="003D2C5B" w:rsidRDefault="00B25B81" w:rsidP="00B25B81">
      <w:pPr>
        <w:ind w:right="284"/>
        <w:jc w:val="both"/>
        <w:rPr>
          <w:rFonts w:ascii="Roboto" w:hAnsi="Roboto" w:cs="Arial"/>
          <w:b/>
          <w:bCs/>
          <w:lang w:val="en-GB"/>
        </w:rPr>
      </w:pPr>
      <w:r w:rsidRPr="003D2C5B">
        <w:rPr>
          <w:rFonts w:ascii="Roboto" w:hAnsi="Roboto" w:cs="Arial"/>
          <w:b/>
          <w:bCs/>
          <w:lang w:val="en-GB"/>
        </w:rPr>
        <w:t>Right to education</w:t>
      </w:r>
    </w:p>
    <w:p w14:paraId="31AAE410" w14:textId="3FD5E88C" w:rsidR="00B25B81" w:rsidRPr="003D2C5B" w:rsidRDefault="00B25B81" w:rsidP="00B25B81">
      <w:pPr>
        <w:ind w:right="284"/>
        <w:jc w:val="both"/>
        <w:rPr>
          <w:rFonts w:ascii="Roboto" w:hAnsi="Roboto" w:cs="Arial"/>
          <w:lang w:val="en-GB"/>
        </w:rPr>
      </w:pPr>
      <w:r w:rsidRPr="003D2C5B">
        <w:rPr>
          <w:rFonts w:ascii="Roboto" w:hAnsi="Roboto" w:cs="Arial"/>
          <w:lang w:val="en-GB"/>
        </w:rPr>
        <w:t>44.The Committee notes the various steps taken by the State party to promote inclusive education. It is nonetheless concerned about reports that barriers to the inclusion of some children with disabilities in mainstream schools remain, including with respect to financial resources. The Committee is also concerned about reports that education in some rural areas is of a lower quality than in urban areas (arts. 13–14).</w:t>
      </w:r>
    </w:p>
    <w:p w14:paraId="099CC7B8" w14:textId="54AC4600" w:rsidR="00B25B81" w:rsidRPr="003D2C5B" w:rsidRDefault="00B25B81" w:rsidP="00B25B81">
      <w:pPr>
        <w:ind w:right="284"/>
        <w:jc w:val="both"/>
        <w:rPr>
          <w:rFonts w:ascii="Roboto" w:hAnsi="Roboto" w:cs="Arial"/>
          <w:b/>
          <w:bCs/>
          <w:lang w:val="en-GB"/>
        </w:rPr>
      </w:pPr>
      <w:r w:rsidRPr="003D2C5B">
        <w:rPr>
          <w:rFonts w:ascii="Roboto" w:hAnsi="Roboto" w:cs="Arial"/>
          <w:b/>
          <w:bCs/>
          <w:lang w:val="en-GB"/>
        </w:rPr>
        <w:t>45.The Committee recommends that the State party intensify its efforts to achieve universal access to quality education at all levels, including by:</w:t>
      </w:r>
    </w:p>
    <w:p w14:paraId="5EA68B53" w14:textId="70066176" w:rsidR="00B25B81" w:rsidRPr="003D2C5B" w:rsidRDefault="00B25B81" w:rsidP="00B25B81">
      <w:pPr>
        <w:ind w:right="284"/>
        <w:jc w:val="both"/>
        <w:rPr>
          <w:rFonts w:ascii="Roboto" w:hAnsi="Roboto" w:cs="Arial"/>
          <w:b/>
          <w:bCs/>
          <w:lang w:val="en-GB"/>
        </w:rPr>
      </w:pPr>
      <w:r w:rsidRPr="003D2C5B">
        <w:rPr>
          <w:rFonts w:ascii="Roboto" w:hAnsi="Roboto" w:cs="Arial"/>
          <w:b/>
          <w:bCs/>
          <w:lang w:val="en-GB"/>
        </w:rPr>
        <w:t>(a)Taking further measures to effectively implement inclusive education, including by ensuring that standards and procedures for inclusive education are developed and effectively applied;</w:t>
      </w:r>
    </w:p>
    <w:p w14:paraId="284E6AE2" w14:textId="77777777" w:rsidR="00B25B81" w:rsidRPr="003D2C5B" w:rsidRDefault="00B25B81" w:rsidP="00B25B81">
      <w:pPr>
        <w:ind w:right="284"/>
        <w:jc w:val="both"/>
        <w:rPr>
          <w:rFonts w:ascii="Roboto" w:hAnsi="Roboto" w:cs="Arial"/>
          <w:b/>
          <w:bCs/>
          <w:lang w:val="en-GB"/>
        </w:rPr>
      </w:pPr>
    </w:p>
    <w:p w14:paraId="49ADB287" w14:textId="68EF6592" w:rsidR="008C7C91" w:rsidRPr="003D2C5B" w:rsidRDefault="00B25B81" w:rsidP="000429D7">
      <w:pPr>
        <w:pStyle w:val="Heading1"/>
        <w:spacing w:before="0" w:after="240"/>
        <w:ind w:right="284"/>
        <w:rPr>
          <w:rFonts w:ascii="Roboto" w:hAnsi="Roboto"/>
          <w:color w:val="auto"/>
          <w:sz w:val="24"/>
          <w:szCs w:val="24"/>
          <w:lang w:val="en-GB"/>
        </w:rPr>
      </w:pPr>
      <w:bookmarkStart w:id="5" w:name="_Toc152001854"/>
      <w:r w:rsidRPr="003D2C5B">
        <w:rPr>
          <w:rFonts w:ascii="Roboto" w:hAnsi="Roboto"/>
          <w:b/>
          <w:bCs/>
          <w:color w:val="auto"/>
          <w:sz w:val="24"/>
          <w:szCs w:val="24"/>
          <w:lang w:val="en-GB"/>
        </w:rPr>
        <w:t>ITALY</w:t>
      </w:r>
      <w:r w:rsidR="00DB2539" w:rsidRPr="003D2C5B">
        <w:rPr>
          <w:rFonts w:ascii="Roboto" w:hAnsi="Roboto"/>
          <w:b/>
          <w:bCs/>
          <w:color w:val="auto"/>
          <w:sz w:val="24"/>
          <w:szCs w:val="24"/>
          <w:lang w:val="en-GB"/>
        </w:rPr>
        <w:t xml:space="preserve"> </w:t>
      </w:r>
      <w:r w:rsidR="00393B67" w:rsidRPr="003D2C5B">
        <w:rPr>
          <w:rFonts w:ascii="Roboto" w:hAnsi="Roboto"/>
          <w:b/>
          <w:bCs/>
          <w:color w:val="auto"/>
          <w:sz w:val="24"/>
          <w:szCs w:val="24"/>
          <w:lang w:val="en-GB"/>
        </w:rPr>
        <w:t>-</w:t>
      </w:r>
      <w:r w:rsidR="00393B67" w:rsidRPr="003D2C5B">
        <w:rPr>
          <w:rFonts w:ascii="Times New Roman" w:eastAsia="Times New Roman" w:hAnsi="Times New Roman" w:cs="Times New Roman"/>
          <w:b/>
          <w:bCs/>
          <w:color w:val="auto"/>
          <w:sz w:val="24"/>
          <w:szCs w:val="24"/>
          <w:lang w:val="en-GB"/>
        </w:rPr>
        <w:t xml:space="preserve"> </w:t>
      </w:r>
      <w:r w:rsidR="001F5738" w:rsidRPr="003D2C5B">
        <w:rPr>
          <w:rFonts w:ascii="Roboto" w:hAnsi="Roboto"/>
          <w:b/>
          <w:bCs/>
          <w:color w:val="auto"/>
          <w:sz w:val="24"/>
          <w:szCs w:val="24"/>
          <w:lang w:val="en-GB"/>
        </w:rPr>
        <w:t>E/C.12/SRB/CO/3</w:t>
      </w:r>
      <w:bookmarkEnd w:id="5"/>
    </w:p>
    <w:p w14:paraId="38DD2897" w14:textId="77777777" w:rsidR="00EE7D0B" w:rsidRPr="003D2C5B" w:rsidRDefault="00EE7D0B" w:rsidP="00EE7D0B">
      <w:pPr>
        <w:ind w:right="284"/>
        <w:jc w:val="both"/>
        <w:rPr>
          <w:rFonts w:ascii="Roboto" w:eastAsia="Calibri" w:hAnsi="Roboto" w:cs="Arial"/>
          <w:b/>
          <w:lang w:val="en-GB"/>
        </w:rPr>
      </w:pPr>
      <w:r w:rsidRPr="003D2C5B">
        <w:rPr>
          <w:rFonts w:ascii="Roboto" w:eastAsia="Calibri" w:hAnsi="Roboto" w:cs="Arial"/>
          <w:b/>
          <w:lang w:val="en-GB"/>
        </w:rPr>
        <w:t xml:space="preserve">Persons with disabilities </w:t>
      </w:r>
    </w:p>
    <w:p w14:paraId="176B06AB" w14:textId="21C83B42" w:rsidR="00EE7D0B" w:rsidRPr="003D2C5B" w:rsidRDefault="00EE7D0B" w:rsidP="00EE7D0B">
      <w:pPr>
        <w:ind w:right="284"/>
        <w:jc w:val="both"/>
        <w:rPr>
          <w:rFonts w:ascii="Roboto" w:eastAsia="Calibri" w:hAnsi="Roboto" w:cs="Arial"/>
          <w:bCs/>
          <w:lang w:val="en-GB"/>
        </w:rPr>
      </w:pPr>
      <w:r w:rsidRPr="003D2C5B">
        <w:rPr>
          <w:rFonts w:ascii="Roboto" w:eastAsia="Calibri" w:hAnsi="Roboto" w:cs="Arial"/>
          <w:bCs/>
          <w:lang w:val="en-GB"/>
        </w:rPr>
        <w:t>29.</w:t>
      </w:r>
      <w:r w:rsidR="00CC2F8A">
        <w:rPr>
          <w:rFonts w:ascii="Roboto" w:eastAsia="Calibri" w:hAnsi="Roboto" w:cs="Arial"/>
          <w:bCs/>
          <w:lang w:val="en-GB"/>
        </w:rPr>
        <w:t xml:space="preserve"> </w:t>
      </w:r>
      <w:r w:rsidRPr="003D2C5B">
        <w:rPr>
          <w:rFonts w:ascii="Roboto" w:eastAsia="Calibri" w:hAnsi="Roboto" w:cs="Arial"/>
          <w:bCs/>
          <w:lang w:val="en-GB"/>
        </w:rPr>
        <w:t xml:space="preserve">The Committee shares the concerns of the Committee on the Rights of Persons with Disabilities that national legislation lacks a definition of reasonable accommodation and does not include an explicit recognition that the denial of reasonable accommodation constitutes disability-based </w:t>
      </w:r>
      <w:r w:rsidR="00CC2F8A" w:rsidRPr="003D2C5B">
        <w:rPr>
          <w:rFonts w:ascii="Roboto" w:eastAsia="Calibri" w:hAnsi="Roboto" w:cs="Arial"/>
          <w:bCs/>
          <w:lang w:val="en-GB"/>
        </w:rPr>
        <w:t>discrimination, and</w:t>
      </w:r>
      <w:r w:rsidRPr="003D2C5B">
        <w:rPr>
          <w:rFonts w:ascii="Roboto" w:eastAsia="Calibri" w:hAnsi="Roboto" w:cs="Arial"/>
          <w:bCs/>
          <w:lang w:val="en-GB"/>
        </w:rPr>
        <w:t xml:space="preserve"> that social protection programmes do not meet the requirements of persons with disabilities (art. 2 (2)). </w:t>
      </w:r>
    </w:p>
    <w:p w14:paraId="26EC69DF" w14:textId="19962746" w:rsidR="00EE7D0B" w:rsidRPr="003D2C5B" w:rsidRDefault="00EE7D0B" w:rsidP="00EE7D0B">
      <w:pPr>
        <w:ind w:right="284"/>
        <w:jc w:val="both"/>
        <w:rPr>
          <w:rFonts w:ascii="Roboto" w:eastAsia="Calibri" w:hAnsi="Roboto" w:cs="Arial"/>
          <w:b/>
          <w:lang w:val="en-GB"/>
        </w:rPr>
      </w:pPr>
      <w:r w:rsidRPr="003D2C5B">
        <w:rPr>
          <w:rFonts w:ascii="Roboto" w:eastAsia="Calibri" w:hAnsi="Roboto" w:cs="Arial"/>
          <w:b/>
          <w:lang w:val="en-GB"/>
        </w:rPr>
        <w:t>30.</w:t>
      </w:r>
      <w:r w:rsidR="00CC2F8A">
        <w:rPr>
          <w:rFonts w:ascii="Roboto" w:eastAsia="Calibri" w:hAnsi="Roboto" w:cs="Arial"/>
          <w:b/>
          <w:lang w:val="en-GB"/>
        </w:rPr>
        <w:t xml:space="preserve"> </w:t>
      </w:r>
      <w:r w:rsidRPr="003D2C5B">
        <w:rPr>
          <w:rFonts w:ascii="Roboto" w:eastAsia="Calibri" w:hAnsi="Roboto" w:cs="Arial"/>
          <w:b/>
          <w:lang w:val="en-GB"/>
        </w:rPr>
        <w:t xml:space="preserve">The Committee recommends that the State party enact legislation that explicitly recognize the denial of reasonable accommodation as disability-based discrimination across all areas of life, including within public and private sectors, as also recommended </w:t>
      </w:r>
      <w:r w:rsidRPr="003D2C5B">
        <w:rPr>
          <w:rFonts w:ascii="Roboto" w:eastAsia="Calibri" w:hAnsi="Roboto" w:cs="Arial"/>
          <w:b/>
          <w:lang w:val="en-GB"/>
        </w:rPr>
        <w:lastRenderedPageBreak/>
        <w:t>by the Committee on the Rights of Persons with Disabilities.  The Committee also recommends that the State party ensure that social protection programmes meet the requirements of the diverse range of persons with disabilities on an equal basis with others, as required by the Committee on the Rights of Persons with Disabilities.</w:t>
      </w:r>
    </w:p>
    <w:p w14:paraId="12641936" w14:textId="77777777" w:rsidR="00EE7D0B" w:rsidRPr="003D2C5B" w:rsidRDefault="00EE7D0B" w:rsidP="00EE7D0B">
      <w:pPr>
        <w:ind w:right="284"/>
        <w:jc w:val="both"/>
        <w:rPr>
          <w:rFonts w:ascii="Roboto" w:eastAsia="Calibri" w:hAnsi="Roboto" w:cs="Arial"/>
          <w:b/>
          <w:lang w:val="en-GB"/>
        </w:rPr>
      </w:pPr>
    </w:p>
    <w:p w14:paraId="3D579B58" w14:textId="0446B077" w:rsidR="004C0AFC" w:rsidRPr="003D2C5B" w:rsidRDefault="004C0AFC" w:rsidP="004C0AFC">
      <w:pPr>
        <w:ind w:right="284"/>
        <w:jc w:val="both"/>
        <w:rPr>
          <w:rFonts w:ascii="Roboto" w:eastAsia="Calibri" w:hAnsi="Roboto" w:cs="Arial"/>
          <w:b/>
          <w:lang w:val="en-GB"/>
        </w:rPr>
      </w:pPr>
      <w:r w:rsidRPr="003D2C5B">
        <w:rPr>
          <w:rFonts w:ascii="Roboto" w:eastAsia="Calibri" w:hAnsi="Roboto" w:cs="Arial"/>
          <w:b/>
          <w:lang w:val="en-GB"/>
        </w:rPr>
        <w:t>Unemployment</w:t>
      </w:r>
    </w:p>
    <w:p w14:paraId="64EF4D58" w14:textId="077F0CD5" w:rsidR="004C0AFC" w:rsidRPr="003D2C5B" w:rsidRDefault="004C0AFC" w:rsidP="004C0AFC">
      <w:pPr>
        <w:ind w:right="284"/>
        <w:jc w:val="both"/>
        <w:rPr>
          <w:rFonts w:ascii="Roboto" w:eastAsia="Calibri" w:hAnsi="Roboto" w:cs="Arial"/>
          <w:bCs/>
          <w:lang w:val="en-GB"/>
        </w:rPr>
      </w:pPr>
      <w:r w:rsidRPr="003D2C5B">
        <w:rPr>
          <w:rFonts w:ascii="Roboto" w:eastAsia="Calibri" w:hAnsi="Roboto" w:cs="Arial"/>
          <w:bCs/>
          <w:lang w:val="en-GB"/>
        </w:rPr>
        <w:t>35.The Committee is particularly concerned that the youth unemployment rate for women has recently increased and remains stagnant compared to the last periodic report.  The Committee remains concerned that the unemployment rate remains high in the State party for the youth, persons with disabilities, in the southern regions and on the islands (art. 6).</w:t>
      </w:r>
    </w:p>
    <w:p w14:paraId="280B0E4D" w14:textId="287F6504" w:rsidR="000429D7" w:rsidRDefault="004C0AFC" w:rsidP="004C0AFC">
      <w:pPr>
        <w:ind w:right="284"/>
        <w:jc w:val="both"/>
        <w:rPr>
          <w:rFonts w:ascii="Roboto" w:eastAsia="Calibri" w:hAnsi="Roboto" w:cs="Arial"/>
          <w:b/>
          <w:lang w:val="en-GB"/>
        </w:rPr>
      </w:pPr>
      <w:r w:rsidRPr="003D2C5B">
        <w:rPr>
          <w:rFonts w:ascii="Roboto" w:eastAsia="Calibri" w:hAnsi="Roboto" w:cs="Arial"/>
          <w:b/>
          <w:lang w:val="en-GB"/>
        </w:rPr>
        <w:t>36.Recalling its recommendations, the Committee recommends that the State party increase its efforts to address unemployment, for example by implementing targeted public sector employment schemes paying particular attention to the youth and in particular to young women, persons with disabilities, and by expanding localized employment programmes in the Southern provinces and on the islands.</w:t>
      </w:r>
    </w:p>
    <w:p w14:paraId="3ABD33F5" w14:textId="77777777" w:rsidR="004C0AFC" w:rsidRPr="00F67CCA" w:rsidRDefault="004C0AFC" w:rsidP="004C0AFC">
      <w:pPr>
        <w:ind w:right="284"/>
        <w:jc w:val="both"/>
        <w:rPr>
          <w:rFonts w:ascii="Roboto" w:hAnsi="Roboto" w:cs="Arial"/>
          <w:b/>
          <w:lang w:val="en-GB"/>
        </w:rPr>
      </w:pPr>
    </w:p>
    <w:p w14:paraId="31D126DD" w14:textId="77777777" w:rsidR="00C475E6" w:rsidRPr="00F67CCA" w:rsidRDefault="00C475E6" w:rsidP="000429D7">
      <w:pPr>
        <w:ind w:right="284"/>
        <w:jc w:val="both"/>
        <w:rPr>
          <w:rFonts w:ascii="Roboto" w:hAnsi="Roboto" w:cs="Arial"/>
          <w:lang w:val="en-GB"/>
        </w:rPr>
      </w:pPr>
    </w:p>
    <w:sectPr w:rsidR="00C475E6" w:rsidRPr="00F67CCA" w:rsidSect="00DF75BC">
      <w:footerReference w:type="default" r:id="rId10"/>
      <w:pgSz w:w="11900" w:h="16840"/>
      <w:pgMar w:top="1440" w:right="1080" w:bottom="1440" w:left="108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D199DA" w14:textId="77777777" w:rsidR="00EB74B7" w:rsidRDefault="00EB74B7" w:rsidP="00924E29">
      <w:r>
        <w:separator/>
      </w:r>
    </w:p>
  </w:endnote>
  <w:endnote w:type="continuationSeparator" w:id="0">
    <w:p w14:paraId="372EA252" w14:textId="77777777" w:rsidR="00EB74B7" w:rsidRDefault="00EB74B7" w:rsidP="00924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Roboto">
    <w:altName w:val="Roboto"/>
    <w:charset w:val="00"/>
    <w:family w:val="auto"/>
    <w:pitch w:val="variable"/>
    <w:sig w:usb0="E0000AFF"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9355028"/>
      <w:docPartObj>
        <w:docPartGallery w:val="Page Numbers (Bottom of Page)"/>
        <w:docPartUnique/>
      </w:docPartObj>
    </w:sdtPr>
    <w:sdtEndPr>
      <w:rPr>
        <w:noProof/>
      </w:rPr>
    </w:sdtEndPr>
    <w:sdtContent>
      <w:p w14:paraId="33101B6B" w14:textId="671B19E2" w:rsidR="000A1957" w:rsidRDefault="000A195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7EA0D14" w14:textId="77777777" w:rsidR="000A1957" w:rsidRDefault="000A19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D452B1" w14:textId="77777777" w:rsidR="00EB74B7" w:rsidRDefault="00EB74B7" w:rsidP="00924E29">
      <w:r>
        <w:separator/>
      </w:r>
    </w:p>
  </w:footnote>
  <w:footnote w:type="continuationSeparator" w:id="0">
    <w:p w14:paraId="7CBBA35A" w14:textId="77777777" w:rsidR="00EB74B7" w:rsidRDefault="00EB74B7" w:rsidP="00924E29">
      <w:r>
        <w:continuationSeparator/>
      </w:r>
    </w:p>
  </w:footnote>
  <w:footnote w:id="1">
    <w:p w14:paraId="60D32CDE" w14:textId="77777777" w:rsidR="00267E66" w:rsidRPr="00B15E4F" w:rsidRDefault="00267E66" w:rsidP="00267E66">
      <w:pPr>
        <w:pStyle w:val="FootnoteText"/>
      </w:pPr>
      <w:r w:rsidRPr="00B15E4F">
        <w:tab/>
      </w:r>
      <w:r w:rsidRPr="00B15E4F">
        <w:rPr>
          <w:rStyle w:val="FootnoteReference"/>
        </w:rPr>
        <w:footnoteRef/>
      </w:r>
      <w:r w:rsidRPr="00B15E4F">
        <w:rPr>
          <w:rStyle w:val="FootnoteReference"/>
        </w:rPr>
        <w:tab/>
      </w:r>
      <w:hyperlink r:id="rId1" w:history="1">
        <w:r w:rsidRPr="00B15E4F">
          <w:rPr>
            <w:rStyle w:val="Hyperlink"/>
          </w:rPr>
          <w:t>E/C.12/SLV/CO/3-5</w:t>
        </w:r>
      </w:hyperlink>
      <w:r w:rsidRPr="00B15E4F">
        <w:t>, para. 9.</w:t>
      </w:r>
    </w:p>
  </w:footnote>
  <w:footnote w:id="2">
    <w:p w14:paraId="291C7ACA" w14:textId="77777777" w:rsidR="00267E66" w:rsidRPr="00715F2D" w:rsidRDefault="00267E66" w:rsidP="00267E66">
      <w:pPr>
        <w:pStyle w:val="FootnoteText"/>
        <w:rPr>
          <w:lang w:val="es-ES"/>
        </w:rPr>
      </w:pPr>
      <w:r w:rsidRPr="00715F2D">
        <w:rPr>
          <w:lang w:val="es-ES"/>
        </w:rPr>
        <w:tab/>
      </w:r>
      <w:r w:rsidRPr="007F5D9B">
        <w:rPr>
          <w:rStyle w:val="FootnoteReference"/>
        </w:rPr>
        <w:footnoteRef/>
      </w:r>
      <w:r>
        <w:rPr>
          <w:lang w:val="es-ES"/>
        </w:rPr>
        <w:tab/>
      </w:r>
      <w:hyperlink r:id="rId2" w:history="1">
        <w:r>
          <w:rPr>
            <w:rStyle w:val="Hyperlink"/>
          </w:rPr>
          <w:t>E/C.12/2018/1</w:t>
        </w:r>
      </w:hyperlink>
      <w:r w:rsidRPr="00715F2D">
        <w:rPr>
          <w:lang w:val="es-ES"/>
        </w:rPr>
        <w:t>.</w:t>
      </w:r>
    </w:p>
  </w:footnote>
  <w:footnote w:id="3">
    <w:p w14:paraId="449F5C8B" w14:textId="77777777" w:rsidR="00267E66" w:rsidRPr="00715F2D" w:rsidRDefault="00267E66" w:rsidP="00267E66">
      <w:pPr>
        <w:pStyle w:val="FootnoteText"/>
        <w:rPr>
          <w:lang w:val="es-ES"/>
        </w:rPr>
      </w:pPr>
      <w:r w:rsidRPr="00715F2D">
        <w:rPr>
          <w:lang w:val="es-ES"/>
        </w:rPr>
        <w:tab/>
      </w:r>
      <w:r w:rsidRPr="007F5D9B">
        <w:rPr>
          <w:rStyle w:val="FootnoteReference"/>
        </w:rPr>
        <w:footnoteRef/>
      </w:r>
      <w:r>
        <w:rPr>
          <w:lang w:val="es-ES"/>
        </w:rPr>
        <w:tab/>
      </w:r>
      <w:hyperlink r:id="rId3" w:history="1">
        <w:r>
          <w:rPr>
            <w:rStyle w:val="Hyperlink"/>
          </w:rPr>
          <w:t>HRI/2019/1</w:t>
        </w:r>
      </w:hyperlink>
      <w:r w:rsidRPr="00715F2D">
        <w:rPr>
          <w:lang w:val="es-ES"/>
        </w:rPr>
        <w:t>.</w:t>
      </w:r>
    </w:p>
  </w:footnote>
  <w:footnote w:id="4">
    <w:p w14:paraId="6B484027" w14:textId="77777777" w:rsidR="00267E66" w:rsidRPr="00715F2D" w:rsidRDefault="00267E66" w:rsidP="00267E66">
      <w:pPr>
        <w:pStyle w:val="FootnoteText"/>
        <w:rPr>
          <w:lang w:val="es-ES"/>
        </w:rPr>
      </w:pPr>
      <w:r w:rsidRPr="00715F2D">
        <w:rPr>
          <w:lang w:val="es-ES"/>
        </w:rPr>
        <w:tab/>
      </w:r>
      <w:r w:rsidRPr="007F5D9B">
        <w:rPr>
          <w:rStyle w:val="FootnoteReference"/>
        </w:rPr>
        <w:footnoteRef/>
      </w:r>
      <w:r w:rsidRPr="00715F2D">
        <w:rPr>
          <w:lang w:val="es-ES"/>
        </w:rPr>
        <w:tab/>
      </w:r>
      <w:hyperlink r:id="rId4" w:history="1">
        <w:r>
          <w:rPr>
            <w:rStyle w:val="Hyperlink"/>
          </w:rPr>
          <w:t>E/C.12/2017/1</w:t>
        </w:r>
      </w:hyperlink>
      <w:r w:rsidRPr="00715F2D">
        <w:rPr>
          <w:lang w:val="es-ES"/>
        </w:rPr>
        <w:t xml:space="preserve">. </w:t>
      </w:r>
    </w:p>
  </w:footnote>
  <w:footnote w:id="5">
    <w:p w14:paraId="4CEA5073" w14:textId="77777777" w:rsidR="00B25B81" w:rsidRPr="0063710F" w:rsidRDefault="00B25B81" w:rsidP="00B25B81">
      <w:pPr>
        <w:pStyle w:val="FootnoteText"/>
        <w:rPr>
          <w:lang w:val="es-ES"/>
        </w:rPr>
      </w:pPr>
      <w:r>
        <w:rPr>
          <w:lang w:val="es-ES"/>
        </w:rPr>
        <w:tab/>
      </w:r>
      <w:r w:rsidRPr="00D86CE9">
        <w:rPr>
          <w:rStyle w:val="FootnoteReference"/>
        </w:rPr>
        <w:footnoteRef/>
      </w:r>
      <w:r w:rsidRPr="009279C2">
        <w:tab/>
      </w:r>
      <w:hyperlink r:id="rId5" w:history="1">
        <w:r>
          <w:rPr>
            <w:rStyle w:val="Hyperlink"/>
            <w:lang w:val="es-ES"/>
          </w:rPr>
          <w:t>E/C.12/MNG/CO/4</w:t>
        </w:r>
      </w:hyperlink>
      <w:r w:rsidRPr="0063710F">
        <w:t>,</w:t>
      </w:r>
      <w:r w:rsidRPr="0063710F">
        <w:rPr>
          <w:lang w:val="es-ES"/>
        </w:rPr>
        <w:t xml:space="preserve"> para. 12.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05C97"/>
    <w:multiLevelType w:val="hybridMultilevel"/>
    <w:tmpl w:val="AE0A3A94"/>
    <w:lvl w:ilvl="0" w:tplc="399A5C98">
      <w:start w:val="66"/>
      <w:numFmt w:val="decimal"/>
      <w:lvlText w:val="%1."/>
      <w:lvlJc w:val="left"/>
      <w:pPr>
        <w:ind w:left="4329" w:hanging="360"/>
      </w:pPr>
      <w:rPr>
        <w:rFonts w:hint="default"/>
      </w:rPr>
    </w:lvl>
    <w:lvl w:ilvl="1" w:tplc="20000019" w:tentative="1">
      <w:start w:val="1"/>
      <w:numFmt w:val="lowerLetter"/>
      <w:lvlText w:val="%2."/>
      <w:lvlJc w:val="left"/>
      <w:pPr>
        <w:ind w:left="5049" w:hanging="360"/>
      </w:pPr>
    </w:lvl>
    <w:lvl w:ilvl="2" w:tplc="2000001B" w:tentative="1">
      <w:start w:val="1"/>
      <w:numFmt w:val="lowerRoman"/>
      <w:lvlText w:val="%3."/>
      <w:lvlJc w:val="right"/>
      <w:pPr>
        <w:ind w:left="5769" w:hanging="180"/>
      </w:pPr>
    </w:lvl>
    <w:lvl w:ilvl="3" w:tplc="2000000F" w:tentative="1">
      <w:start w:val="1"/>
      <w:numFmt w:val="decimal"/>
      <w:lvlText w:val="%4."/>
      <w:lvlJc w:val="left"/>
      <w:pPr>
        <w:ind w:left="6489" w:hanging="360"/>
      </w:pPr>
    </w:lvl>
    <w:lvl w:ilvl="4" w:tplc="20000019" w:tentative="1">
      <w:start w:val="1"/>
      <w:numFmt w:val="lowerLetter"/>
      <w:lvlText w:val="%5."/>
      <w:lvlJc w:val="left"/>
      <w:pPr>
        <w:ind w:left="7209" w:hanging="360"/>
      </w:pPr>
    </w:lvl>
    <w:lvl w:ilvl="5" w:tplc="2000001B" w:tentative="1">
      <w:start w:val="1"/>
      <w:numFmt w:val="lowerRoman"/>
      <w:lvlText w:val="%6."/>
      <w:lvlJc w:val="right"/>
      <w:pPr>
        <w:ind w:left="7929" w:hanging="180"/>
      </w:pPr>
    </w:lvl>
    <w:lvl w:ilvl="6" w:tplc="2000000F" w:tentative="1">
      <w:start w:val="1"/>
      <w:numFmt w:val="decimal"/>
      <w:lvlText w:val="%7."/>
      <w:lvlJc w:val="left"/>
      <w:pPr>
        <w:ind w:left="8649" w:hanging="360"/>
      </w:pPr>
    </w:lvl>
    <w:lvl w:ilvl="7" w:tplc="20000019" w:tentative="1">
      <w:start w:val="1"/>
      <w:numFmt w:val="lowerLetter"/>
      <w:lvlText w:val="%8."/>
      <w:lvlJc w:val="left"/>
      <w:pPr>
        <w:ind w:left="9369" w:hanging="360"/>
      </w:pPr>
    </w:lvl>
    <w:lvl w:ilvl="8" w:tplc="2000001B" w:tentative="1">
      <w:start w:val="1"/>
      <w:numFmt w:val="lowerRoman"/>
      <w:lvlText w:val="%9."/>
      <w:lvlJc w:val="right"/>
      <w:pPr>
        <w:ind w:left="10089" w:hanging="180"/>
      </w:pPr>
    </w:lvl>
  </w:abstractNum>
  <w:abstractNum w:abstractNumId="1" w15:restartNumberingAfterBreak="0">
    <w:nsid w:val="05A24747"/>
    <w:multiLevelType w:val="hybridMultilevel"/>
    <w:tmpl w:val="5BF8C31A"/>
    <w:lvl w:ilvl="0" w:tplc="95D243A4">
      <w:start w:val="40"/>
      <w:numFmt w:val="decimal"/>
      <w:lvlText w:val="%1."/>
      <w:lvlJc w:val="left"/>
      <w:pPr>
        <w:ind w:left="1145" w:hanging="360"/>
      </w:pPr>
      <w:rPr>
        <w:rFonts w:hint="default"/>
      </w:rPr>
    </w:lvl>
    <w:lvl w:ilvl="1" w:tplc="20000019" w:tentative="1">
      <w:start w:val="1"/>
      <w:numFmt w:val="lowerLetter"/>
      <w:lvlText w:val="%2."/>
      <w:lvlJc w:val="left"/>
      <w:pPr>
        <w:ind w:left="1865" w:hanging="360"/>
      </w:pPr>
    </w:lvl>
    <w:lvl w:ilvl="2" w:tplc="2000001B" w:tentative="1">
      <w:start w:val="1"/>
      <w:numFmt w:val="lowerRoman"/>
      <w:lvlText w:val="%3."/>
      <w:lvlJc w:val="right"/>
      <w:pPr>
        <w:ind w:left="2585" w:hanging="180"/>
      </w:pPr>
    </w:lvl>
    <w:lvl w:ilvl="3" w:tplc="2000000F" w:tentative="1">
      <w:start w:val="1"/>
      <w:numFmt w:val="decimal"/>
      <w:lvlText w:val="%4."/>
      <w:lvlJc w:val="left"/>
      <w:pPr>
        <w:ind w:left="3305" w:hanging="360"/>
      </w:pPr>
    </w:lvl>
    <w:lvl w:ilvl="4" w:tplc="20000019" w:tentative="1">
      <w:start w:val="1"/>
      <w:numFmt w:val="lowerLetter"/>
      <w:lvlText w:val="%5."/>
      <w:lvlJc w:val="left"/>
      <w:pPr>
        <w:ind w:left="4025" w:hanging="360"/>
      </w:pPr>
    </w:lvl>
    <w:lvl w:ilvl="5" w:tplc="2000001B" w:tentative="1">
      <w:start w:val="1"/>
      <w:numFmt w:val="lowerRoman"/>
      <w:lvlText w:val="%6."/>
      <w:lvlJc w:val="right"/>
      <w:pPr>
        <w:ind w:left="4745" w:hanging="180"/>
      </w:pPr>
    </w:lvl>
    <w:lvl w:ilvl="6" w:tplc="2000000F" w:tentative="1">
      <w:start w:val="1"/>
      <w:numFmt w:val="decimal"/>
      <w:lvlText w:val="%7."/>
      <w:lvlJc w:val="left"/>
      <w:pPr>
        <w:ind w:left="5465" w:hanging="360"/>
      </w:pPr>
    </w:lvl>
    <w:lvl w:ilvl="7" w:tplc="20000019" w:tentative="1">
      <w:start w:val="1"/>
      <w:numFmt w:val="lowerLetter"/>
      <w:lvlText w:val="%8."/>
      <w:lvlJc w:val="left"/>
      <w:pPr>
        <w:ind w:left="6185" w:hanging="360"/>
      </w:pPr>
    </w:lvl>
    <w:lvl w:ilvl="8" w:tplc="2000001B" w:tentative="1">
      <w:start w:val="1"/>
      <w:numFmt w:val="lowerRoman"/>
      <w:lvlText w:val="%9."/>
      <w:lvlJc w:val="right"/>
      <w:pPr>
        <w:ind w:left="6905" w:hanging="180"/>
      </w:pPr>
    </w:lvl>
  </w:abstractNum>
  <w:abstractNum w:abstractNumId="2" w15:restartNumberingAfterBreak="0">
    <w:nsid w:val="08FF3EFE"/>
    <w:multiLevelType w:val="hybridMultilevel"/>
    <w:tmpl w:val="89DE75F8"/>
    <w:lvl w:ilvl="0" w:tplc="FFFFFFFF">
      <w:start w:val="46"/>
      <w:numFmt w:val="decimal"/>
      <w:lvlText w:val="%1."/>
      <w:lvlJc w:val="left"/>
      <w:pPr>
        <w:ind w:left="643" w:hanging="360"/>
      </w:pPr>
      <w:rPr>
        <w:rFonts w:hint="default"/>
      </w:rPr>
    </w:lvl>
    <w:lvl w:ilvl="1" w:tplc="20000019" w:tentative="1">
      <w:start w:val="1"/>
      <w:numFmt w:val="lowerLetter"/>
      <w:lvlText w:val="%2."/>
      <w:lvlJc w:val="left"/>
      <w:pPr>
        <w:ind w:left="1788" w:hanging="360"/>
      </w:pPr>
    </w:lvl>
    <w:lvl w:ilvl="2" w:tplc="2000001B" w:tentative="1">
      <w:start w:val="1"/>
      <w:numFmt w:val="lowerRoman"/>
      <w:lvlText w:val="%3."/>
      <w:lvlJc w:val="right"/>
      <w:pPr>
        <w:ind w:left="2508" w:hanging="180"/>
      </w:pPr>
    </w:lvl>
    <w:lvl w:ilvl="3" w:tplc="2000000F" w:tentative="1">
      <w:start w:val="1"/>
      <w:numFmt w:val="decimal"/>
      <w:lvlText w:val="%4."/>
      <w:lvlJc w:val="left"/>
      <w:pPr>
        <w:ind w:left="3228" w:hanging="360"/>
      </w:pPr>
    </w:lvl>
    <w:lvl w:ilvl="4" w:tplc="20000019" w:tentative="1">
      <w:start w:val="1"/>
      <w:numFmt w:val="lowerLetter"/>
      <w:lvlText w:val="%5."/>
      <w:lvlJc w:val="left"/>
      <w:pPr>
        <w:ind w:left="3948" w:hanging="360"/>
      </w:pPr>
    </w:lvl>
    <w:lvl w:ilvl="5" w:tplc="2000001B" w:tentative="1">
      <w:start w:val="1"/>
      <w:numFmt w:val="lowerRoman"/>
      <w:lvlText w:val="%6."/>
      <w:lvlJc w:val="right"/>
      <w:pPr>
        <w:ind w:left="4668" w:hanging="180"/>
      </w:pPr>
    </w:lvl>
    <w:lvl w:ilvl="6" w:tplc="2000000F" w:tentative="1">
      <w:start w:val="1"/>
      <w:numFmt w:val="decimal"/>
      <w:lvlText w:val="%7."/>
      <w:lvlJc w:val="left"/>
      <w:pPr>
        <w:ind w:left="5388" w:hanging="360"/>
      </w:pPr>
    </w:lvl>
    <w:lvl w:ilvl="7" w:tplc="20000019" w:tentative="1">
      <w:start w:val="1"/>
      <w:numFmt w:val="lowerLetter"/>
      <w:lvlText w:val="%8."/>
      <w:lvlJc w:val="left"/>
      <w:pPr>
        <w:ind w:left="6108" w:hanging="360"/>
      </w:pPr>
    </w:lvl>
    <w:lvl w:ilvl="8" w:tplc="2000001B" w:tentative="1">
      <w:start w:val="1"/>
      <w:numFmt w:val="lowerRoman"/>
      <w:lvlText w:val="%9."/>
      <w:lvlJc w:val="right"/>
      <w:pPr>
        <w:ind w:left="6828" w:hanging="180"/>
      </w:pPr>
    </w:lvl>
  </w:abstractNum>
  <w:abstractNum w:abstractNumId="3" w15:restartNumberingAfterBreak="0">
    <w:nsid w:val="09941843"/>
    <w:multiLevelType w:val="hybridMultilevel"/>
    <w:tmpl w:val="05805206"/>
    <w:lvl w:ilvl="0" w:tplc="33247788">
      <w:start w:val="1"/>
      <w:numFmt w:val="lowerLetter"/>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4" w15:restartNumberingAfterBreak="0">
    <w:nsid w:val="0A4B0B19"/>
    <w:multiLevelType w:val="hybridMultilevel"/>
    <w:tmpl w:val="CA06D4FE"/>
    <w:lvl w:ilvl="0" w:tplc="FFFFFFFF">
      <w:start w:val="1"/>
      <w:numFmt w:val="decimal"/>
      <w:lvlText w:val="%1."/>
      <w:lvlJc w:val="left"/>
      <w:pPr>
        <w:ind w:left="3054" w:hanging="360"/>
      </w:pPr>
      <w:rPr>
        <w:rFonts w:hint="default"/>
        <w:b w:val="0"/>
        <w:sz w:val="20"/>
        <w:szCs w:val="20"/>
      </w:rPr>
    </w:lvl>
    <w:lvl w:ilvl="1" w:tplc="FFFFFFFF" w:tentative="1">
      <w:start w:val="1"/>
      <w:numFmt w:val="lowerLetter"/>
      <w:lvlText w:val="%2."/>
      <w:lvlJc w:val="left"/>
      <w:pPr>
        <w:ind w:left="2214" w:hanging="360"/>
      </w:pPr>
    </w:lvl>
    <w:lvl w:ilvl="2" w:tplc="FFFFFFFF" w:tentative="1">
      <w:start w:val="1"/>
      <w:numFmt w:val="lowerRoman"/>
      <w:lvlText w:val="%3."/>
      <w:lvlJc w:val="right"/>
      <w:pPr>
        <w:ind w:left="2934" w:hanging="180"/>
      </w:pPr>
    </w:lvl>
    <w:lvl w:ilvl="3" w:tplc="FFFFFFFF" w:tentative="1">
      <w:start w:val="1"/>
      <w:numFmt w:val="decimal"/>
      <w:lvlText w:val="%4."/>
      <w:lvlJc w:val="left"/>
      <w:pPr>
        <w:ind w:left="3654" w:hanging="360"/>
      </w:pPr>
    </w:lvl>
    <w:lvl w:ilvl="4" w:tplc="FFFFFFFF" w:tentative="1">
      <w:start w:val="1"/>
      <w:numFmt w:val="lowerLetter"/>
      <w:lvlText w:val="%5."/>
      <w:lvlJc w:val="left"/>
      <w:pPr>
        <w:ind w:left="4374" w:hanging="360"/>
      </w:pPr>
    </w:lvl>
    <w:lvl w:ilvl="5" w:tplc="FFFFFFFF" w:tentative="1">
      <w:start w:val="1"/>
      <w:numFmt w:val="lowerRoman"/>
      <w:lvlText w:val="%6."/>
      <w:lvlJc w:val="right"/>
      <w:pPr>
        <w:ind w:left="5094" w:hanging="180"/>
      </w:pPr>
    </w:lvl>
    <w:lvl w:ilvl="6" w:tplc="FFFFFFFF" w:tentative="1">
      <w:start w:val="1"/>
      <w:numFmt w:val="decimal"/>
      <w:lvlText w:val="%7."/>
      <w:lvlJc w:val="left"/>
      <w:pPr>
        <w:ind w:left="5814" w:hanging="360"/>
      </w:pPr>
    </w:lvl>
    <w:lvl w:ilvl="7" w:tplc="FFFFFFFF" w:tentative="1">
      <w:start w:val="1"/>
      <w:numFmt w:val="lowerLetter"/>
      <w:lvlText w:val="%8."/>
      <w:lvlJc w:val="left"/>
      <w:pPr>
        <w:ind w:left="6534" w:hanging="360"/>
      </w:pPr>
    </w:lvl>
    <w:lvl w:ilvl="8" w:tplc="FFFFFFFF" w:tentative="1">
      <w:start w:val="1"/>
      <w:numFmt w:val="lowerRoman"/>
      <w:lvlText w:val="%9."/>
      <w:lvlJc w:val="right"/>
      <w:pPr>
        <w:ind w:left="7254" w:hanging="180"/>
      </w:pPr>
    </w:lvl>
  </w:abstractNum>
  <w:abstractNum w:abstractNumId="5" w15:restartNumberingAfterBreak="0">
    <w:nsid w:val="0B986D51"/>
    <w:multiLevelType w:val="hybridMultilevel"/>
    <w:tmpl w:val="39CCBB44"/>
    <w:lvl w:ilvl="0" w:tplc="20F6D468">
      <w:start w:val="14"/>
      <w:numFmt w:val="decimal"/>
      <w:lvlText w:val="%1."/>
      <w:lvlJc w:val="left"/>
      <w:pPr>
        <w:ind w:left="501" w:hanging="360"/>
      </w:pPr>
      <w:rPr>
        <w:rFonts w:hint="default"/>
      </w:rPr>
    </w:lvl>
    <w:lvl w:ilvl="1" w:tplc="20000019" w:tentative="1">
      <w:start w:val="1"/>
      <w:numFmt w:val="lowerLetter"/>
      <w:lvlText w:val="%2."/>
      <w:lvlJc w:val="left"/>
      <w:pPr>
        <w:ind w:left="1221" w:hanging="360"/>
      </w:pPr>
    </w:lvl>
    <w:lvl w:ilvl="2" w:tplc="2000001B" w:tentative="1">
      <w:start w:val="1"/>
      <w:numFmt w:val="lowerRoman"/>
      <w:lvlText w:val="%3."/>
      <w:lvlJc w:val="right"/>
      <w:pPr>
        <w:ind w:left="1941" w:hanging="180"/>
      </w:pPr>
    </w:lvl>
    <w:lvl w:ilvl="3" w:tplc="2000000F" w:tentative="1">
      <w:start w:val="1"/>
      <w:numFmt w:val="decimal"/>
      <w:lvlText w:val="%4."/>
      <w:lvlJc w:val="left"/>
      <w:pPr>
        <w:ind w:left="2661" w:hanging="360"/>
      </w:pPr>
    </w:lvl>
    <w:lvl w:ilvl="4" w:tplc="20000019" w:tentative="1">
      <w:start w:val="1"/>
      <w:numFmt w:val="lowerLetter"/>
      <w:lvlText w:val="%5."/>
      <w:lvlJc w:val="left"/>
      <w:pPr>
        <w:ind w:left="3381" w:hanging="360"/>
      </w:pPr>
    </w:lvl>
    <w:lvl w:ilvl="5" w:tplc="2000001B" w:tentative="1">
      <w:start w:val="1"/>
      <w:numFmt w:val="lowerRoman"/>
      <w:lvlText w:val="%6."/>
      <w:lvlJc w:val="right"/>
      <w:pPr>
        <w:ind w:left="4101" w:hanging="180"/>
      </w:pPr>
    </w:lvl>
    <w:lvl w:ilvl="6" w:tplc="2000000F" w:tentative="1">
      <w:start w:val="1"/>
      <w:numFmt w:val="decimal"/>
      <w:lvlText w:val="%7."/>
      <w:lvlJc w:val="left"/>
      <w:pPr>
        <w:ind w:left="4821" w:hanging="360"/>
      </w:pPr>
    </w:lvl>
    <w:lvl w:ilvl="7" w:tplc="20000019" w:tentative="1">
      <w:start w:val="1"/>
      <w:numFmt w:val="lowerLetter"/>
      <w:lvlText w:val="%8."/>
      <w:lvlJc w:val="left"/>
      <w:pPr>
        <w:ind w:left="5541" w:hanging="360"/>
      </w:pPr>
    </w:lvl>
    <w:lvl w:ilvl="8" w:tplc="2000001B" w:tentative="1">
      <w:start w:val="1"/>
      <w:numFmt w:val="lowerRoman"/>
      <w:lvlText w:val="%9."/>
      <w:lvlJc w:val="right"/>
      <w:pPr>
        <w:ind w:left="6261" w:hanging="180"/>
      </w:pPr>
    </w:lvl>
  </w:abstractNum>
  <w:abstractNum w:abstractNumId="6" w15:restartNumberingAfterBreak="0">
    <w:nsid w:val="171E19D8"/>
    <w:multiLevelType w:val="hybridMultilevel"/>
    <w:tmpl w:val="CB5ACAEC"/>
    <w:lvl w:ilvl="0" w:tplc="CB74DE6A">
      <w:start w:val="14"/>
      <w:numFmt w:val="decimal"/>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7" w15:restartNumberingAfterBreak="0">
    <w:nsid w:val="1A1A1A23"/>
    <w:multiLevelType w:val="hybridMultilevel"/>
    <w:tmpl w:val="562EB8C6"/>
    <w:lvl w:ilvl="0" w:tplc="2000000F">
      <w:start w:val="18"/>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237864B6"/>
    <w:multiLevelType w:val="hybridMultilevel"/>
    <w:tmpl w:val="CA06D4FE"/>
    <w:lvl w:ilvl="0" w:tplc="FFFFFFFF">
      <w:start w:val="1"/>
      <w:numFmt w:val="decimal"/>
      <w:lvlText w:val="%1."/>
      <w:lvlJc w:val="left"/>
      <w:pPr>
        <w:ind w:left="3054" w:hanging="360"/>
      </w:pPr>
      <w:rPr>
        <w:rFonts w:hint="default"/>
        <w:b w:val="0"/>
        <w:sz w:val="20"/>
        <w:szCs w:val="20"/>
      </w:rPr>
    </w:lvl>
    <w:lvl w:ilvl="1" w:tplc="FFFFFFFF" w:tentative="1">
      <w:start w:val="1"/>
      <w:numFmt w:val="lowerLetter"/>
      <w:lvlText w:val="%2."/>
      <w:lvlJc w:val="left"/>
      <w:pPr>
        <w:ind w:left="2214" w:hanging="360"/>
      </w:pPr>
    </w:lvl>
    <w:lvl w:ilvl="2" w:tplc="FFFFFFFF" w:tentative="1">
      <w:start w:val="1"/>
      <w:numFmt w:val="lowerRoman"/>
      <w:lvlText w:val="%3."/>
      <w:lvlJc w:val="right"/>
      <w:pPr>
        <w:ind w:left="2934" w:hanging="180"/>
      </w:pPr>
    </w:lvl>
    <w:lvl w:ilvl="3" w:tplc="FFFFFFFF" w:tentative="1">
      <w:start w:val="1"/>
      <w:numFmt w:val="decimal"/>
      <w:lvlText w:val="%4."/>
      <w:lvlJc w:val="left"/>
      <w:pPr>
        <w:ind w:left="3654" w:hanging="360"/>
      </w:pPr>
    </w:lvl>
    <w:lvl w:ilvl="4" w:tplc="FFFFFFFF" w:tentative="1">
      <w:start w:val="1"/>
      <w:numFmt w:val="lowerLetter"/>
      <w:lvlText w:val="%5."/>
      <w:lvlJc w:val="left"/>
      <w:pPr>
        <w:ind w:left="4374" w:hanging="360"/>
      </w:pPr>
    </w:lvl>
    <w:lvl w:ilvl="5" w:tplc="FFFFFFFF" w:tentative="1">
      <w:start w:val="1"/>
      <w:numFmt w:val="lowerRoman"/>
      <w:lvlText w:val="%6."/>
      <w:lvlJc w:val="right"/>
      <w:pPr>
        <w:ind w:left="5094" w:hanging="180"/>
      </w:pPr>
    </w:lvl>
    <w:lvl w:ilvl="6" w:tplc="FFFFFFFF" w:tentative="1">
      <w:start w:val="1"/>
      <w:numFmt w:val="decimal"/>
      <w:lvlText w:val="%7."/>
      <w:lvlJc w:val="left"/>
      <w:pPr>
        <w:ind w:left="5814" w:hanging="360"/>
      </w:pPr>
    </w:lvl>
    <w:lvl w:ilvl="7" w:tplc="FFFFFFFF" w:tentative="1">
      <w:start w:val="1"/>
      <w:numFmt w:val="lowerLetter"/>
      <w:lvlText w:val="%8."/>
      <w:lvlJc w:val="left"/>
      <w:pPr>
        <w:ind w:left="6534" w:hanging="360"/>
      </w:pPr>
    </w:lvl>
    <w:lvl w:ilvl="8" w:tplc="FFFFFFFF" w:tentative="1">
      <w:start w:val="1"/>
      <w:numFmt w:val="lowerRoman"/>
      <w:lvlText w:val="%9."/>
      <w:lvlJc w:val="right"/>
      <w:pPr>
        <w:ind w:left="7254" w:hanging="180"/>
      </w:pPr>
    </w:lvl>
  </w:abstractNum>
  <w:abstractNum w:abstractNumId="9" w15:restartNumberingAfterBreak="0">
    <w:nsid w:val="24A80584"/>
    <w:multiLevelType w:val="hybridMultilevel"/>
    <w:tmpl w:val="79ECF11A"/>
    <w:lvl w:ilvl="0" w:tplc="399A5C98">
      <w:start w:val="1"/>
      <w:numFmt w:val="decimal"/>
      <w:lvlText w:val="%1."/>
      <w:lvlJc w:val="left"/>
      <w:pPr>
        <w:ind w:left="1854" w:hanging="360"/>
      </w:pPr>
      <w:rPr>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0" w15:restartNumberingAfterBreak="0">
    <w:nsid w:val="2B78457D"/>
    <w:multiLevelType w:val="hybridMultilevel"/>
    <w:tmpl w:val="2DD6C490"/>
    <w:lvl w:ilvl="0" w:tplc="33247788">
      <w:start w:val="1"/>
      <w:numFmt w:val="lowerLetter"/>
      <w:lvlText w:val="(%1)"/>
      <w:lvlJc w:val="left"/>
      <w:pPr>
        <w:ind w:left="501" w:hanging="360"/>
      </w:pPr>
      <w:rPr>
        <w:rFonts w:hint="default"/>
      </w:rPr>
    </w:lvl>
    <w:lvl w:ilvl="1" w:tplc="20000019" w:tentative="1">
      <w:start w:val="1"/>
      <w:numFmt w:val="lowerLetter"/>
      <w:lvlText w:val="%2."/>
      <w:lvlJc w:val="left"/>
      <w:pPr>
        <w:ind w:left="1221" w:hanging="360"/>
      </w:pPr>
    </w:lvl>
    <w:lvl w:ilvl="2" w:tplc="2000001B" w:tentative="1">
      <w:start w:val="1"/>
      <w:numFmt w:val="lowerRoman"/>
      <w:lvlText w:val="%3."/>
      <w:lvlJc w:val="right"/>
      <w:pPr>
        <w:ind w:left="1941" w:hanging="180"/>
      </w:pPr>
    </w:lvl>
    <w:lvl w:ilvl="3" w:tplc="2000000F" w:tentative="1">
      <w:start w:val="1"/>
      <w:numFmt w:val="decimal"/>
      <w:lvlText w:val="%4."/>
      <w:lvlJc w:val="left"/>
      <w:pPr>
        <w:ind w:left="2661" w:hanging="360"/>
      </w:pPr>
    </w:lvl>
    <w:lvl w:ilvl="4" w:tplc="20000019" w:tentative="1">
      <w:start w:val="1"/>
      <w:numFmt w:val="lowerLetter"/>
      <w:lvlText w:val="%5."/>
      <w:lvlJc w:val="left"/>
      <w:pPr>
        <w:ind w:left="3381" w:hanging="360"/>
      </w:pPr>
    </w:lvl>
    <w:lvl w:ilvl="5" w:tplc="2000001B" w:tentative="1">
      <w:start w:val="1"/>
      <w:numFmt w:val="lowerRoman"/>
      <w:lvlText w:val="%6."/>
      <w:lvlJc w:val="right"/>
      <w:pPr>
        <w:ind w:left="4101" w:hanging="180"/>
      </w:pPr>
    </w:lvl>
    <w:lvl w:ilvl="6" w:tplc="2000000F" w:tentative="1">
      <w:start w:val="1"/>
      <w:numFmt w:val="decimal"/>
      <w:lvlText w:val="%7."/>
      <w:lvlJc w:val="left"/>
      <w:pPr>
        <w:ind w:left="4821" w:hanging="360"/>
      </w:pPr>
    </w:lvl>
    <w:lvl w:ilvl="7" w:tplc="20000019" w:tentative="1">
      <w:start w:val="1"/>
      <w:numFmt w:val="lowerLetter"/>
      <w:lvlText w:val="%8."/>
      <w:lvlJc w:val="left"/>
      <w:pPr>
        <w:ind w:left="5541" w:hanging="360"/>
      </w:pPr>
    </w:lvl>
    <w:lvl w:ilvl="8" w:tplc="2000001B" w:tentative="1">
      <w:start w:val="1"/>
      <w:numFmt w:val="lowerRoman"/>
      <w:lvlText w:val="%9."/>
      <w:lvlJc w:val="right"/>
      <w:pPr>
        <w:ind w:left="6261" w:hanging="180"/>
      </w:pPr>
    </w:lvl>
  </w:abstractNum>
  <w:abstractNum w:abstractNumId="11" w15:restartNumberingAfterBreak="0">
    <w:nsid w:val="334631BC"/>
    <w:multiLevelType w:val="hybridMultilevel"/>
    <w:tmpl w:val="1C8C9100"/>
    <w:lvl w:ilvl="0" w:tplc="9E3E2BDC">
      <w:start w:val="40"/>
      <w:numFmt w:val="decimal"/>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12" w15:restartNumberingAfterBreak="0">
    <w:nsid w:val="3BF85B2C"/>
    <w:multiLevelType w:val="hybridMultilevel"/>
    <w:tmpl w:val="D7E62804"/>
    <w:lvl w:ilvl="0" w:tplc="C7302750">
      <w:start w:val="29"/>
      <w:numFmt w:val="decimal"/>
      <w:lvlText w:val="%1."/>
      <w:lvlJc w:val="left"/>
      <w:pPr>
        <w:ind w:left="502" w:hanging="360"/>
      </w:pPr>
      <w:rPr>
        <w:rFonts w:hint="default"/>
        <w:b w:val="0"/>
        <w:color w:val="auto"/>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3" w15:restartNumberingAfterBreak="0">
    <w:nsid w:val="402D4507"/>
    <w:multiLevelType w:val="hybridMultilevel"/>
    <w:tmpl w:val="D0560F6E"/>
    <w:lvl w:ilvl="0" w:tplc="33247788">
      <w:start w:val="1"/>
      <w:numFmt w:val="lowerLetter"/>
      <w:lvlText w:val="(%1)"/>
      <w:lvlJc w:val="left"/>
      <w:pPr>
        <w:ind w:left="5537" w:hanging="360"/>
      </w:pPr>
      <w:rPr>
        <w:rFonts w:hint="default"/>
      </w:rPr>
    </w:lvl>
    <w:lvl w:ilvl="1" w:tplc="08090019" w:tentative="1">
      <w:start w:val="1"/>
      <w:numFmt w:val="lowerLetter"/>
      <w:lvlText w:val="%2."/>
      <w:lvlJc w:val="left"/>
      <w:pPr>
        <w:ind w:left="6257" w:hanging="360"/>
      </w:pPr>
    </w:lvl>
    <w:lvl w:ilvl="2" w:tplc="0809001B" w:tentative="1">
      <w:start w:val="1"/>
      <w:numFmt w:val="lowerRoman"/>
      <w:lvlText w:val="%3."/>
      <w:lvlJc w:val="right"/>
      <w:pPr>
        <w:ind w:left="6977" w:hanging="180"/>
      </w:pPr>
    </w:lvl>
    <w:lvl w:ilvl="3" w:tplc="0809000F" w:tentative="1">
      <w:start w:val="1"/>
      <w:numFmt w:val="decimal"/>
      <w:lvlText w:val="%4."/>
      <w:lvlJc w:val="left"/>
      <w:pPr>
        <w:ind w:left="7697" w:hanging="360"/>
      </w:pPr>
    </w:lvl>
    <w:lvl w:ilvl="4" w:tplc="08090019" w:tentative="1">
      <w:start w:val="1"/>
      <w:numFmt w:val="lowerLetter"/>
      <w:lvlText w:val="%5."/>
      <w:lvlJc w:val="left"/>
      <w:pPr>
        <w:ind w:left="8417" w:hanging="360"/>
      </w:pPr>
    </w:lvl>
    <w:lvl w:ilvl="5" w:tplc="0809001B" w:tentative="1">
      <w:start w:val="1"/>
      <w:numFmt w:val="lowerRoman"/>
      <w:lvlText w:val="%6."/>
      <w:lvlJc w:val="right"/>
      <w:pPr>
        <w:ind w:left="9137" w:hanging="180"/>
      </w:pPr>
    </w:lvl>
    <w:lvl w:ilvl="6" w:tplc="0809000F" w:tentative="1">
      <w:start w:val="1"/>
      <w:numFmt w:val="decimal"/>
      <w:lvlText w:val="%7."/>
      <w:lvlJc w:val="left"/>
      <w:pPr>
        <w:ind w:left="9857" w:hanging="360"/>
      </w:pPr>
    </w:lvl>
    <w:lvl w:ilvl="7" w:tplc="08090019" w:tentative="1">
      <w:start w:val="1"/>
      <w:numFmt w:val="lowerLetter"/>
      <w:lvlText w:val="%8."/>
      <w:lvlJc w:val="left"/>
      <w:pPr>
        <w:ind w:left="10577" w:hanging="360"/>
      </w:pPr>
    </w:lvl>
    <w:lvl w:ilvl="8" w:tplc="0809001B" w:tentative="1">
      <w:start w:val="1"/>
      <w:numFmt w:val="lowerRoman"/>
      <w:lvlText w:val="%9."/>
      <w:lvlJc w:val="right"/>
      <w:pPr>
        <w:ind w:left="11297" w:hanging="180"/>
      </w:pPr>
    </w:lvl>
  </w:abstractNum>
  <w:abstractNum w:abstractNumId="14" w15:restartNumberingAfterBreak="0">
    <w:nsid w:val="41B2060F"/>
    <w:multiLevelType w:val="hybridMultilevel"/>
    <w:tmpl w:val="8670ECF0"/>
    <w:lvl w:ilvl="0" w:tplc="FFFFFFFF">
      <w:start w:val="40"/>
      <w:numFmt w:val="decimal"/>
      <w:lvlText w:val="%1."/>
      <w:lvlJc w:val="left"/>
      <w:pPr>
        <w:ind w:left="785" w:hanging="360"/>
      </w:pPr>
      <w:rPr>
        <w:rFonts w:hint="default"/>
      </w:rPr>
    </w:lvl>
    <w:lvl w:ilvl="1" w:tplc="20000019" w:tentative="1">
      <w:start w:val="1"/>
      <w:numFmt w:val="lowerLetter"/>
      <w:lvlText w:val="%2."/>
      <w:lvlJc w:val="left"/>
      <w:pPr>
        <w:ind w:left="1505" w:hanging="360"/>
      </w:pPr>
    </w:lvl>
    <w:lvl w:ilvl="2" w:tplc="2000001B" w:tentative="1">
      <w:start w:val="1"/>
      <w:numFmt w:val="lowerRoman"/>
      <w:lvlText w:val="%3."/>
      <w:lvlJc w:val="right"/>
      <w:pPr>
        <w:ind w:left="2225" w:hanging="180"/>
      </w:pPr>
    </w:lvl>
    <w:lvl w:ilvl="3" w:tplc="2000000F" w:tentative="1">
      <w:start w:val="1"/>
      <w:numFmt w:val="decimal"/>
      <w:lvlText w:val="%4."/>
      <w:lvlJc w:val="left"/>
      <w:pPr>
        <w:ind w:left="2945" w:hanging="360"/>
      </w:pPr>
    </w:lvl>
    <w:lvl w:ilvl="4" w:tplc="20000019" w:tentative="1">
      <w:start w:val="1"/>
      <w:numFmt w:val="lowerLetter"/>
      <w:lvlText w:val="%5."/>
      <w:lvlJc w:val="left"/>
      <w:pPr>
        <w:ind w:left="3665" w:hanging="360"/>
      </w:pPr>
    </w:lvl>
    <w:lvl w:ilvl="5" w:tplc="2000001B" w:tentative="1">
      <w:start w:val="1"/>
      <w:numFmt w:val="lowerRoman"/>
      <w:lvlText w:val="%6."/>
      <w:lvlJc w:val="right"/>
      <w:pPr>
        <w:ind w:left="4385" w:hanging="180"/>
      </w:pPr>
    </w:lvl>
    <w:lvl w:ilvl="6" w:tplc="2000000F" w:tentative="1">
      <w:start w:val="1"/>
      <w:numFmt w:val="decimal"/>
      <w:lvlText w:val="%7."/>
      <w:lvlJc w:val="left"/>
      <w:pPr>
        <w:ind w:left="5105" w:hanging="360"/>
      </w:pPr>
    </w:lvl>
    <w:lvl w:ilvl="7" w:tplc="20000019" w:tentative="1">
      <w:start w:val="1"/>
      <w:numFmt w:val="lowerLetter"/>
      <w:lvlText w:val="%8."/>
      <w:lvlJc w:val="left"/>
      <w:pPr>
        <w:ind w:left="5825" w:hanging="360"/>
      </w:pPr>
    </w:lvl>
    <w:lvl w:ilvl="8" w:tplc="2000001B" w:tentative="1">
      <w:start w:val="1"/>
      <w:numFmt w:val="lowerRoman"/>
      <w:lvlText w:val="%9."/>
      <w:lvlJc w:val="right"/>
      <w:pPr>
        <w:ind w:left="6545" w:hanging="180"/>
      </w:pPr>
    </w:lvl>
  </w:abstractNum>
  <w:abstractNum w:abstractNumId="15" w15:restartNumberingAfterBreak="0">
    <w:nsid w:val="45127B97"/>
    <w:multiLevelType w:val="hybridMultilevel"/>
    <w:tmpl w:val="661EF804"/>
    <w:lvl w:ilvl="0" w:tplc="CB74DE6A">
      <w:start w:val="18"/>
      <w:numFmt w:val="decimal"/>
      <w:lvlText w:val="%1."/>
      <w:lvlJc w:val="left"/>
      <w:pPr>
        <w:ind w:left="3054" w:hanging="360"/>
      </w:pPr>
      <w:rPr>
        <w:rFonts w:hint="default"/>
      </w:rPr>
    </w:lvl>
    <w:lvl w:ilvl="1" w:tplc="20000019" w:tentative="1">
      <w:start w:val="1"/>
      <w:numFmt w:val="lowerLetter"/>
      <w:lvlText w:val="%2."/>
      <w:lvlJc w:val="left"/>
      <w:pPr>
        <w:ind w:left="3774" w:hanging="360"/>
      </w:pPr>
    </w:lvl>
    <w:lvl w:ilvl="2" w:tplc="2000001B" w:tentative="1">
      <w:start w:val="1"/>
      <w:numFmt w:val="lowerRoman"/>
      <w:lvlText w:val="%3."/>
      <w:lvlJc w:val="right"/>
      <w:pPr>
        <w:ind w:left="4494" w:hanging="180"/>
      </w:pPr>
    </w:lvl>
    <w:lvl w:ilvl="3" w:tplc="2000000F" w:tentative="1">
      <w:start w:val="1"/>
      <w:numFmt w:val="decimal"/>
      <w:lvlText w:val="%4."/>
      <w:lvlJc w:val="left"/>
      <w:pPr>
        <w:ind w:left="5214" w:hanging="360"/>
      </w:pPr>
    </w:lvl>
    <w:lvl w:ilvl="4" w:tplc="20000019" w:tentative="1">
      <w:start w:val="1"/>
      <w:numFmt w:val="lowerLetter"/>
      <w:lvlText w:val="%5."/>
      <w:lvlJc w:val="left"/>
      <w:pPr>
        <w:ind w:left="5934" w:hanging="360"/>
      </w:pPr>
    </w:lvl>
    <w:lvl w:ilvl="5" w:tplc="2000001B" w:tentative="1">
      <w:start w:val="1"/>
      <w:numFmt w:val="lowerRoman"/>
      <w:lvlText w:val="%6."/>
      <w:lvlJc w:val="right"/>
      <w:pPr>
        <w:ind w:left="6654" w:hanging="180"/>
      </w:pPr>
    </w:lvl>
    <w:lvl w:ilvl="6" w:tplc="2000000F" w:tentative="1">
      <w:start w:val="1"/>
      <w:numFmt w:val="decimal"/>
      <w:lvlText w:val="%7."/>
      <w:lvlJc w:val="left"/>
      <w:pPr>
        <w:ind w:left="7374" w:hanging="360"/>
      </w:pPr>
    </w:lvl>
    <w:lvl w:ilvl="7" w:tplc="20000019" w:tentative="1">
      <w:start w:val="1"/>
      <w:numFmt w:val="lowerLetter"/>
      <w:lvlText w:val="%8."/>
      <w:lvlJc w:val="left"/>
      <w:pPr>
        <w:ind w:left="8094" w:hanging="360"/>
      </w:pPr>
    </w:lvl>
    <w:lvl w:ilvl="8" w:tplc="2000001B" w:tentative="1">
      <w:start w:val="1"/>
      <w:numFmt w:val="lowerRoman"/>
      <w:lvlText w:val="%9."/>
      <w:lvlJc w:val="right"/>
      <w:pPr>
        <w:ind w:left="8814" w:hanging="180"/>
      </w:pPr>
    </w:lvl>
  </w:abstractNum>
  <w:abstractNum w:abstractNumId="16" w15:restartNumberingAfterBreak="0">
    <w:nsid w:val="46586BE3"/>
    <w:multiLevelType w:val="hybridMultilevel"/>
    <w:tmpl w:val="6790566E"/>
    <w:lvl w:ilvl="0" w:tplc="BFB893AA">
      <w:start w:val="15"/>
      <w:numFmt w:val="decimal"/>
      <w:lvlText w:val="%1."/>
      <w:lvlJc w:val="left"/>
      <w:pPr>
        <w:ind w:left="501"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7" w15:restartNumberingAfterBreak="0">
    <w:nsid w:val="47F67EB0"/>
    <w:multiLevelType w:val="hybridMultilevel"/>
    <w:tmpl w:val="F68C225C"/>
    <w:lvl w:ilvl="0" w:tplc="E4504DE0">
      <w:start w:val="10"/>
      <w:numFmt w:val="decimal"/>
      <w:lvlText w:val="%1."/>
      <w:lvlJc w:val="left"/>
      <w:pPr>
        <w:ind w:left="2214" w:hanging="360"/>
      </w:pPr>
      <w:rPr>
        <w:rFonts w:hint="default"/>
      </w:rPr>
    </w:lvl>
    <w:lvl w:ilvl="1" w:tplc="20000019" w:tentative="1">
      <w:start w:val="1"/>
      <w:numFmt w:val="lowerLetter"/>
      <w:lvlText w:val="%2."/>
      <w:lvlJc w:val="left"/>
      <w:pPr>
        <w:ind w:left="2934" w:hanging="360"/>
      </w:pPr>
    </w:lvl>
    <w:lvl w:ilvl="2" w:tplc="2000001B" w:tentative="1">
      <w:start w:val="1"/>
      <w:numFmt w:val="lowerRoman"/>
      <w:lvlText w:val="%3."/>
      <w:lvlJc w:val="right"/>
      <w:pPr>
        <w:ind w:left="3654" w:hanging="180"/>
      </w:pPr>
    </w:lvl>
    <w:lvl w:ilvl="3" w:tplc="2000000F" w:tentative="1">
      <w:start w:val="1"/>
      <w:numFmt w:val="decimal"/>
      <w:lvlText w:val="%4."/>
      <w:lvlJc w:val="left"/>
      <w:pPr>
        <w:ind w:left="4374" w:hanging="360"/>
      </w:pPr>
    </w:lvl>
    <w:lvl w:ilvl="4" w:tplc="20000019" w:tentative="1">
      <w:start w:val="1"/>
      <w:numFmt w:val="lowerLetter"/>
      <w:lvlText w:val="%5."/>
      <w:lvlJc w:val="left"/>
      <w:pPr>
        <w:ind w:left="5094" w:hanging="360"/>
      </w:pPr>
    </w:lvl>
    <w:lvl w:ilvl="5" w:tplc="2000001B" w:tentative="1">
      <w:start w:val="1"/>
      <w:numFmt w:val="lowerRoman"/>
      <w:lvlText w:val="%6."/>
      <w:lvlJc w:val="right"/>
      <w:pPr>
        <w:ind w:left="5814" w:hanging="180"/>
      </w:pPr>
    </w:lvl>
    <w:lvl w:ilvl="6" w:tplc="2000000F" w:tentative="1">
      <w:start w:val="1"/>
      <w:numFmt w:val="decimal"/>
      <w:lvlText w:val="%7."/>
      <w:lvlJc w:val="left"/>
      <w:pPr>
        <w:ind w:left="6534" w:hanging="360"/>
      </w:pPr>
    </w:lvl>
    <w:lvl w:ilvl="7" w:tplc="20000019" w:tentative="1">
      <w:start w:val="1"/>
      <w:numFmt w:val="lowerLetter"/>
      <w:lvlText w:val="%8."/>
      <w:lvlJc w:val="left"/>
      <w:pPr>
        <w:ind w:left="7254" w:hanging="360"/>
      </w:pPr>
    </w:lvl>
    <w:lvl w:ilvl="8" w:tplc="2000001B" w:tentative="1">
      <w:start w:val="1"/>
      <w:numFmt w:val="lowerRoman"/>
      <w:lvlText w:val="%9."/>
      <w:lvlJc w:val="right"/>
      <w:pPr>
        <w:ind w:left="7974" w:hanging="180"/>
      </w:pPr>
    </w:lvl>
  </w:abstractNum>
  <w:abstractNum w:abstractNumId="18" w15:restartNumberingAfterBreak="0">
    <w:nsid w:val="529610C2"/>
    <w:multiLevelType w:val="hybridMultilevel"/>
    <w:tmpl w:val="0E505106"/>
    <w:lvl w:ilvl="0" w:tplc="FFFFFFFF">
      <w:start w:val="26"/>
      <w:numFmt w:val="decimal"/>
      <w:lvlText w:val="%1."/>
      <w:lvlJc w:val="left"/>
      <w:pPr>
        <w:ind w:left="3054" w:hanging="360"/>
      </w:pPr>
      <w:rPr>
        <w:rFonts w:hint="default"/>
      </w:rPr>
    </w:lvl>
    <w:lvl w:ilvl="1" w:tplc="20000019" w:tentative="1">
      <w:start w:val="1"/>
      <w:numFmt w:val="lowerLetter"/>
      <w:lvlText w:val="%2."/>
      <w:lvlJc w:val="left"/>
      <w:pPr>
        <w:ind w:left="3774" w:hanging="360"/>
      </w:pPr>
    </w:lvl>
    <w:lvl w:ilvl="2" w:tplc="2000001B" w:tentative="1">
      <w:start w:val="1"/>
      <w:numFmt w:val="lowerRoman"/>
      <w:lvlText w:val="%3."/>
      <w:lvlJc w:val="right"/>
      <w:pPr>
        <w:ind w:left="4494" w:hanging="180"/>
      </w:pPr>
    </w:lvl>
    <w:lvl w:ilvl="3" w:tplc="2000000F" w:tentative="1">
      <w:start w:val="1"/>
      <w:numFmt w:val="decimal"/>
      <w:lvlText w:val="%4."/>
      <w:lvlJc w:val="left"/>
      <w:pPr>
        <w:ind w:left="5214" w:hanging="360"/>
      </w:pPr>
    </w:lvl>
    <w:lvl w:ilvl="4" w:tplc="20000019" w:tentative="1">
      <w:start w:val="1"/>
      <w:numFmt w:val="lowerLetter"/>
      <w:lvlText w:val="%5."/>
      <w:lvlJc w:val="left"/>
      <w:pPr>
        <w:ind w:left="5934" w:hanging="360"/>
      </w:pPr>
    </w:lvl>
    <w:lvl w:ilvl="5" w:tplc="2000001B" w:tentative="1">
      <w:start w:val="1"/>
      <w:numFmt w:val="lowerRoman"/>
      <w:lvlText w:val="%6."/>
      <w:lvlJc w:val="right"/>
      <w:pPr>
        <w:ind w:left="6654" w:hanging="180"/>
      </w:pPr>
    </w:lvl>
    <w:lvl w:ilvl="6" w:tplc="2000000F" w:tentative="1">
      <w:start w:val="1"/>
      <w:numFmt w:val="decimal"/>
      <w:lvlText w:val="%7."/>
      <w:lvlJc w:val="left"/>
      <w:pPr>
        <w:ind w:left="7374" w:hanging="360"/>
      </w:pPr>
    </w:lvl>
    <w:lvl w:ilvl="7" w:tplc="20000019" w:tentative="1">
      <w:start w:val="1"/>
      <w:numFmt w:val="lowerLetter"/>
      <w:lvlText w:val="%8."/>
      <w:lvlJc w:val="left"/>
      <w:pPr>
        <w:ind w:left="8094" w:hanging="360"/>
      </w:pPr>
    </w:lvl>
    <w:lvl w:ilvl="8" w:tplc="2000001B" w:tentative="1">
      <w:start w:val="1"/>
      <w:numFmt w:val="lowerRoman"/>
      <w:lvlText w:val="%9."/>
      <w:lvlJc w:val="right"/>
      <w:pPr>
        <w:ind w:left="8814" w:hanging="180"/>
      </w:pPr>
    </w:lvl>
  </w:abstractNum>
  <w:abstractNum w:abstractNumId="19" w15:restartNumberingAfterBreak="0">
    <w:nsid w:val="529A2FA4"/>
    <w:multiLevelType w:val="hybridMultilevel"/>
    <w:tmpl w:val="B5A64CD6"/>
    <w:lvl w:ilvl="0" w:tplc="DA36D7A0">
      <w:start w:val="46"/>
      <w:numFmt w:val="decimal"/>
      <w:lvlText w:val="%1."/>
      <w:lvlJc w:val="left"/>
      <w:pPr>
        <w:ind w:left="360" w:hanging="360"/>
      </w:pPr>
      <w:rPr>
        <w:rFonts w:hint="default"/>
      </w:rPr>
    </w:lvl>
    <w:lvl w:ilvl="1" w:tplc="20000019" w:tentative="1">
      <w:start w:val="1"/>
      <w:numFmt w:val="lowerLetter"/>
      <w:lvlText w:val="%2."/>
      <w:lvlJc w:val="left"/>
      <w:pPr>
        <w:ind w:left="1299" w:hanging="360"/>
      </w:pPr>
    </w:lvl>
    <w:lvl w:ilvl="2" w:tplc="2000001B" w:tentative="1">
      <w:start w:val="1"/>
      <w:numFmt w:val="lowerRoman"/>
      <w:lvlText w:val="%3."/>
      <w:lvlJc w:val="right"/>
      <w:pPr>
        <w:ind w:left="2019" w:hanging="180"/>
      </w:pPr>
    </w:lvl>
    <w:lvl w:ilvl="3" w:tplc="2000000F" w:tentative="1">
      <w:start w:val="1"/>
      <w:numFmt w:val="decimal"/>
      <w:lvlText w:val="%4."/>
      <w:lvlJc w:val="left"/>
      <w:pPr>
        <w:ind w:left="2739" w:hanging="360"/>
      </w:pPr>
    </w:lvl>
    <w:lvl w:ilvl="4" w:tplc="20000019" w:tentative="1">
      <w:start w:val="1"/>
      <w:numFmt w:val="lowerLetter"/>
      <w:lvlText w:val="%5."/>
      <w:lvlJc w:val="left"/>
      <w:pPr>
        <w:ind w:left="3459" w:hanging="360"/>
      </w:pPr>
    </w:lvl>
    <w:lvl w:ilvl="5" w:tplc="2000001B" w:tentative="1">
      <w:start w:val="1"/>
      <w:numFmt w:val="lowerRoman"/>
      <w:lvlText w:val="%6."/>
      <w:lvlJc w:val="right"/>
      <w:pPr>
        <w:ind w:left="4179" w:hanging="180"/>
      </w:pPr>
    </w:lvl>
    <w:lvl w:ilvl="6" w:tplc="2000000F" w:tentative="1">
      <w:start w:val="1"/>
      <w:numFmt w:val="decimal"/>
      <w:lvlText w:val="%7."/>
      <w:lvlJc w:val="left"/>
      <w:pPr>
        <w:ind w:left="4899" w:hanging="360"/>
      </w:pPr>
    </w:lvl>
    <w:lvl w:ilvl="7" w:tplc="20000019" w:tentative="1">
      <w:start w:val="1"/>
      <w:numFmt w:val="lowerLetter"/>
      <w:lvlText w:val="%8."/>
      <w:lvlJc w:val="left"/>
      <w:pPr>
        <w:ind w:left="5619" w:hanging="360"/>
      </w:pPr>
    </w:lvl>
    <w:lvl w:ilvl="8" w:tplc="2000001B" w:tentative="1">
      <w:start w:val="1"/>
      <w:numFmt w:val="lowerRoman"/>
      <w:lvlText w:val="%9."/>
      <w:lvlJc w:val="right"/>
      <w:pPr>
        <w:ind w:left="6339" w:hanging="180"/>
      </w:pPr>
    </w:lvl>
  </w:abstractNum>
  <w:abstractNum w:abstractNumId="20" w15:restartNumberingAfterBreak="0">
    <w:nsid w:val="5480711B"/>
    <w:multiLevelType w:val="hybridMultilevel"/>
    <w:tmpl w:val="2382B45A"/>
    <w:lvl w:ilvl="0" w:tplc="33247788">
      <w:start w:val="1"/>
      <w:numFmt w:val="lowerLetter"/>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21" w15:restartNumberingAfterBreak="0">
    <w:nsid w:val="55FA2427"/>
    <w:multiLevelType w:val="hybridMultilevel"/>
    <w:tmpl w:val="C492ADD4"/>
    <w:lvl w:ilvl="0" w:tplc="20000017">
      <w:start w:val="1"/>
      <w:numFmt w:val="lowerLetter"/>
      <w:lvlText w:val="%1)"/>
      <w:lvlJc w:val="left"/>
      <w:pPr>
        <w:ind w:left="1068" w:hanging="360"/>
      </w:pPr>
      <w:rPr>
        <w:rFonts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22" w15:restartNumberingAfterBreak="0">
    <w:nsid w:val="57687608"/>
    <w:multiLevelType w:val="hybridMultilevel"/>
    <w:tmpl w:val="6C3E0716"/>
    <w:lvl w:ilvl="0" w:tplc="5328AA36">
      <w:start w:val="66"/>
      <w:numFmt w:val="decimal"/>
      <w:lvlText w:val="%1."/>
      <w:lvlJc w:val="left"/>
      <w:pPr>
        <w:ind w:left="1854" w:hanging="360"/>
      </w:pPr>
      <w:rPr>
        <w:rFonts w:hint="default"/>
      </w:rPr>
    </w:lvl>
    <w:lvl w:ilvl="1" w:tplc="20000019" w:tentative="1">
      <w:start w:val="1"/>
      <w:numFmt w:val="lowerLetter"/>
      <w:lvlText w:val="%2."/>
      <w:lvlJc w:val="left"/>
      <w:pPr>
        <w:ind w:left="2574" w:hanging="360"/>
      </w:pPr>
    </w:lvl>
    <w:lvl w:ilvl="2" w:tplc="2000001B" w:tentative="1">
      <w:start w:val="1"/>
      <w:numFmt w:val="lowerRoman"/>
      <w:lvlText w:val="%3."/>
      <w:lvlJc w:val="right"/>
      <w:pPr>
        <w:ind w:left="3294" w:hanging="180"/>
      </w:pPr>
    </w:lvl>
    <w:lvl w:ilvl="3" w:tplc="2000000F" w:tentative="1">
      <w:start w:val="1"/>
      <w:numFmt w:val="decimal"/>
      <w:lvlText w:val="%4."/>
      <w:lvlJc w:val="left"/>
      <w:pPr>
        <w:ind w:left="4014" w:hanging="360"/>
      </w:pPr>
    </w:lvl>
    <w:lvl w:ilvl="4" w:tplc="20000019" w:tentative="1">
      <w:start w:val="1"/>
      <w:numFmt w:val="lowerLetter"/>
      <w:lvlText w:val="%5."/>
      <w:lvlJc w:val="left"/>
      <w:pPr>
        <w:ind w:left="4734" w:hanging="360"/>
      </w:pPr>
    </w:lvl>
    <w:lvl w:ilvl="5" w:tplc="2000001B" w:tentative="1">
      <w:start w:val="1"/>
      <w:numFmt w:val="lowerRoman"/>
      <w:lvlText w:val="%6."/>
      <w:lvlJc w:val="right"/>
      <w:pPr>
        <w:ind w:left="5454" w:hanging="180"/>
      </w:pPr>
    </w:lvl>
    <w:lvl w:ilvl="6" w:tplc="2000000F" w:tentative="1">
      <w:start w:val="1"/>
      <w:numFmt w:val="decimal"/>
      <w:lvlText w:val="%7."/>
      <w:lvlJc w:val="left"/>
      <w:pPr>
        <w:ind w:left="6174" w:hanging="360"/>
      </w:pPr>
    </w:lvl>
    <w:lvl w:ilvl="7" w:tplc="20000019" w:tentative="1">
      <w:start w:val="1"/>
      <w:numFmt w:val="lowerLetter"/>
      <w:lvlText w:val="%8."/>
      <w:lvlJc w:val="left"/>
      <w:pPr>
        <w:ind w:left="6894" w:hanging="360"/>
      </w:pPr>
    </w:lvl>
    <w:lvl w:ilvl="8" w:tplc="2000001B" w:tentative="1">
      <w:start w:val="1"/>
      <w:numFmt w:val="lowerRoman"/>
      <w:lvlText w:val="%9."/>
      <w:lvlJc w:val="right"/>
      <w:pPr>
        <w:ind w:left="7614" w:hanging="180"/>
      </w:pPr>
    </w:lvl>
  </w:abstractNum>
  <w:abstractNum w:abstractNumId="23" w15:restartNumberingAfterBreak="0">
    <w:nsid w:val="57B33239"/>
    <w:multiLevelType w:val="hybridMultilevel"/>
    <w:tmpl w:val="BE463722"/>
    <w:lvl w:ilvl="0" w:tplc="33247788">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4" w15:restartNumberingAfterBreak="0">
    <w:nsid w:val="58AD1B8B"/>
    <w:multiLevelType w:val="hybridMultilevel"/>
    <w:tmpl w:val="DE3E6B90"/>
    <w:lvl w:ilvl="0" w:tplc="33247788">
      <w:start w:val="1"/>
      <w:numFmt w:val="lowerLetter"/>
      <w:lvlText w:val="(%1)"/>
      <w:lvlJc w:val="left"/>
      <w:pPr>
        <w:ind w:left="501" w:hanging="360"/>
      </w:pPr>
      <w:rPr>
        <w:rFonts w:hint="default"/>
      </w:rPr>
    </w:lvl>
    <w:lvl w:ilvl="1" w:tplc="FFFFFFFF" w:tentative="1">
      <w:start w:val="1"/>
      <w:numFmt w:val="lowerLetter"/>
      <w:lvlText w:val="%2."/>
      <w:lvlJc w:val="left"/>
      <w:pPr>
        <w:ind w:left="1221" w:hanging="360"/>
      </w:pPr>
    </w:lvl>
    <w:lvl w:ilvl="2" w:tplc="FFFFFFFF" w:tentative="1">
      <w:start w:val="1"/>
      <w:numFmt w:val="lowerRoman"/>
      <w:lvlText w:val="%3."/>
      <w:lvlJc w:val="right"/>
      <w:pPr>
        <w:ind w:left="1941" w:hanging="180"/>
      </w:pPr>
    </w:lvl>
    <w:lvl w:ilvl="3" w:tplc="FFFFFFFF" w:tentative="1">
      <w:start w:val="1"/>
      <w:numFmt w:val="decimal"/>
      <w:lvlText w:val="%4."/>
      <w:lvlJc w:val="left"/>
      <w:pPr>
        <w:ind w:left="2661" w:hanging="360"/>
      </w:pPr>
    </w:lvl>
    <w:lvl w:ilvl="4" w:tplc="FFFFFFFF" w:tentative="1">
      <w:start w:val="1"/>
      <w:numFmt w:val="lowerLetter"/>
      <w:lvlText w:val="%5."/>
      <w:lvlJc w:val="left"/>
      <w:pPr>
        <w:ind w:left="3381" w:hanging="360"/>
      </w:pPr>
    </w:lvl>
    <w:lvl w:ilvl="5" w:tplc="FFFFFFFF" w:tentative="1">
      <w:start w:val="1"/>
      <w:numFmt w:val="lowerRoman"/>
      <w:lvlText w:val="%6."/>
      <w:lvlJc w:val="right"/>
      <w:pPr>
        <w:ind w:left="4101" w:hanging="180"/>
      </w:pPr>
    </w:lvl>
    <w:lvl w:ilvl="6" w:tplc="FFFFFFFF" w:tentative="1">
      <w:start w:val="1"/>
      <w:numFmt w:val="decimal"/>
      <w:lvlText w:val="%7."/>
      <w:lvlJc w:val="left"/>
      <w:pPr>
        <w:ind w:left="4821" w:hanging="360"/>
      </w:pPr>
    </w:lvl>
    <w:lvl w:ilvl="7" w:tplc="FFFFFFFF" w:tentative="1">
      <w:start w:val="1"/>
      <w:numFmt w:val="lowerLetter"/>
      <w:lvlText w:val="%8."/>
      <w:lvlJc w:val="left"/>
      <w:pPr>
        <w:ind w:left="5541" w:hanging="360"/>
      </w:pPr>
    </w:lvl>
    <w:lvl w:ilvl="8" w:tplc="FFFFFFFF" w:tentative="1">
      <w:start w:val="1"/>
      <w:numFmt w:val="lowerRoman"/>
      <w:lvlText w:val="%9."/>
      <w:lvlJc w:val="right"/>
      <w:pPr>
        <w:ind w:left="6261" w:hanging="180"/>
      </w:pPr>
    </w:lvl>
  </w:abstractNum>
  <w:abstractNum w:abstractNumId="25" w15:restartNumberingAfterBreak="0">
    <w:nsid w:val="66285390"/>
    <w:multiLevelType w:val="hybridMultilevel"/>
    <w:tmpl w:val="4F783764"/>
    <w:lvl w:ilvl="0" w:tplc="ADA4D914">
      <w:start w:val="28"/>
      <w:numFmt w:val="decimal"/>
      <w:lvlText w:val="%1."/>
      <w:lvlJc w:val="left"/>
      <w:pPr>
        <w:ind w:left="1854" w:hanging="360"/>
      </w:pPr>
      <w:rPr>
        <w:rFonts w:hint="default"/>
      </w:rPr>
    </w:lvl>
    <w:lvl w:ilvl="1" w:tplc="20000019" w:tentative="1">
      <w:start w:val="1"/>
      <w:numFmt w:val="lowerLetter"/>
      <w:lvlText w:val="%2."/>
      <w:lvlJc w:val="left"/>
      <w:pPr>
        <w:ind w:left="2574" w:hanging="360"/>
      </w:pPr>
    </w:lvl>
    <w:lvl w:ilvl="2" w:tplc="2000001B" w:tentative="1">
      <w:start w:val="1"/>
      <w:numFmt w:val="lowerRoman"/>
      <w:lvlText w:val="%3."/>
      <w:lvlJc w:val="right"/>
      <w:pPr>
        <w:ind w:left="3294" w:hanging="180"/>
      </w:pPr>
    </w:lvl>
    <w:lvl w:ilvl="3" w:tplc="2000000F" w:tentative="1">
      <w:start w:val="1"/>
      <w:numFmt w:val="decimal"/>
      <w:lvlText w:val="%4."/>
      <w:lvlJc w:val="left"/>
      <w:pPr>
        <w:ind w:left="4014" w:hanging="360"/>
      </w:pPr>
    </w:lvl>
    <w:lvl w:ilvl="4" w:tplc="20000019" w:tentative="1">
      <w:start w:val="1"/>
      <w:numFmt w:val="lowerLetter"/>
      <w:lvlText w:val="%5."/>
      <w:lvlJc w:val="left"/>
      <w:pPr>
        <w:ind w:left="4734" w:hanging="360"/>
      </w:pPr>
    </w:lvl>
    <w:lvl w:ilvl="5" w:tplc="2000001B" w:tentative="1">
      <w:start w:val="1"/>
      <w:numFmt w:val="lowerRoman"/>
      <w:lvlText w:val="%6."/>
      <w:lvlJc w:val="right"/>
      <w:pPr>
        <w:ind w:left="5454" w:hanging="180"/>
      </w:pPr>
    </w:lvl>
    <w:lvl w:ilvl="6" w:tplc="2000000F" w:tentative="1">
      <w:start w:val="1"/>
      <w:numFmt w:val="decimal"/>
      <w:lvlText w:val="%7."/>
      <w:lvlJc w:val="left"/>
      <w:pPr>
        <w:ind w:left="6174" w:hanging="360"/>
      </w:pPr>
    </w:lvl>
    <w:lvl w:ilvl="7" w:tplc="20000019" w:tentative="1">
      <w:start w:val="1"/>
      <w:numFmt w:val="lowerLetter"/>
      <w:lvlText w:val="%8."/>
      <w:lvlJc w:val="left"/>
      <w:pPr>
        <w:ind w:left="6894" w:hanging="360"/>
      </w:pPr>
    </w:lvl>
    <w:lvl w:ilvl="8" w:tplc="2000001B" w:tentative="1">
      <w:start w:val="1"/>
      <w:numFmt w:val="lowerRoman"/>
      <w:lvlText w:val="%9."/>
      <w:lvlJc w:val="right"/>
      <w:pPr>
        <w:ind w:left="7614" w:hanging="180"/>
      </w:pPr>
    </w:lvl>
  </w:abstractNum>
  <w:abstractNum w:abstractNumId="26" w15:restartNumberingAfterBreak="0">
    <w:nsid w:val="67A86DA9"/>
    <w:multiLevelType w:val="hybridMultilevel"/>
    <w:tmpl w:val="C17AFE76"/>
    <w:lvl w:ilvl="0" w:tplc="D1DED3AA">
      <w:start w:val="34"/>
      <w:numFmt w:val="decimal"/>
      <w:lvlText w:val="%1."/>
      <w:lvlJc w:val="left"/>
      <w:pPr>
        <w:ind w:left="1854" w:hanging="360"/>
      </w:pPr>
      <w:rPr>
        <w:rFonts w:hint="default"/>
      </w:rPr>
    </w:lvl>
    <w:lvl w:ilvl="1" w:tplc="20000019" w:tentative="1">
      <w:start w:val="1"/>
      <w:numFmt w:val="lowerLetter"/>
      <w:lvlText w:val="%2."/>
      <w:lvlJc w:val="left"/>
      <w:pPr>
        <w:ind w:left="2574" w:hanging="360"/>
      </w:pPr>
    </w:lvl>
    <w:lvl w:ilvl="2" w:tplc="2000001B" w:tentative="1">
      <w:start w:val="1"/>
      <w:numFmt w:val="lowerRoman"/>
      <w:lvlText w:val="%3."/>
      <w:lvlJc w:val="right"/>
      <w:pPr>
        <w:ind w:left="3294" w:hanging="180"/>
      </w:pPr>
    </w:lvl>
    <w:lvl w:ilvl="3" w:tplc="2000000F" w:tentative="1">
      <w:start w:val="1"/>
      <w:numFmt w:val="decimal"/>
      <w:lvlText w:val="%4."/>
      <w:lvlJc w:val="left"/>
      <w:pPr>
        <w:ind w:left="4014" w:hanging="360"/>
      </w:pPr>
    </w:lvl>
    <w:lvl w:ilvl="4" w:tplc="20000019" w:tentative="1">
      <w:start w:val="1"/>
      <w:numFmt w:val="lowerLetter"/>
      <w:lvlText w:val="%5."/>
      <w:lvlJc w:val="left"/>
      <w:pPr>
        <w:ind w:left="4734" w:hanging="360"/>
      </w:pPr>
    </w:lvl>
    <w:lvl w:ilvl="5" w:tplc="2000001B" w:tentative="1">
      <w:start w:val="1"/>
      <w:numFmt w:val="lowerRoman"/>
      <w:lvlText w:val="%6."/>
      <w:lvlJc w:val="right"/>
      <w:pPr>
        <w:ind w:left="5454" w:hanging="180"/>
      </w:pPr>
    </w:lvl>
    <w:lvl w:ilvl="6" w:tplc="2000000F" w:tentative="1">
      <w:start w:val="1"/>
      <w:numFmt w:val="decimal"/>
      <w:lvlText w:val="%7."/>
      <w:lvlJc w:val="left"/>
      <w:pPr>
        <w:ind w:left="6174" w:hanging="360"/>
      </w:pPr>
    </w:lvl>
    <w:lvl w:ilvl="7" w:tplc="20000019" w:tentative="1">
      <w:start w:val="1"/>
      <w:numFmt w:val="lowerLetter"/>
      <w:lvlText w:val="%8."/>
      <w:lvlJc w:val="left"/>
      <w:pPr>
        <w:ind w:left="6894" w:hanging="360"/>
      </w:pPr>
    </w:lvl>
    <w:lvl w:ilvl="8" w:tplc="2000001B" w:tentative="1">
      <w:start w:val="1"/>
      <w:numFmt w:val="lowerRoman"/>
      <w:lvlText w:val="%9."/>
      <w:lvlJc w:val="right"/>
      <w:pPr>
        <w:ind w:left="7614" w:hanging="180"/>
      </w:pPr>
    </w:lvl>
  </w:abstractNum>
  <w:abstractNum w:abstractNumId="27" w15:restartNumberingAfterBreak="0">
    <w:nsid w:val="69314F98"/>
    <w:multiLevelType w:val="hybridMultilevel"/>
    <w:tmpl w:val="85FEE25A"/>
    <w:lvl w:ilvl="0" w:tplc="BFB893AA">
      <w:start w:val="15"/>
      <w:numFmt w:val="decimal"/>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28" w15:restartNumberingAfterBreak="0">
    <w:nsid w:val="698D239A"/>
    <w:multiLevelType w:val="hybridMultilevel"/>
    <w:tmpl w:val="F6244E1E"/>
    <w:lvl w:ilvl="0" w:tplc="CB74DE6A">
      <w:start w:val="1"/>
      <w:numFmt w:val="decimal"/>
      <w:lvlText w:val="%1."/>
      <w:lvlJc w:val="left"/>
      <w:pPr>
        <w:ind w:left="3054" w:hanging="360"/>
      </w:pPr>
      <w:rPr>
        <w:rFonts w:hint="default"/>
        <w:b w:val="0"/>
        <w:sz w:val="20"/>
        <w:szCs w:val="2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9" w15:restartNumberingAfterBreak="0">
    <w:nsid w:val="710C2DF1"/>
    <w:multiLevelType w:val="hybridMultilevel"/>
    <w:tmpl w:val="454E284E"/>
    <w:lvl w:ilvl="0" w:tplc="4A5407E6">
      <w:start w:val="41"/>
      <w:numFmt w:val="decimal"/>
      <w:lvlText w:val="%1."/>
      <w:lvlJc w:val="left"/>
      <w:pPr>
        <w:ind w:left="36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0" w15:restartNumberingAfterBreak="0">
    <w:nsid w:val="722670E0"/>
    <w:multiLevelType w:val="hybridMultilevel"/>
    <w:tmpl w:val="B736226A"/>
    <w:lvl w:ilvl="0" w:tplc="7D4C6EA8">
      <w:start w:val="10"/>
      <w:numFmt w:val="decimal"/>
      <w:lvlText w:val="%1."/>
      <w:lvlJc w:val="left"/>
      <w:pPr>
        <w:ind w:left="1854" w:hanging="360"/>
      </w:pPr>
      <w:rPr>
        <w:rFonts w:hint="default"/>
      </w:rPr>
    </w:lvl>
    <w:lvl w:ilvl="1" w:tplc="20000019" w:tentative="1">
      <w:start w:val="1"/>
      <w:numFmt w:val="lowerLetter"/>
      <w:lvlText w:val="%2."/>
      <w:lvlJc w:val="left"/>
      <w:pPr>
        <w:ind w:left="2574" w:hanging="360"/>
      </w:pPr>
    </w:lvl>
    <w:lvl w:ilvl="2" w:tplc="2000001B" w:tentative="1">
      <w:start w:val="1"/>
      <w:numFmt w:val="lowerRoman"/>
      <w:lvlText w:val="%3."/>
      <w:lvlJc w:val="right"/>
      <w:pPr>
        <w:ind w:left="3294" w:hanging="180"/>
      </w:pPr>
    </w:lvl>
    <w:lvl w:ilvl="3" w:tplc="2000000F" w:tentative="1">
      <w:start w:val="1"/>
      <w:numFmt w:val="decimal"/>
      <w:lvlText w:val="%4."/>
      <w:lvlJc w:val="left"/>
      <w:pPr>
        <w:ind w:left="4014" w:hanging="360"/>
      </w:pPr>
    </w:lvl>
    <w:lvl w:ilvl="4" w:tplc="20000019" w:tentative="1">
      <w:start w:val="1"/>
      <w:numFmt w:val="lowerLetter"/>
      <w:lvlText w:val="%5."/>
      <w:lvlJc w:val="left"/>
      <w:pPr>
        <w:ind w:left="4734" w:hanging="360"/>
      </w:pPr>
    </w:lvl>
    <w:lvl w:ilvl="5" w:tplc="2000001B" w:tentative="1">
      <w:start w:val="1"/>
      <w:numFmt w:val="lowerRoman"/>
      <w:lvlText w:val="%6."/>
      <w:lvlJc w:val="right"/>
      <w:pPr>
        <w:ind w:left="5454" w:hanging="180"/>
      </w:pPr>
    </w:lvl>
    <w:lvl w:ilvl="6" w:tplc="2000000F" w:tentative="1">
      <w:start w:val="1"/>
      <w:numFmt w:val="decimal"/>
      <w:lvlText w:val="%7."/>
      <w:lvlJc w:val="left"/>
      <w:pPr>
        <w:ind w:left="6174" w:hanging="360"/>
      </w:pPr>
    </w:lvl>
    <w:lvl w:ilvl="7" w:tplc="20000019" w:tentative="1">
      <w:start w:val="1"/>
      <w:numFmt w:val="lowerLetter"/>
      <w:lvlText w:val="%8."/>
      <w:lvlJc w:val="left"/>
      <w:pPr>
        <w:ind w:left="6894" w:hanging="360"/>
      </w:pPr>
    </w:lvl>
    <w:lvl w:ilvl="8" w:tplc="2000001B" w:tentative="1">
      <w:start w:val="1"/>
      <w:numFmt w:val="lowerRoman"/>
      <w:lvlText w:val="%9."/>
      <w:lvlJc w:val="right"/>
      <w:pPr>
        <w:ind w:left="7614" w:hanging="180"/>
      </w:pPr>
    </w:lvl>
  </w:abstractNum>
  <w:abstractNum w:abstractNumId="31" w15:restartNumberingAfterBreak="0">
    <w:nsid w:val="73961823"/>
    <w:multiLevelType w:val="hybridMultilevel"/>
    <w:tmpl w:val="3C96A61E"/>
    <w:lvl w:ilvl="0" w:tplc="FFFFFFFF">
      <w:start w:val="1"/>
      <w:numFmt w:val="decimal"/>
      <w:lvlText w:val="%1."/>
      <w:lvlJc w:val="left"/>
      <w:pPr>
        <w:ind w:left="1854" w:hanging="360"/>
      </w:pPr>
      <w:rPr>
        <w:b w:val="0"/>
      </w:rPr>
    </w:lvl>
    <w:lvl w:ilvl="1" w:tplc="FFFFFFFF" w:tentative="1">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32" w15:restartNumberingAfterBreak="0">
    <w:nsid w:val="73A0194E"/>
    <w:multiLevelType w:val="hybridMultilevel"/>
    <w:tmpl w:val="6B285D98"/>
    <w:lvl w:ilvl="0" w:tplc="33247788">
      <w:start w:val="1"/>
      <w:numFmt w:val="lowerLetter"/>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33" w15:restartNumberingAfterBreak="0">
    <w:nsid w:val="73BF3D9C"/>
    <w:multiLevelType w:val="hybridMultilevel"/>
    <w:tmpl w:val="0D8ACFF2"/>
    <w:lvl w:ilvl="0" w:tplc="33247788">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78AC430B"/>
    <w:multiLevelType w:val="hybridMultilevel"/>
    <w:tmpl w:val="E7C65EFC"/>
    <w:lvl w:ilvl="0" w:tplc="D4C2B980">
      <w:start w:val="1"/>
      <w:numFmt w:val="lowerLetter"/>
      <w:lvlText w:val="(%1)"/>
      <w:lvlJc w:val="left"/>
      <w:pPr>
        <w:ind w:left="1068" w:hanging="36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num w:numId="1" w16cid:durableId="434441880">
    <w:abstractNumId w:val="28"/>
  </w:num>
  <w:num w:numId="2" w16cid:durableId="1001934543">
    <w:abstractNumId w:val="33"/>
  </w:num>
  <w:num w:numId="3" w16cid:durableId="56588219">
    <w:abstractNumId w:val="34"/>
  </w:num>
  <w:num w:numId="4" w16cid:durableId="1694764847">
    <w:abstractNumId w:val="8"/>
  </w:num>
  <w:num w:numId="5" w16cid:durableId="1571425129">
    <w:abstractNumId w:val="15"/>
  </w:num>
  <w:num w:numId="6" w16cid:durableId="191454017">
    <w:abstractNumId w:val="7"/>
  </w:num>
  <w:num w:numId="7" w16cid:durableId="2013754131">
    <w:abstractNumId w:val="9"/>
  </w:num>
  <w:num w:numId="8" w16cid:durableId="261106635">
    <w:abstractNumId w:val="30"/>
  </w:num>
  <w:num w:numId="9" w16cid:durableId="1497962747">
    <w:abstractNumId w:val="25"/>
  </w:num>
  <w:num w:numId="10" w16cid:durableId="18436088">
    <w:abstractNumId w:val="26"/>
  </w:num>
  <w:num w:numId="11" w16cid:durableId="1392924166">
    <w:abstractNumId w:val="31"/>
  </w:num>
  <w:num w:numId="12" w16cid:durableId="414518294">
    <w:abstractNumId w:val="0"/>
  </w:num>
  <w:num w:numId="13" w16cid:durableId="1700928333">
    <w:abstractNumId w:val="17"/>
  </w:num>
  <w:num w:numId="14" w16cid:durableId="82772652">
    <w:abstractNumId w:val="22"/>
  </w:num>
  <w:num w:numId="15" w16cid:durableId="1508595274">
    <w:abstractNumId w:val="4"/>
  </w:num>
  <w:num w:numId="16" w16cid:durableId="124543804">
    <w:abstractNumId w:val="18"/>
  </w:num>
  <w:num w:numId="17" w16cid:durableId="303046010">
    <w:abstractNumId w:val="13"/>
  </w:num>
  <w:num w:numId="18" w16cid:durableId="1476021032">
    <w:abstractNumId w:val="23"/>
  </w:num>
  <w:num w:numId="19" w16cid:durableId="1634015425">
    <w:abstractNumId w:val="14"/>
  </w:num>
  <w:num w:numId="20" w16cid:durableId="1222130862">
    <w:abstractNumId w:val="2"/>
  </w:num>
  <w:num w:numId="21" w16cid:durableId="343215754">
    <w:abstractNumId w:val="6"/>
  </w:num>
  <w:num w:numId="22" w16cid:durableId="1893155856">
    <w:abstractNumId w:val="1"/>
  </w:num>
  <w:num w:numId="23" w16cid:durableId="1271817689">
    <w:abstractNumId w:val="32"/>
  </w:num>
  <w:num w:numId="24" w16cid:durableId="1652514757">
    <w:abstractNumId w:val="20"/>
  </w:num>
  <w:num w:numId="25" w16cid:durableId="630210716">
    <w:abstractNumId w:val="21"/>
  </w:num>
  <w:num w:numId="26" w16cid:durableId="1391002272">
    <w:abstractNumId w:val="24"/>
  </w:num>
  <w:num w:numId="27" w16cid:durableId="1764376944">
    <w:abstractNumId w:val="10"/>
  </w:num>
  <w:num w:numId="28" w16cid:durableId="730352298">
    <w:abstractNumId w:val="5"/>
  </w:num>
  <w:num w:numId="29" w16cid:durableId="742483409">
    <w:abstractNumId w:val="16"/>
  </w:num>
  <w:num w:numId="30" w16cid:durableId="1065184640">
    <w:abstractNumId w:val="3"/>
  </w:num>
  <w:num w:numId="31" w16cid:durableId="863175691">
    <w:abstractNumId w:val="11"/>
  </w:num>
  <w:num w:numId="32" w16cid:durableId="772092697">
    <w:abstractNumId w:val="29"/>
  </w:num>
  <w:num w:numId="33" w16cid:durableId="408623408">
    <w:abstractNumId w:val="27"/>
  </w:num>
  <w:num w:numId="34" w16cid:durableId="1675523305">
    <w:abstractNumId w:val="19"/>
  </w:num>
  <w:num w:numId="35" w16cid:durableId="719706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90F"/>
    <w:rsid w:val="000429D7"/>
    <w:rsid w:val="000524D2"/>
    <w:rsid w:val="0005378E"/>
    <w:rsid w:val="00074A6F"/>
    <w:rsid w:val="00080878"/>
    <w:rsid w:val="00093AE0"/>
    <w:rsid w:val="000A1957"/>
    <w:rsid w:val="000B37ED"/>
    <w:rsid w:val="000C4F70"/>
    <w:rsid w:val="000E027A"/>
    <w:rsid w:val="000E3B96"/>
    <w:rsid w:val="00107F57"/>
    <w:rsid w:val="0011439A"/>
    <w:rsid w:val="00172557"/>
    <w:rsid w:val="001F5738"/>
    <w:rsid w:val="0020086C"/>
    <w:rsid w:val="00203F63"/>
    <w:rsid w:val="00216209"/>
    <w:rsid w:val="00222477"/>
    <w:rsid w:val="00233EF7"/>
    <w:rsid w:val="0023408F"/>
    <w:rsid w:val="00267E66"/>
    <w:rsid w:val="00286CDE"/>
    <w:rsid w:val="002B3305"/>
    <w:rsid w:val="00317183"/>
    <w:rsid w:val="00332DEF"/>
    <w:rsid w:val="003506CD"/>
    <w:rsid w:val="0037490F"/>
    <w:rsid w:val="00392E13"/>
    <w:rsid w:val="00393B67"/>
    <w:rsid w:val="003A2FCA"/>
    <w:rsid w:val="003D2C5B"/>
    <w:rsid w:val="003D6D0B"/>
    <w:rsid w:val="003F05B1"/>
    <w:rsid w:val="0045354C"/>
    <w:rsid w:val="0046777E"/>
    <w:rsid w:val="004A2720"/>
    <w:rsid w:val="004A4ECC"/>
    <w:rsid w:val="004C0AFC"/>
    <w:rsid w:val="00500F5A"/>
    <w:rsid w:val="005369EF"/>
    <w:rsid w:val="0058536C"/>
    <w:rsid w:val="00594869"/>
    <w:rsid w:val="005A75F7"/>
    <w:rsid w:val="005D2D26"/>
    <w:rsid w:val="006252AC"/>
    <w:rsid w:val="00626FA1"/>
    <w:rsid w:val="00667B2E"/>
    <w:rsid w:val="00677357"/>
    <w:rsid w:val="006B3883"/>
    <w:rsid w:val="006E0A0A"/>
    <w:rsid w:val="00724C45"/>
    <w:rsid w:val="00777975"/>
    <w:rsid w:val="007D650A"/>
    <w:rsid w:val="007F3DAF"/>
    <w:rsid w:val="00817A81"/>
    <w:rsid w:val="00836550"/>
    <w:rsid w:val="00854432"/>
    <w:rsid w:val="008574F9"/>
    <w:rsid w:val="008C7C91"/>
    <w:rsid w:val="008D3E8E"/>
    <w:rsid w:val="009129D7"/>
    <w:rsid w:val="00924E29"/>
    <w:rsid w:val="0092650C"/>
    <w:rsid w:val="00932FBE"/>
    <w:rsid w:val="00963A1E"/>
    <w:rsid w:val="009F6BF3"/>
    <w:rsid w:val="00A765AD"/>
    <w:rsid w:val="00AC7B26"/>
    <w:rsid w:val="00B25B81"/>
    <w:rsid w:val="00B37840"/>
    <w:rsid w:val="00B4237E"/>
    <w:rsid w:val="00B82F56"/>
    <w:rsid w:val="00B96F74"/>
    <w:rsid w:val="00BF4174"/>
    <w:rsid w:val="00BF6A20"/>
    <w:rsid w:val="00C0160F"/>
    <w:rsid w:val="00C13AF7"/>
    <w:rsid w:val="00C4439C"/>
    <w:rsid w:val="00C475E6"/>
    <w:rsid w:val="00C63915"/>
    <w:rsid w:val="00C672BC"/>
    <w:rsid w:val="00C81E48"/>
    <w:rsid w:val="00C91778"/>
    <w:rsid w:val="00CA054F"/>
    <w:rsid w:val="00CA2837"/>
    <w:rsid w:val="00CA7937"/>
    <w:rsid w:val="00CB4A48"/>
    <w:rsid w:val="00CC2F8A"/>
    <w:rsid w:val="00CC4ACF"/>
    <w:rsid w:val="00D07561"/>
    <w:rsid w:val="00D4232F"/>
    <w:rsid w:val="00D45D19"/>
    <w:rsid w:val="00D52744"/>
    <w:rsid w:val="00D80BB2"/>
    <w:rsid w:val="00D837D7"/>
    <w:rsid w:val="00D858BE"/>
    <w:rsid w:val="00D90468"/>
    <w:rsid w:val="00DB2539"/>
    <w:rsid w:val="00DE0D6E"/>
    <w:rsid w:val="00DF75BC"/>
    <w:rsid w:val="00E016BC"/>
    <w:rsid w:val="00E1033A"/>
    <w:rsid w:val="00E30FB8"/>
    <w:rsid w:val="00E421D9"/>
    <w:rsid w:val="00E53D3A"/>
    <w:rsid w:val="00EB3BEA"/>
    <w:rsid w:val="00EB74B7"/>
    <w:rsid w:val="00EE0A33"/>
    <w:rsid w:val="00EE0C3B"/>
    <w:rsid w:val="00EE5F51"/>
    <w:rsid w:val="00EE7D0B"/>
    <w:rsid w:val="00F22228"/>
    <w:rsid w:val="00F37E63"/>
    <w:rsid w:val="00F46FBA"/>
    <w:rsid w:val="00F67CCA"/>
    <w:rsid w:val="00F77AAE"/>
    <w:rsid w:val="00FA28C6"/>
    <w:rsid w:val="00FE410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D34C06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F6A20"/>
    <w:rPr>
      <w:lang w:val="fr-FR"/>
    </w:rPr>
  </w:style>
  <w:style w:type="paragraph" w:styleId="Heading1">
    <w:name w:val="heading 1"/>
    <w:basedOn w:val="Normal"/>
    <w:next w:val="Normal"/>
    <w:link w:val="Heading1Char"/>
    <w:uiPriority w:val="9"/>
    <w:qFormat/>
    <w:rsid w:val="00E016BC"/>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essionsubtitle">
    <w:name w:val="sessionsubtitle"/>
    <w:basedOn w:val="DefaultParagraphFont"/>
    <w:rsid w:val="00BF6A20"/>
  </w:style>
  <w:style w:type="character" w:styleId="Hyperlink">
    <w:name w:val="Hyperlink"/>
    <w:basedOn w:val="DefaultParagraphFont"/>
    <w:uiPriority w:val="99"/>
    <w:unhideWhenUsed/>
    <w:rsid w:val="00F46FBA"/>
    <w:rPr>
      <w:color w:val="0000FF" w:themeColor="hyperlink"/>
      <w:u w:val="single"/>
    </w:rPr>
  </w:style>
  <w:style w:type="character" w:styleId="Strong">
    <w:name w:val="Strong"/>
    <w:basedOn w:val="DefaultParagraphFont"/>
    <w:uiPriority w:val="22"/>
    <w:qFormat/>
    <w:rsid w:val="00963A1E"/>
    <w:rPr>
      <w:b/>
      <w:bCs/>
    </w:rPr>
  </w:style>
  <w:style w:type="paragraph" w:styleId="BalloonText">
    <w:name w:val="Balloon Text"/>
    <w:basedOn w:val="Normal"/>
    <w:link w:val="BalloonTextChar"/>
    <w:uiPriority w:val="99"/>
    <w:semiHidden/>
    <w:unhideWhenUsed/>
    <w:rsid w:val="00074A6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74A6F"/>
    <w:rPr>
      <w:rFonts w:ascii="Lucida Grande" w:hAnsi="Lucida Grande" w:cs="Lucida Grande"/>
      <w:sz w:val="18"/>
      <w:szCs w:val="18"/>
      <w:lang w:val="fr-FR"/>
    </w:rPr>
  </w:style>
  <w:style w:type="table" w:customStyle="1" w:styleId="TableGridLight1">
    <w:name w:val="Table Grid Light1"/>
    <w:basedOn w:val="TableNormal"/>
    <w:uiPriority w:val="40"/>
    <w:rsid w:val="00F77AAE"/>
    <w:rPr>
      <w:rFonts w:eastAsiaTheme="minorHAnsi"/>
      <w:lang w:val="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924E29"/>
    <w:pPr>
      <w:tabs>
        <w:tab w:val="center" w:pos="4513"/>
        <w:tab w:val="right" w:pos="9026"/>
      </w:tabs>
    </w:pPr>
  </w:style>
  <w:style w:type="character" w:customStyle="1" w:styleId="HeaderChar">
    <w:name w:val="Header Char"/>
    <w:basedOn w:val="DefaultParagraphFont"/>
    <w:link w:val="Header"/>
    <w:uiPriority w:val="99"/>
    <w:rsid w:val="00924E29"/>
    <w:rPr>
      <w:lang w:val="fr-FR"/>
    </w:rPr>
  </w:style>
  <w:style w:type="paragraph" w:styleId="Footer">
    <w:name w:val="footer"/>
    <w:basedOn w:val="Normal"/>
    <w:link w:val="FooterChar"/>
    <w:uiPriority w:val="99"/>
    <w:unhideWhenUsed/>
    <w:rsid w:val="00924E29"/>
    <w:pPr>
      <w:tabs>
        <w:tab w:val="center" w:pos="4513"/>
        <w:tab w:val="right" w:pos="9026"/>
      </w:tabs>
    </w:pPr>
  </w:style>
  <w:style w:type="character" w:customStyle="1" w:styleId="FooterChar">
    <w:name w:val="Footer Char"/>
    <w:basedOn w:val="DefaultParagraphFont"/>
    <w:link w:val="Footer"/>
    <w:uiPriority w:val="99"/>
    <w:rsid w:val="00924E29"/>
    <w:rPr>
      <w:lang w:val="fr-FR"/>
    </w:rPr>
  </w:style>
  <w:style w:type="character" w:styleId="CommentReference">
    <w:name w:val="annotation reference"/>
    <w:basedOn w:val="DefaultParagraphFont"/>
    <w:uiPriority w:val="99"/>
    <w:semiHidden/>
    <w:unhideWhenUsed/>
    <w:rsid w:val="00924E29"/>
    <w:rPr>
      <w:sz w:val="16"/>
      <w:szCs w:val="16"/>
    </w:rPr>
  </w:style>
  <w:style w:type="paragraph" w:styleId="CommentText">
    <w:name w:val="annotation text"/>
    <w:basedOn w:val="Normal"/>
    <w:link w:val="CommentTextChar"/>
    <w:uiPriority w:val="99"/>
    <w:semiHidden/>
    <w:unhideWhenUsed/>
    <w:rsid w:val="00924E29"/>
    <w:rPr>
      <w:sz w:val="20"/>
      <w:szCs w:val="20"/>
    </w:rPr>
  </w:style>
  <w:style w:type="character" w:customStyle="1" w:styleId="CommentTextChar">
    <w:name w:val="Comment Text Char"/>
    <w:basedOn w:val="DefaultParagraphFont"/>
    <w:link w:val="CommentText"/>
    <w:uiPriority w:val="99"/>
    <w:semiHidden/>
    <w:rsid w:val="00924E29"/>
    <w:rPr>
      <w:sz w:val="20"/>
      <w:szCs w:val="20"/>
      <w:lang w:val="fr-FR"/>
    </w:rPr>
  </w:style>
  <w:style w:type="paragraph" w:styleId="CommentSubject">
    <w:name w:val="annotation subject"/>
    <w:basedOn w:val="CommentText"/>
    <w:next w:val="CommentText"/>
    <w:link w:val="CommentSubjectChar"/>
    <w:uiPriority w:val="99"/>
    <w:semiHidden/>
    <w:unhideWhenUsed/>
    <w:rsid w:val="00924E29"/>
    <w:rPr>
      <w:b/>
      <w:bCs/>
    </w:rPr>
  </w:style>
  <w:style w:type="character" w:customStyle="1" w:styleId="CommentSubjectChar">
    <w:name w:val="Comment Subject Char"/>
    <w:basedOn w:val="CommentTextChar"/>
    <w:link w:val="CommentSubject"/>
    <w:uiPriority w:val="99"/>
    <w:semiHidden/>
    <w:rsid w:val="00924E29"/>
    <w:rPr>
      <w:b/>
      <w:bCs/>
      <w:sz w:val="20"/>
      <w:szCs w:val="20"/>
      <w:lang w:val="fr-FR"/>
    </w:rPr>
  </w:style>
  <w:style w:type="paragraph" w:customStyle="1" w:styleId="H23G">
    <w:name w:val="_ H_2/3_G"/>
    <w:basedOn w:val="Normal"/>
    <w:next w:val="Normal"/>
    <w:qFormat/>
    <w:rsid w:val="007D650A"/>
    <w:pPr>
      <w:keepNext/>
      <w:keepLines/>
      <w:tabs>
        <w:tab w:val="right" w:pos="851"/>
      </w:tabs>
      <w:suppressAutoHyphens/>
      <w:kinsoku w:val="0"/>
      <w:overflowPunct w:val="0"/>
      <w:autoSpaceDE w:val="0"/>
      <w:autoSpaceDN w:val="0"/>
      <w:adjustRightInd w:val="0"/>
      <w:snapToGrid w:val="0"/>
      <w:spacing w:before="240" w:after="120" w:line="240" w:lineRule="exact"/>
      <w:ind w:left="1134" w:right="1134" w:hanging="1134"/>
      <w:outlineLvl w:val="3"/>
    </w:pPr>
    <w:rPr>
      <w:rFonts w:ascii="Times New Roman" w:eastAsiaTheme="minorHAnsi" w:hAnsi="Times New Roman" w:cs="Times New Roman"/>
      <w:b/>
      <w:sz w:val="20"/>
      <w:szCs w:val="20"/>
      <w:lang w:val="en-GB"/>
    </w:rPr>
  </w:style>
  <w:style w:type="paragraph" w:customStyle="1" w:styleId="SingleTxtG">
    <w:name w:val="_ Single Txt_G"/>
    <w:basedOn w:val="Normal"/>
    <w:link w:val="SingleTxtGChar"/>
    <w:qFormat/>
    <w:rsid w:val="007D650A"/>
    <w:pPr>
      <w:tabs>
        <w:tab w:val="left" w:pos="1701"/>
        <w:tab w:val="left" w:pos="2268"/>
        <w:tab w:val="left" w:pos="2835"/>
      </w:tabs>
      <w:suppressAutoHyphens/>
      <w:kinsoku w:val="0"/>
      <w:overflowPunct w:val="0"/>
      <w:autoSpaceDE w:val="0"/>
      <w:autoSpaceDN w:val="0"/>
      <w:adjustRightInd w:val="0"/>
      <w:snapToGrid w:val="0"/>
      <w:spacing w:after="120" w:line="240" w:lineRule="atLeast"/>
      <w:ind w:left="1134" w:right="1134"/>
      <w:jc w:val="both"/>
    </w:pPr>
    <w:rPr>
      <w:rFonts w:ascii="Times New Roman" w:eastAsiaTheme="minorHAnsi" w:hAnsi="Times New Roman" w:cs="Times New Roman"/>
      <w:sz w:val="20"/>
      <w:szCs w:val="20"/>
      <w:lang w:val="en-GB"/>
    </w:rPr>
  </w:style>
  <w:style w:type="character" w:customStyle="1" w:styleId="SingleTxtGChar">
    <w:name w:val="_ Single Txt_G Char"/>
    <w:link w:val="SingleTxtG"/>
    <w:locked/>
    <w:rsid w:val="007D650A"/>
    <w:rPr>
      <w:rFonts w:ascii="Times New Roman" w:eastAsiaTheme="minorHAnsi" w:hAnsi="Times New Roman" w:cs="Times New Roman"/>
      <w:sz w:val="20"/>
      <w:szCs w:val="20"/>
      <w:lang w:val="en-GB"/>
    </w:rPr>
  </w:style>
  <w:style w:type="paragraph" w:styleId="ListParagraph">
    <w:name w:val="List Paragraph"/>
    <w:basedOn w:val="Normal"/>
    <w:uiPriority w:val="34"/>
    <w:qFormat/>
    <w:rsid w:val="0020086C"/>
    <w:pPr>
      <w:ind w:left="720"/>
      <w:contextualSpacing/>
    </w:pPr>
  </w:style>
  <w:style w:type="character" w:customStyle="1" w:styleId="Heading1Char">
    <w:name w:val="Heading 1 Char"/>
    <w:basedOn w:val="DefaultParagraphFont"/>
    <w:link w:val="Heading1"/>
    <w:uiPriority w:val="9"/>
    <w:rsid w:val="00E016BC"/>
    <w:rPr>
      <w:rFonts w:asciiTheme="majorHAnsi" w:eastAsiaTheme="majorEastAsia" w:hAnsiTheme="majorHAnsi" w:cstheme="majorBidi"/>
      <w:color w:val="365F91" w:themeColor="accent1" w:themeShade="BF"/>
      <w:sz w:val="32"/>
      <w:szCs w:val="32"/>
      <w:lang w:val="fr-FR"/>
    </w:rPr>
  </w:style>
  <w:style w:type="paragraph" w:styleId="TOCHeading">
    <w:name w:val="TOC Heading"/>
    <w:basedOn w:val="Heading1"/>
    <w:next w:val="Normal"/>
    <w:uiPriority w:val="39"/>
    <w:unhideWhenUsed/>
    <w:qFormat/>
    <w:rsid w:val="001F5738"/>
    <w:pPr>
      <w:spacing w:line="259" w:lineRule="auto"/>
      <w:outlineLvl w:val="9"/>
    </w:pPr>
    <w:rPr>
      <w:lang w:val="en-US"/>
    </w:rPr>
  </w:style>
  <w:style w:type="paragraph" w:styleId="TOC1">
    <w:name w:val="toc 1"/>
    <w:basedOn w:val="Normal"/>
    <w:next w:val="Normal"/>
    <w:autoRedefine/>
    <w:uiPriority w:val="39"/>
    <w:unhideWhenUsed/>
    <w:rsid w:val="00F22228"/>
    <w:pPr>
      <w:tabs>
        <w:tab w:val="right" w:leader="dot" w:pos="9010"/>
      </w:tabs>
    </w:pPr>
  </w:style>
  <w:style w:type="paragraph" w:styleId="FootnoteText">
    <w:name w:val="footnote text"/>
    <w:basedOn w:val="Normal"/>
    <w:link w:val="FootnoteTextChar"/>
    <w:uiPriority w:val="99"/>
    <w:semiHidden/>
    <w:unhideWhenUsed/>
    <w:rsid w:val="00267E66"/>
    <w:rPr>
      <w:sz w:val="20"/>
      <w:szCs w:val="20"/>
    </w:rPr>
  </w:style>
  <w:style w:type="character" w:customStyle="1" w:styleId="FootnoteTextChar">
    <w:name w:val="Footnote Text Char"/>
    <w:basedOn w:val="DefaultParagraphFont"/>
    <w:link w:val="FootnoteText"/>
    <w:uiPriority w:val="99"/>
    <w:semiHidden/>
    <w:rsid w:val="00267E66"/>
    <w:rPr>
      <w:sz w:val="20"/>
      <w:szCs w:val="20"/>
      <w:lang w:val="fr-FR"/>
    </w:rPr>
  </w:style>
  <w:style w:type="character" w:styleId="FootnoteReference">
    <w:name w:val="footnote reference"/>
    <w:aliases w:val="4_G"/>
    <w:rsid w:val="00267E66"/>
    <w:rPr>
      <w:rFonts w:ascii="Times New Roman" w:hAnsi="Times New Roman"/>
      <w:sz w:val="18"/>
      <w:vertAlign w:val="superscript"/>
    </w:rPr>
  </w:style>
  <w:style w:type="paragraph" w:styleId="Revision">
    <w:name w:val="Revision"/>
    <w:hidden/>
    <w:uiPriority w:val="99"/>
    <w:semiHidden/>
    <w:rsid w:val="004C0AFC"/>
    <w:rPr>
      <w:lang w:val="fr-FR"/>
    </w:rPr>
  </w:style>
  <w:style w:type="character" w:styleId="UnresolvedMention">
    <w:name w:val="Unresolved Mention"/>
    <w:basedOn w:val="DefaultParagraphFont"/>
    <w:uiPriority w:val="99"/>
    <w:rsid w:val="00DF75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8652030">
      <w:bodyDiv w:val="1"/>
      <w:marLeft w:val="0"/>
      <w:marRight w:val="0"/>
      <w:marTop w:val="0"/>
      <w:marBottom w:val="0"/>
      <w:divBdr>
        <w:top w:val="none" w:sz="0" w:space="0" w:color="auto"/>
        <w:left w:val="none" w:sz="0" w:space="0" w:color="auto"/>
        <w:bottom w:val="none" w:sz="0" w:space="0" w:color="auto"/>
        <w:right w:val="none" w:sz="0" w:space="0" w:color="auto"/>
      </w:divBdr>
      <w:divsChild>
        <w:div w:id="122576742">
          <w:marLeft w:val="0"/>
          <w:marRight w:val="0"/>
          <w:marTop w:val="0"/>
          <w:marBottom w:val="0"/>
          <w:divBdr>
            <w:top w:val="none" w:sz="0" w:space="0" w:color="auto"/>
            <w:left w:val="none" w:sz="0" w:space="0" w:color="auto"/>
            <w:bottom w:val="none" w:sz="0" w:space="0" w:color="auto"/>
            <w:right w:val="none" w:sz="0" w:space="0" w:color="auto"/>
          </w:divBdr>
        </w:div>
      </w:divsChild>
    </w:div>
    <w:div w:id="1867980881">
      <w:bodyDiv w:val="1"/>
      <w:marLeft w:val="0"/>
      <w:marRight w:val="0"/>
      <w:marTop w:val="0"/>
      <w:marBottom w:val="0"/>
      <w:divBdr>
        <w:top w:val="none" w:sz="0" w:space="0" w:color="auto"/>
        <w:left w:val="none" w:sz="0" w:space="0" w:color="auto"/>
        <w:bottom w:val="none" w:sz="0" w:space="0" w:color="auto"/>
        <w:right w:val="none" w:sz="0" w:space="0" w:color="auto"/>
      </w:divBdr>
      <w:divsChild>
        <w:div w:id="1214198793">
          <w:marLeft w:val="0"/>
          <w:marRight w:val="0"/>
          <w:marTop w:val="0"/>
          <w:marBottom w:val="0"/>
          <w:divBdr>
            <w:top w:val="none" w:sz="0" w:space="0" w:color="auto"/>
            <w:left w:val="none" w:sz="0" w:space="0" w:color="auto"/>
            <w:bottom w:val="none" w:sz="0" w:space="0" w:color="auto"/>
            <w:right w:val="none" w:sz="0" w:space="0" w:color="auto"/>
          </w:divBdr>
        </w:div>
        <w:div w:id="1659573829">
          <w:marLeft w:val="0"/>
          <w:marRight w:val="0"/>
          <w:marTop w:val="0"/>
          <w:marBottom w:val="0"/>
          <w:divBdr>
            <w:top w:val="none" w:sz="0" w:space="0" w:color="auto"/>
            <w:left w:val="none" w:sz="0" w:space="0" w:color="auto"/>
            <w:bottom w:val="none" w:sz="0" w:space="0" w:color="auto"/>
            <w:right w:val="none" w:sz="0" w:space="0" w:color="auto"/>
          </w:divBdr>
        </w:div>
      </w:divsChild>
    </w:div>
    <w:div w:id="2010476193">
      <w:bodyDiv w:val="1"/>
      <w:marLeft w:val="0"/>
      <w:marRight w:val="0"/>
      <w:marTop w:val="0"/>
      <w:marBottom w:val="0"/>
      <w:divBdr>
        <w:top w:val="none" w:sz="0" w:space="0" w:color="auto"/>
        <w:left w:val="none" w:sz="0" w:space="0" w:color="auto"/>
        <w:bottom w:val="none" w:sz="0" w:space="0" w:color="auto"/>
        <w:right w:val="none" w:sz="0" w:space="0" w:color="auto"/>
      </w:divBdr>
      <w:divsChild>
        <w:div w:id="275410710">
          <w:marLeft w:val="0"/>
          <w:marRight w:val="0"/>
          <w:marTop w:val="0"/>
          <w:marBottom w:val="0"/>
          <w:divBdr>
            <w:top w:val="none" w:sz="0" w:space="0" w:color="auto"/>
            <w:left w:val="none" w:sz="0" w:space="0" w:color="auto"/>
            <w:bottom w:val="none" w:sz="0" w:space="0" w:color="auto"/>
            <w:right w:val="none" w:sz="0" w:space="0" w:color="auto"/>
          </w:divBdr>
        </w:div>
        <w:div w:id="126099018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tbinternet.ohchr.org/_layouts/15/treatybodyexternal/SessionDetails1.aspx?SessionID=2550&amp;Lang=en"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undocs.org/en/HRI/2019/1" TargetMode="External"/><Relationship Id="rId2" Type="http://schemas.openxmlformats.org/officeDocument/2006/relationships/hyperlink" Target="http://undocs.org/en/E/C.12/2018/1" TargetMode="External"/><Relationship Id="rId1" Type="http://schemas.openxmlformats.org/officeDocument/2006/relationships/hyperlink" Target="http://undocs.org/en/E/C.12/SLV/CO/3-5" TargetMode="External"/><Relationship Id="rId5" Type="http://schemas.openxmlformats.org/officeDocument/2006/relationships/hyperlink" Target="http://undocs.org/en/E/C.12/MNG/CO/4" TargetMode="External"/><Relationship Id="rId4" Type="http://schemas.openxmlformats.org/officeDocument/2006/relationships/hyperlink" Target="http://undocs.org/en/E/C.12/2017/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3069DB-2837-4F59-A735-785089F96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7</Pages>
  <Words>2130</Words>
  <Characters>12569</Characters>
  <Application>Microsoft Office Word</Application>
  <DocSecurity>0</DocSecurity>
  <Lines>251</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Pierobon</dc:creator>
  <cp:keywords/>
  <dc:description/>
  <cp:lastModifiedBy>Mirriam Nthenge</cp:lastModifiedBy>
  <cp:revision>10</cp:revision>
  <cp:lastPrinted>2023-11-28T06:59:00Z</cp:lastPrinted>
  <dcterms:created xsi:type="dcterms:W3CDTF">2023-04-20T08:21:00Z</dcterms:created>
  <dcterms:modified xsi:type="dcterms:W3CDTF">2023-11-28T07:02:00Z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f43a1596767a2f24308ddec51ced5c44910c46dcc19b7b788703c6f35fc8d034</vt:lpwstr>
  </property>
</Properties>
</file>