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8EE4" w14:textId="4DD5C293" w:rsidR="00C475E6" w:rsidRPr="00E110D9" w:rsidRDefault="00C475E6" w:rsidP="00D52744">
      <w:pPr>
        <w:shd w:val="clear" w:color="auto" w:fill="FFFFFF"/>
        <w:jc w:val="center"/>
        <w:rPr>
          <w:rFonts w:ascii="Roboto" w:hAnsi="Roboto" w:cs="Arial"/>
          <w:b/>
          <w:sz w:val="22"/>
          <w:szCs w:val="22"/>
          <w:lang w:val="en-GB"/>
        </w:rPr>
      </w:pPr>
      <w:r w:rsidRPr="00E110D9">
        <w:rPr>
          <w:rFonts w:ascii="Roboto" w:hAnsi="Roboto" w:cs="Arial"/>
          <w:b/>
          <w:noProof/>
          <w:sz w:val="22"/>
          <w:szCs w:val="22"/>
          <w:lang w:val="en-GB"/>
        </w:rPr>
        <w:drawing>
          <wp:inline distT="0" distB="0" distL="0" distR="0" wp14:anchorId="6B729EBF" wp14:editId="7038CB22">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A27FC0D" w14:textId="77777777" w:rsidR="00C475E6" w:rsidRPr="00E110D9" w:rsidRDefault="00C475E6" w:rsidP="00D4232F">
      <w:pPr>
        <w:shd w:val="clear" w:color="auto" w:fill="FFFFFF"/>
        <w:jc w:val="both"/>
        <w:rPr>
          <w:rFonts w:ascii="Roboto" w:hAnsi="Roboto" w:cs="Arial"/>
          <w:b/>
          <w:sz w:val="22"/>
          <w:szCs w:val="22"/>
          <w:lang w:val="en-GB"/>
        </w:rPr>
      </w:pPr>
    </w:p>
    <w:p w14:paraId="629A90BC" w14:textId="3D0424D7" w:rsidR="00C475E6" w:rsidRPr="00E110D9" w:rsidRDefault="00C475E6" w:rsidP="00D4232F">
      <w:pPr>
        <w:shd w:val="clear" w:color="auto" w:fill="FFFFFF"/>
        <w:jc w:val="both"/>
        <w:rPr>
          <w:rFonts w:ascii="Roboto" w:hAnsi="Roboto" w:cs="Arial"/>
          <w:b/>
          <w:sz w:val="22"/>
          <w:szCs w:val="22"/>
          <w:lang w:val="en-GB"/>
        </w:rPr>
      </w:pPr>
    </w:p>
    <w:p w14:paraId="630624F8" w14:textId="7DC52844" w:rsidR="00F67CCA" w:rsidRPr="00E110D9" w:rsidRDefault="00F67CCA" w:rsidP="00D4232F">
      <w:pPr>
        <w:shd w:val="clear" w:color="auto" w:fill="FFFFFF"/>
        <w:jc w:val="both"/>
        <w:rPr>
          <w:rFonts w:ascii="Roboto" w:hAnsi="Roboto" w:cs="Arial"/>
          <w:b/>
          <w:sz w:val="22"/>
          <w:szCs w:val="22"/>
          <w:lang w:val="en-GB"/>
        </w:rPr>
      </w:pPr>
    </w:p>
    <w:p w14:paraId="0FA6A14E" w14:textId="77777777" w:rsidR="00F67CCA" w:rsidRPr="00E110D9" w:rsidRDefault="00F67CCA" w:rsidP="00D4232F">
      <w:pPr>
        <w:shd w:val="clear" w:color="auto" w:fill="FFFFFF"/>
        <w:jc w:val="both"/>
        <w:rPr>
          <w:rFonts w:ascii="Roboto" w:hAnsi="Roboto" w:cs="Arial"/>
          <w:b/>
          <w:sz w:val="22"/>
          <w:szCs w:val="22"/>
          <w:lang w:val="en-GB"/>
        </w:rPr>
      </w:pPr>
    </w:p>
    <w:p w14:paraId="3F9525A1" w14:textId="77777777" w:rsidR="00C475E6" w:rsidRPr="00E110D9" w:rsidRDefault="00C475E6" w:rsidP="00C475E6">
      <w:pPr>
        <w:snapToGrid w:val="0"/>
        <w:spacing w:before="120" w:after="120"/>
        <w:contextualSpacing/>
        <w:jc w:val="center"/>
        <w:rPr>
          <w:rFonts w:ascii="Roboto" w:eastAsia="Times New Roman" w:hAnsi="Roboto" w:cs="Calibri Light"/>
          <w:b/>
          <w:bCs/>
          <w:color w:val="000000"/>
          <w:sz w:val="32"/>
          <w:szCs w:val="32"/>
          <w:lang w:val="en-CA"/>
        </w:rPr>
      </w:pPr>
      <w:r w:rsidRPr="00E110D9">
        <w:rPr>
          <w:rFonts w:ascii="Roboto" w:eastAsia="Calibri" w:hAnsi="Roboto" w:cs="Times New Roman"/>
          <w:b/>
          <w:bCs/>
          <w:color w:val="4F81BD"/>
          <w:sz w:val="56"/>
          <w:szCs w:val="56"/>
          <w:lang w:val="en-US"/>
        </w:rPr>
        <w:t>IDA’s Compilation of Disability Related Extracts of Concluding Observations of the Committee on Economic, Social and Cultural Rights</w:t>
      </w:r>
    </w:p>
    <w:p w14:paraId="57D1725F" w14:textId="77777777" w:rsidR="00C475E6" w:rsidRPr="00E110D9" w:rsidRDefault="00C475E6" w:rsidP="00C475E6">
      <w:pPr>
        <w:snapToGrid w:val="0"/>
        <w:spacing w:before="120" w:after="120"/>
        <w:contextualSpacing/>
        <w:jc w:val="both"/>
        <w:rPr>
          <w:rFonts w:ascii="Roboto" w:eastAsia="Times New Roman" w:hAnsi="Roboto" w:cs="Calibri Light"/>
          <w:b/>
          <w:bCs/>
          <w:color w:val="000000"/>
          <w:sz w:val="32"/>
          <w:szCs w:val="32"/>
          <w:lang w:val="en-CA"/>
        </w:rPr>
      </w:pPr>
    </w:p>
    <w:p w14:paraId="191D7B09" w14:textId="7B3ED151" w:rsidR="00C475E6" w:rsidRPr="00E110D9" w:rsidRDefault="00C475E6" w:rsidP="00C475E6">
      <w:pPr>
        <w:snapToGrid w:val="0"/>
        <w:spacing w:before="120" w:after="120"/>
        <w:contextualSpacing/>
        <w:jc w:val="both"/>
        <w:rPr>
          <w:rFonts w:ascii="Roboto" w:eastAsia="Times New Roman" w:hAnsi="Roboto" w:cs="Calibri Light"/>
          <w:b/>
          <w:bCs/>
          <w:color w:val="000000"/>
          <w:sz w:val="32"/>
          <w:szCs w:val="32"/>
          <w:lang w:val="en-CA"/>
        </w:rPr>
      </w:pPr>
    </w:p>
    <w:p w14:paraId="33F103E4" w14:textId="402F1839" w:rsidR="00F67CCA" w:rsidRPr="00E110D9" w:rsidRDefault="00F67CCA" w:rsidP="00C475E6">
      <w:pPr>
        <w:snapToGrid w:val="0"/>
        <w:spacing w:before="120" w:after="120"/>
        <w:contextualSpacing/>
        <w:jc w:val="both"/>
        <w:rPr>
          <w:rFonts w:ascii="Roboto" w:eastAsia="Times New Roman" w:hAnsi="Roboto" w:cs="Calibri Light"/>
          <w:b/>
          <w:bCs/>
          <w:color w:val="000000"/>
          <w:sz w:val="32"/>
          <w:szCs w:val="32"/>
          <w:lang w:val="en-CA"/>
        </w:rPr>
      </w:pPr>
    </w:p>
    <w:p w14:paraId="69C106BD" w14:textId="2D2C7E2B" w:rsidR="00F67CCA" w:rsidRPr="00E110D9" w:rsidRDefault="00F67CCA" w:rsidP="00C475E6">
      <w:pPr>
        <w:snapToGrid w:val="0"/>
        <w:spacing w:before="120" w:after="120"/>
        <w:contextualSpacing/>
        <w:jc w:val="both"/>
        <w:rPr>
          <w:rFonts w:ascii="Roboto" w:eastAsia="Times New Roman" w:hAnsi="Roboto" w:cs="Calibri Light"/>
          <w:b/>
          <w:bCs/>
          <w:color w:val="000000"/>
          <w:sz w:val="32"/>
          <w:szCs w:val="32"/>
          <w:lang w:val="en-CA"/>
        </w:rPr>
      </w:pPr>
    </w:p>
    <w:p w14:paraId="1EF0F49D" w14:textId="1CE4FF55" w:rsidR="00F67CCA" w:rsidRPr="00E110D9" w:rsidRDefault="00F67CCA" w:rsidP="00C475E6">
      <w:pPr>
        <w:snapToGrid w:val="0"/>
        <w:spacing w:before="120" w:after="120"/>
        <w:contextualSpacing/>
        <w:jc w:val="both"/>
        <w:rPr>
          <w:rFonts w:ascii="Roboto" w:eastAsia="Times New Roman" w:hAnsi="Roboto" w:cs="Calibri Light"/>
          <w:b/>
          <w:bCs/>
          <w:color w:val="000000"/>
          <w:sz w:val="32"/>
          <w:szCs w:val="32"/>
          <w:lang w:val="en-CA"/>
        </w:rPr>
      </w:pPr>
    </w:p>
    <w:p w14:paraId="1824209F" w14:textId="7DBD0EAF" w:rsidR="00F67CCA" w:rsidRPr="00E110D9" w:rsidRDefault="00F67CCA" w:rsidP="00B96F74">
      <w:pPr>
        <w:snapToGrid w:val="0"/>
        <w:spacing w:before="120" w:after="120"/>
        <w:contextualSpacing/>
        <w:jc w:val="center"/>
        <w:rPr>
          <w:rFonts w:ascii="Roboto" w:eastAsia="Times New Roman" w:hAnsi="Roboto" w:cs="Calibri Light"/>
          <w:b/>
          <w:bCs/>
          <w:color w:val="000000"/>
          <w:sz w:val="32"/>
          <w:szCs w:val="32"/>
          <w:lang w:val="en-CA"/>
        </w:rPr>
      </w:pPr>
      <w:r w:rsidRPr="00E110D9">
        <w:rPr>
          <w:rFonts w:ascii="Roboto" w:eastAsia="Calibri" w:hAnsi="Roboto" w:cs="Times New Roman"/>
          <w:b/>
          <w:bCs/>
          <w:color w:val="000000"/>
          <w:sz w:val="52"/>
          <w:szCs w:val="52"/>
          <w:lang w:val="es-ES"/>
        </w:rPr>
        <w:t>CESCR Committee’s 7</w:t>
      </w:r>
      <w:r w:rsidR="001A0CA8" w:rsidRPr="00E110D9">
        <w:rPr>
          <w:rFonts w:ascii="Roboto" w:eastAsia="Calibri" w:hAnsi="Roboto" w:cs="Times New Roman"/>
          <w:b/>
          <w:bCs/>
          <w:color w:val="000000"/>
          <w:sz w:val="52"/>
          <w:szCs w:val="52"/>
          <w:lang w:val="es-ES"/>
        </w:rPr>
        <w:t xml:space="preserve">3rd </w:t>
      </w:r>
      <w:r w:rsidRPr="00E110D9">
        <w:rPr>
          <w:rFonts w:ascii="Roboto" w:eastAsia="Calibri" w:hAnsi="Roboto" w:cs="Times New Roman"/>
          <w:b/>
          <w:bCs/>
          <w:color w:val="000000"/>
          <w:sz w:val="52"/>
          <w:szCs w:val="52"/>
          <w:lang w:val="es-ES"/>
        </w:rPr>
        <w:t xml:space="preserve"> session</w:t>
      </w:r>
    </w:p>
    <w:p w14:paraId="1B05B78D" w14:textId="77777777" w:rsidR="00C475E6" w:rsidRPr="00E110D9" w:rsidRDefault="00C475E6" w:rsidP="00B96F74">
      <w:pPr>
        <w:snapToGrid w:val="0"/>
        <w:spacing w:before="120" w:after="120"/>
        <w:contextualSpacing/>
        <w:jc w:val="center"/>
        <w:rPr>
          <w:rFonts w:ascii="Roboto" w:eastAsia="Times New Roman" w:hAnsi="Roboto" w:cs="Calibri Light"/>
          <w:b/>
          <w:bCs/>
          <w:color w:val="000000"/>
          <w:sz w:val="32"/>
          <w:szCs w:val="32"/>
          <w:lang w:val="en-CA"/>
        </w:rPr>
      </w:pPr>
    </w:p>
    <w:p w14:paraId="455F674D" w14:textId="7090CCD7" w:rsidR="00C475E6" w:rsidRPr="00E110D9" w:rsidRDefault="00C475E6" w:rsidP="00B96F74">
      <w:pPr>
        <w:snapToGrid w:val="0"/>
        <w:spacing w:before="120" w:after="120"/>
        <w:contextualSpacing/>
        <w:jc w:val="center"/>
        <w:rPr>
          <w:rFonts w:ascii="Roboto" w:eastAsia="Times New Roman" w:hAnsi="Roboto" w:cs="Calibri Light"/>
          <w:b/>
          <w:bCs/>
          <w:color w:val="000000"/>
          <w:sz w:val="32"/>
          <w:szCs w:val="32"/>
          <w:lang w:val="en-CA"/>
        </w:rPr>
      </w:pPr>
      <w:r w:rsidRPr="00E110D9">
        <w:rPr>
          <w:rFonts w:ascii="Roboto" w:eastAsia="Calibri" w:hAnsi="Roboto" w:cs="Times New Roman"/>
          <w:b/>
          <w:bCs/>
          <w:color w:val="000000"/>
          <w:sz w:val="52"/>
          <w:szCs w:val="52"/>
          <w:lang w:val="en-GB"/>
        </w:rPr>
        <w:t>(</w:t>
      </w:r>
      <w:r w:rsidR="00AA6A44" w:rsidRPr="00E110D9">
        <w:rPr>
          <w:rFonts w:ascii="Roboto" w:eastAsia="Calibri" w:hAnsi="Roboto" w:cs="Times New Roman"/>
          <w:b/>
          <w:bCs/>
          <w:color w:val="000000"/>
          <w:sz w:val="52"/>
          <w:szCs w:val="52"/>
          <w:lang w:val="en-GB"/>
        </w:rPr>
        <w:t>13 Feb</w:t>
      </w:r>
      <w:r w:rsidRPr="00E110D9">
        <w:rPr>
          <w:rFonts w:ascii="Roboto" w:eastAsia="Calibri" w:hAnsi="Roboto" w:cs="Times New Roman"/>
          <w:b/>
          <w:bCs/>
          <w:color w:val="000000"/>
          <w:sz w:val="52"/>
          <w:szCs w:val="52"/>
          <w:lang w:val="en-GB"/>
        </w:rPr>
        <w:t xml:space="preserve"> 202</w:t>
      </w:r>
      <w:r w:rsidR="00AA6A44" w:rsidRPr="00E110D9">
        <w:rPr>
          <w:rFonts w:ascii="Roboto" w:eastAsia="Calibri" w:hAnsi="Roboto" w:cs="Times New Roman"/>
          <w:b/>
          <w:bCs/>
          <w:color w:val="000000"/>
          <w:sz w:val="52"/>
          <w:szCs w:val="52"/>
          <w:lang w:val="en-GB"/>
        </w:rPr>
        <w:t>3</w:t>
      </w:r>
      <w:r w:rsidRPr="00E110D9">
        <w:rPr>
          <w:rFonts w:ascii="Roboto" w:eastAsia="Calibri" w:hAnsi="Roboto" w:cs="Times New Roman"/>
          <w:b/>
          <w:bCs/>
          <w:color w:val="000000"/>
          <w:sz w:val="52"/>
          <w:szCs w:val="52"/>
          <w:lang w:val="en-GB"/>
        </w:rPr>
        <w:t xml:space="preserve">- </w:t>
      </w:r>
      <w:r w:rsidR="00AA6A44" w:rsidRPr="00E110D9">
        <w:rPr>
          <w:rFonts w:ascii="Roboto" w:eastAsia="Calibri" w:hAnsi="Roboto" w:cs="Times New Roman"/>
          <w:b/>
          <w:bCs/>
          <w:color w:val="000000"/>
          <w:sz w:val="52"/>
          <w:szCs w:val="52"/>
          <w:lang w:val="en-GB"/>
        </w:rPr>
        <w:t>03 March</w:t>
      </w:r>
      <w:r w:rsidRPr="00E110D9">
        <w:rPr>
          <w:rFonts w:ascii="Roboto" w:eastAsia="Calibri" w:hAnsi="Roboto" w:cs="Times New Roman"/>
          <w:b/>
          <w:bCs/>
          <w:color w:val="000000"/>
          <w:sz w:val="52"/>
          <w:szCs w:val="52"/>
          <w:lang w:val="en-GB"/>
        </w:rPr>
        <w:t xml:space="preserve"> 202</w:t>
      </w:r>
      <w:r w:rsidR="00AA6A44" w:rsidRPr="00E110D9">
        <w:rPr>
          <w:rFonts w:ascii="Roboto" w:eastAsia="Calibri" w:hAnsi="Roboto" w:cs="Times New Roman"/>
          <w:b/>
          <w:bCs/>
          <w:color w:val="000000"/>
          <w:sz w:val="52"/>
          <w:szCs w:val="52"/>
          <w:lang w:val="en-GB"/>
        </w:rPr>
        <w:t>3</w:t>
      </w:r>
      <w:r w:rsidRPr="00E110D9">
        <w:rPr>
          <w:rFonts w:ascii="Roboto" w:eastAsia="Calibri" w:hAnsi="Roboto" w:cs="Times New Roman"/>
          <w:b/>
          <w:bCs/>
          <w:color w:val="000000"/>
          <w:sz w:val="52"/>
          <w:szCs w:val="52"/>
          <w:lang w:val="en-GB"/>
        </w:rPr>
        <w:t>)</w:t>
      </w:r>
    </w:p>
    <w:p w14:paraId="0A311D17" w14:textId="77777777" w:rsidR="00C475E6" w:rsidRPr="00E110D9" w:rsidRDefault="00C475E6" w:rsidP="00D4232F">
      <w:pPr>
        <w:shd w:val="clear" w:color="auto" w:fill="FFFFFF"/>
        <w:jc w:val="both"/>
        <w:rPr>
          <w:rFonts w:ascii="Roboto" w:hAnsi="Roboto" w:cs="Arial"/>
          <w:b/>
          <w:sz w:val="22"/>
          <w:szCs w:val="22"/>
          <w:lang w:val="en-GB"/>
        </w:rPr>
      </w:pPr>
    </w:p>
    <w:p w14:paraId="3B97F204" w14:textId="77777777" w:rsidR="00C475E6" w:rsidRPr="00E110D9" w:rsidRDefault="00C475E6" w:rsidP="00D4232F">
      <w:pPr>
        <w:shd w:val="clear" w:color="auto" w:fill="FFFFFF"/>
        <w:jc w:val="both"/>
        <w:rPr>
          <w:rFonts w:ascii="Roboto" w:hAnsi="Roboto" w:cs="Arial"/>
          <w:b/>
          <w:sz w:val="22"/>
          <w:szCs w:val="22"/>
          <w:lang w:val="en-GB"/>
        </w:rPr>
      </w:pPr>
    </w:p>
    <w:p w14:paraId="74C18F61" w14:textId="77777777" w:rsidR="00C475E6" w:rsidRPr="00E110D9" w:rsidRDefault="00C475E6" w:rsidP="00D4232F">
      <w:pPr>
        <w:shd w:val="clear" w:color="auto" w:fill="FFFFFF"/>
        <w:jc w:val="both"/>
        <w:rPr>
          <w:rFonts w:ascii="Roboto" w:hAnsi="Roboto" w:cs="Arial"/>
          <w:b/>
          <w:sz w:val="22"/>
          <w:szCs w:val="22"/>
          <w:lang w:val="en-GB"/>
        </w:rPr>
      </w:pPr>
    </w:p>
    <w:p w14:paraId="4D6B5386" w14:textId="77777777" w:rsidR="00C475E6" w:rsidRPr="00E110D9" w:rsidRDefault="00C475E6" w:rsidP="00D4232F">
      <w:pPr>
        <w:shd w:val="clear" w:color="auto" w:fill="FFFFFF"/>
        <w:jc w:val="both"/>
        <w:rPr>
          <w:rFonts w:ascii="Roboto" w:hAnsi="Roboto" w:cs="Arial"/>
          <w:b/>
          <w:sz w:val="22"/>
          <w:szCs w:val="22"/>
          <w:lang w:val="en-GB"/>
        </w:rPr>
      </w:pPr>
    </w:p>
    <w:p w14:paraId="4A8F1127" w14:textId="77777777" w:rsidR="00C475E6" w:rsidRPr="00E110D9" w:rsidRDefault="00C475E6" w:rsidP="00D4232F">
      <w:pPr>
        <w:shd w:val="clear" w:color="auto" w:fill="FFFFFF"/>
        <w:jc w:val="both"/>
        <w:rPr>
          <w:rFonts w:ascii="Roboto" w:hAnsi="Roboto" w:cs="Arial"/>
          <w:b/>
          <w:sz w:val="22"/>
          <w:szCs w:val="22"/>
          <w:lang w:val="en-GB"/>
        </w:rPr>
      </w:pPr>
    </w:p>
    <w:p w14:paraId="128965DB" w14:textId="77777777" w:rsidR="00C475E6" w:rsidRPr="00E110D9" w:rsidRDefault="00C475E6" w:rsidP="00D4232F">
      <w:pPr>
        <w:shd w:val="clear" w:color="auto" w:fill="FFFFFF"/>
        <w:jc w:val="both"/>
        <w:rPr>
          <w:rFonts w:ascii="Roboto" w:hAnsi="Roboto" w:cs="Arial"/>
          <w:b/>
          <w:sz w:val="22"/>
          <w:szCs w:val="22"/>
          <w:lang w:val="en-GB"/>
        </w:rPr>
      </w:pPr>
    </w:p>
    <w:p w14:paraId="109A127E" w14:textId="59521937" w:rsidR="000A1957" w:rsidRPr="00E110D9" w:rsidRDefault="000A1957">
      <w:pPr>
        <w:rPr>
          <w:rFonts w:ascii="Roboto" w:hAnsi="Roboto" w:cs="Arial"/>
          <w:b/>
          <w:sz w:val="22"/>
          <w:szCs w:val="22"/>
          <w:lang w:val="en-GB"/>
        </w:rPr>
      </w:pPr>
      <w:r w:rsidRPr="00E110D9">
        <w:rPr>
          <w:rFonts w:ascii="Roboto" w:hAnsi="Roboto" w:cs="Arial"/>
          <w:b/>
          <w:sz w:val="22"/>
          <w:szCs w:val="22"/>
          <w:lang w:val="en-GB"/>
        </w:rPr>
        <w:br w:type="page"/>
      </w:r>
    </w:p>
    <w:p w14:paraId="3D9E2BB2" w14:textId="77777777" w:rsidR="00C475E6" w:rsidRPr="00E110D9" w:rsidRDefault="00C475E6" w:rsidP="00D4232F">
      <w:pPr>
        <w:shd w:val="clear" w:color="auto" w:fill="FFFFFF"/>
        <w:jc w:val="both"/>
        <w:rPr>
          <w:rFonts w:ascii="Roboto" w:hAnsi="Roboto" w:cs="Arial"/>
          <w:b/>
          <w:sz w:val="22"/>
          <w:szCs w:val="22"/>
          <w:lang w:val="en-GB"/>
        </w:rPr>
      </w:pPr>
    </w:p>
    <w:tbl>
      <w:tblPr>
        <w:tblStyle w:val="TableGridLight1"/>
        <w:tblW w:w="9922" w:type="dxa"/>
        <w:tblInd w:w="-147" w:type="dxa"/>
        <w:tblLook w:val="04A0" w:firstRow="1" w:lastRow="0" w:firstColumn="1" w:lastColumn="0" w:noHBand="0" w:noVBand="1"/>
      </w:tblPr>
      <w:tblGrid>
        <w:gridCol w:w="8647"/>
        <w:gridCol w:w="1275"/>
      </w:tblGrid>
      <w:tr w:rsidR="00141D8D" w:rsidRPr="00E110D9" w14:paraId="1690DFDF" w14:textId="77777777" w:rsidTr="00B91C78">
        <w:trPr>
          <w:trHeight w:val="858"/>
        </w:trPr>
        <w:tc>
          <w:tcPr>
            <w:tcW w:w="9922" w:type="dxa"/>
            <w:gridSpan w:val="2"/>
            <w:noWrap/>
            <w:hideMark/>
          </w:tcPr>
          <w:p w14:paraId="4D02B2BD" w14:textId="77777777" w:rsidR="00141D8D" w:rsidRDefault="00141D8D" w:rsidP="00141D8D">
            <w:pPr>
              <w:jc w:val="center"/>
              <w:rPr>
                <w:rFonts w:ascii="Roboto" w:hAnsi="Roboto" w:cs="Arial"/>
                <w:b/>
                <w:bCs/>
                <w:color w:val="000000"/>
                <w:lang w:val="en-US"/>
              </w:rPr>
            </w:pPr>
          </w:p>
          <w:p w14:paraId="1D0732C4" w14:textId="75EAD538" w:rsidR="00141D8D" w:rsidRPr="00E110D9" w:rsidRDefault="00141D8D" w:rsidP="00141D8D">
            <w:pPr>
              <w:jc w:val="center"/>
              <w:rPr>
                <w:rFonts w:ascii="Roboto" w:hAnsi="Roboto" w:cs="Arial"/>
                <w:b/>
                <w:bCs/>
                <w:color w:val="000000"/>
                <w:lang w:val="en-US"/>
              </w:rPr>
            </w:pPr>
            <w:r>
              <w:rPr>
                <w:rFonts w:ascii="Roboto" w:hAnsi="Roboto" w:cs="Arial"/>
                <w:b/>
                <w:bCs/>
                <w:color w:val="000000"/>
                <w:lang w:val="en-US"/>
              </w:rPr>
              <w:t>Committee on Economic, Social and Cultural Rights – 73rd Session - 2023</w:t>
            </w:r>
          </w:p>
          <w:p w14:paraId="5D2CB10B" w14:textId="4E538A3B" w:rsidR="00141D8D" w:rsidRPr="00E110D9" w:rsidRDefault="00141D8D" w:rsidP="00D4232F">
            <w:pPr>
              <w:jc w:val="both"/>
              <w:rPr>
                <w:rFonts w:ascii="Roboto" w:hAnsi="Roboto" w:cs="Arial"/>
                <w:b/>
                <w:bCs/>
                <w:color w:val="000000"/>
                <w:lang w:val="en-US"/>
              </w:rPr>
            </w:pPr>
          </w:p>
        </w:tc>
      </w:tr>
      <w:tr w:rsidR="00F77AAE" w:rsidRPr="00E110D9" w14:paraId="0921FF49" w14:textId="77777777" w:rsidTr="00331932">
        <w:trPr>
          <w:trHeight w:val="703"/>
        </w:trPr>
        <w:tc>
          <w:tcPr>
            <w:tcW w:w="8647" w:type="dxa"/>
            <w:noWrap/>
            <w:hideMark/>
          </w:tcPr>
          <w:p w14:paraId="4EE91E91" w14:textId="321DB8AE" w:rsidR="00F77AAE" w:rsidRPr="00E110D9" w:rsidRDefault="00F77AAE" w:rsidP="00D4232F">
            <w:pPr>
              <w:jc w:val="both"/>
              <w:rPr>
                <w:rFonts w:ascii="Roboto" w:hAnsi="Roboto" w:cs="Arial"/>
                <w:color w:val="000000"/>
                <w:lang w:val="en-US"/>
              </w:rPr>
            </w:pPr>
            <w:r w:rsidRPr="00E110D9">
              <w:rPr>
                <w:rFonts w:ascii="Roboto" w:hAnsi="Roboto" w:cs="Arial"/>
                <w:color w:val="000000"/>
                <w:lang w:val="en-US"/>
              </w:rPr>
              <w:t>Total n</w:t>
            </w:r>
            <w:r w:rsidR="00B96F74" w:rsidRPr="00E110D9">
              <w:rPr>
                <w:rFonts w:ascii="Roboto" w:hAnsi="Roboto" w:cs="Arial"/>
                <w:color w:val="000000"/>
                <w:lang w:val="en-US"/>
              </w:rPr>
              <w:t>umber</w:t>
            </w:r>
            <w:r w:rsidRPr="00E110D9">
              <w:rPr>
                <w:rFonts w:ascii="Roboto" w:hAnsi="Roboto" w:cs="Arial"/>
                <w:color w:val="000000"/>
                <w:lang w:val="en-US"/>
              </w:rPr>
              <w:t xml:space="preserve"> of Concluding Observations</w:t>
            </w:r>
          </w:p>
        </w:tc>
        <w:tc>
          <w:tcPr>
            <w:tcW w:w="1275" w:type="dxa"/>
            <w:noWrap/>
            <w:hideMark/>
          </w:tcPr>
          <w:p w14:paraId="60466F20" w14:textId="67C44205" w:rsidR="00F77AAE" w:rsidRPr="00E110D9" w:rsidRDefault="004C0AFC" w:rsidP="00D4232F">
            <w:pPr>
              <w:jc w:val="both"/>
              <w:rPr>
                <w:rFonts w:ascii="Roboto" w:hAnsi="Roboto" w:cs="Arial"/>
                <w:color w:val="000000"/>
                <w:lang w:val="en-US"/>
              </w:rPr>
            </w:pPr>
            <w:r w:rsidRPr="00E110D9">
              <w:rPr>
                <w:rFonts w:ascii="Roboto" w:hAnsi="Roboto" w:cs="Arial"/>
                <w:color w:val="000000"/>
                <w:lang w:val="en-US"/>
              </w:rPr>
              <w:t>5</w:t>
            </w:r>
          </w:p>
        </w:tc>
      </w:tr>
      <w:tr w:rsidR="00F77AAE" w:rsidRPr="00E110D9" w14:paraId="18299061" w14:textId="77777777" w:rsidTr="00331932">
        <w:trPr>
          <w:trHeight w:val="698"/>
        </w:trPr>
        <w:tc>
          <w:tcPr>
            <w:tcW w:w="8647" w:type="dxa"/>
            <w:noWrap/>
            <w:hideMark/>
          </w:tcPr>
          <w:p w14:paraId="784B5321" w14:textId="047B4335" w:rsidR="00F77AAE" w:rsidRPr="00E110D9" w:rsidRDefault="00F77AAE" w:rsidP="00D4232F">
            <w:pPr>
              <w:jc w:val="both"/>
              <w:rPr>
                <w:rFonts w:ascii="Roboto" w:hAnsi="Roboto" w:cs="Arial"/>
                <w:color w:val="000000"/>
                <w:lang w:val="en-US"/>
              </w:rPr>
            </w:pPr>
            <w:r w:rsidRPr="00E110D9">
              <w:rPr>
                <w:rFonts w:ascii="Roboto" w:hAnsi="Roboto" w:cs="Arial"/>
                <w:color w:val="000000"/>
                <w:lang w:val="en-US"/>
              </w:rPr>
              <w:t>N</w:t>
            </w:r>
            <w:r w:rsidR="00B96F74" w:rsidRPr="00E110D9">
              <w:rPr>
                <w:rFonts w:ascii="Roboto" w:hAnsi="Roboto" w:cs="Arial"/>
                <w:color w:val="000000"/>
                <w:lang w:val="en-US"/>
              </w:rPr>
              <w:t>umber</w:t>
            </w:r>
            <w:r w:rsidRPr="00E110D9">
              <w:rPr>
                <w:rFonts w:ascii="Roboto" w:hAnsi="Roboto" w:cs="Arial"/>
                <w:color w:val="000000"/>
                <w:lang w:val="en-US"/>
              </w:rPr>
              <w:t xml:space="preserve"> of countries receiving recommendations on persons with </w:t>
            </w:r>
            <w:r w:rsidR="00D4232F" w:rsidRPr="00E110D9">
              <w:rPr>
                <w:rFonts w:ascii="Roboto" w:hAnsi="Roboto" w:cs="Arial"/>
                <w:color w:val="000000"/>
                <w:lang w:val="en-US"/>
              </w:rPr>
              <w:t>disab</w:t>
            </w:r>
            <w:r w:rsidRPr="00E110D9">
              <w:rPr>
                <w:rFonts w:ascii="Roboto" w:hAnsi="Roboto" w:cs="Arial"/>
                <w:color w:val="000000"/>
                <w:lang w:val="en-US"/>
              </w:rPr>
              <w:t>ilities</w:t>
            </w:r>
          </w:p>
        </w:tc>
        <w:tc>
          <w:tcPr>
            <w:tcW w:w="1275" w:type="dxa"/>
            <w:noWrap/>
            <w:hideMark/>
          </w:tcPr>
          <w:p w14:paraId="7CC1215B" w14:textId="134D3B4A" w:rsidR="00F77AAE" w:rsidRPr="00E110D9" w:rsidRDefault="004C0AFC" w:rsidP="00D4232F">
            <w:pPr>
              <w:jc w:val="both"/>
              <w:rPr>
                <w:rFonts w:ascii="Roboto" w:hAnsi="Roboto" w:cs="Arial"/>
                <w:color w:val="000000"/>
                <w:lang w:val="en-US"/>
              </w:rPr>
            </w:pPr>
            <w:r w:rsidRPr="00E110D9">
              <w:rPr>
                <w:rFonts w:ascii="Roboto" w:hAnsi="Roboto" w:cs="Arial"/>
                <w:color w:val="000000"/>
                <w:lang w:val="en-US"/>
              </w:rPr>
              <w:t>5</w:t>
            </w:r>
          </w:p>
        </w:tc>
      </w:tr>
      <w:tr w:rsidR="00F77AAE" w:rsidRPr="00E110D9" w14:paraId="427EB3D0" w14:textId="77777777" w:rsidTr="00331932">
        <w:trPr>
          <w:trHeight w:val="844"/>
        </w:trPr>
        <w:tc>
          <w:tcPr>
            <w:tcW w:w="8647" w:type="dxa"/>
            <w:noWrap/>
            <w:hideMark/>
          </w:tcPr>
          <w:p w14:paraId="0D949782" w14:textId="2FC4B89C" w:rsidR="00F77AAE" w:rsidRPr="00E110D9" w:rsidRDefault="00B96F74" w:rsidP="00D4232F">
            <w:pPr>
              <w:jc w:val="both"/>
              <w:rPr>
                <w:rFonts w:ascii="Roboto" w:hAnsi="Roboto" w:cs="Arial"/>
                <w:color w:val="000000"/>
                <w:lang w:val="en-US"/>
              </w:rPr>
            </w:pPr>
            <w:r w:rsidRPr="00E110D9">
              <w:rPr>
                <w:rFonts w:ascii="Roboto" w:hAnsi="Roboto" w:cs="Arial"/>
                <w:color w:val="000000"/>
                <w:lang w:val="en-US"/>
              </w:rPr>
              <w:t>Percentage</w:t>
            </w:r>
            <w:r w:rsidR="00F77AAE" w:rsidRPr="00E110D9">
              <w:rPr>
                <w:rFonts w:ascii="Roboto" w:hAnsi="Roboto" w:cs="Arial"/>
                <w:color w:val="000000"/>
                <w:lang w:val="en-US"/>
              </w:rPr>
              <w:t xml:space="preserve"> of countries receiving recommendations on persons with </w:t>
            </w:r>
            <w:r w:rsidR="00D4232F" w:rsidRPr="00E110D9">
              <w:rPr>
                <w:rFonts w:ascii="Roboto" w:hAnsi="Roboto" w:cs="Arial"/>
                <w:color w:val="000000"/>
                <w:lang w:val="en-US"/>
              </w:rPr>
              <w:t>disab</w:t>
            </w:r>
            <w:r w:rsidR="00F77AAE" w:rsidRPr="00E110D9">
              <w:rPr>
                <w:rFonts w:ascii="Roboto" w:hAnsi="Roboto" w:cs="Arial"/>
                <w:color w:val="000000"/>
                <w:lang w:val="en-US"/>
              </w:rPr>
              <w:t>ilities</w:t>
            </w:r>
          </w:p>
        </w:tc>
        <w:tc>
          <w:tcPr>
            <w:tcW w:w="1275" w:type="dxa"/>
            <w:noWrap/>
            <w:hideMark/>
          </w:tcPr>
          <w:p w14:paraId="18850788" w14:textId="32D8F949" w:rsidR="00F77AAE" w:rsidRPr="00E110D9" w:rsidRDefault="0045354C" w:rsidP="00D4232F">
            <w:pPr>
              <w:jc w:val="both"/>
              <w:rPr>
                <w:rFonts w:ascii="Roboto" w:hAnsi="Roboto" w:cs="Arial"/>
                <w:color w:val="000000"/>
                <w:lang w:val="en-US"/>
              </w:rPr>
            </w:pPr>
            <w:r w:rsidRPr="00E110D9">
              <w:rPr>
                <w:rFonts w:ascii="Roboto" w:hAnsi="Roboto" w:cs="Arial"/>
                <w:color w:val="000000"/>
                <w:lang w:val="en-US"/>
              </w:rPr>
              <w:t>100%</w:t>
            </w:r>
          </w:p>
        </w:tc>
      </w:tr>
      <w:tr w:rsidR="00F77AAE" w:rsidRPr="00E110D9" w14:paraId="5C2040F3" w14:textId="77777777" w:rsidTr="00331932">
        <w:trPr>
          <w:trHeight w:val="714"/>
        </w:trPr>
        <w:tc>
          <w:tcPr>
            <w:tcW w:w="8647" w:type="dxa"/>
            <w:noWrap/>
            <w:hideMark/>
          </w:tcPr>
          <w:p w14:paraId="11C51060" w14:textId="3183FAF0" w:rsidR="00F77AAE" w:rsidRPr="00E110D9" w:rsidRDefault="00F77AAE" w:rsidP="00D4232F">
            <w:pPr>
              <w:jc w:val="both"/>
              <w:rPr>
                <w:rFonts w:ascii="Roboto" w:hAnsi="Roboto" w:cs="Arial"/>
                <w:color w:val="000000"/>
                <w:lang w:val="en-US"/>
              </w:rPr>
            </w:pPr>
            <w:r w:rsidRPr="00E110D9">
              <w:rPr>
                <w:rFonts w:ascii="Roboto" w:hAnsi="Roboto" w:cs="Arial"/>
                <w:color w:val="000000"/>
                <w:lang w:val="en-US"/>
              </w:rPr>
              <w:t>N</w:t>
            </w:r>
            <w:r w:rsidR="00B96F74" w:rsidRPr="00E110D9">
              <w:rPr>
                <w:rFonts w:ascii="Roboto" w:hAnsi="Roboto" w:cs="Arial"/>
                <w:color w:val="000000"/>
                <w:lang w:val="en-US"/>
              </w:rPr>
              <w:t>umber</w:t>
            </w:r>
            <w:r w:rsidRPr="00E110D9">
              <w:rPr>
                <w:rFonts w:ascii="Roboto" w:hAnsi="Roboto" w:cs="Arial"/>
                <w:color w:val="000000"/>
                <w:lang w:val="en-US"/>
              </w:rPr>
              <w:t xml:space="preserve"> of recommendations including explicit references on </w:t>
            </w:r>
            <w:r w:rsidR="00D4232F" w:rsidRPr="00E110D9">
              <w:rPr>
                <w:rFonts w:ascii="Roboto" w:hAnsi="Roboto" w:cs="Arial"/>
                <w:color w:val="000000"/>
                <w:lang w:val="en-US"/>
              </w:rPr>
              <w:t>disab</w:t>
            </w:r>
            <w:r w:rsidRPr="00E110D9">
              <w:rPr>
                <w:rFonts w:ascii="Roboto" w:hAnsi="Roboto" w:cs="Arial"/>
                <w:color w:val="000000"/>
                <w:lang w:val="en-US"/>
              </w:rPr>
              <w:t xml:space="preserve">ility </w:t>
            </w:r>
          </w:p>
        </w:tc>
        <w:tc>
          <w:tcPr>
            <w:tcW w:w="1275" w:type="dxa"/>
            <w:noWrap/>
            <w:hideMark/>
          </w:tcPr>
          <w:p w14:paraId="5011F63C" w14:textId="12AF0B11" w:rsidR="00F77AAE" w:rsidRPr="00E110D9" w:rsidRDefault="00EE7D0B" w:rsidP="00D4232F">
            <w:pPr>
              <w:jc w:val="both"/>
              <w:rPr>
                <w:rFonts w:ascii="Roboto" w:hAnsi="Roboto" w:cs="Arial"/>
                <w:color w:val="000000"/>
                <w:lang w:val="en-US"/>
              </w:rPr>
            </w:pPr>
            <w:r w:rsidRPr="00E110D9">
              <w:rPr>
                <w:rFonts w:ascii="Roboto" w:hAnsi="Roboto" w:cs="Arial"/>
                <w:color w:val="000000"/>
                <w:lang w:val="en-US"/>
              </w:rPr>
              <w:t>1</w:t>
            </w:r>
            <w:r w:rsidR="00355CEA" w:rsidRPr="00E110D9">
              <w:rPr>
                <w:rFonts w:ascii="Roboto" w:hAnsi="Roboto" w:cs="Arial"/>
                <w:color w:val="000000"/>
                <w:lang w:val="en-US"/>
              </w:rPr>
              <w:t>9</w:t>
            </w:r>
          </w:p>
        </w:tc>
      </w:tr>
    </w:tbl>
    <w:p w14:paraId="78066DE6" w14:textId="6D08D63A" w:rsidR="00F46FBA" w:rsidRDefault="00F46FBA" w:rsidP="00C475E6">
      <w:pPr>
        <w:spacing w:after="120"/>
        <w:jc w:val="both"/>
        <w:rPr>
          <w:rFonts w:ascii="Roboto" w:hAnsi="Roboto" w:cs="Arial"/>
          <w:sz w:val="22"/>
          <w:szCs w:val="22"/>
          <w:lang w:val="en-GB"/>
        </w:rPr>
      </w:pPr>
    </w:p>
    <w:p w14:paraId="0C266463" w14:textId="77777777" w:rsidR="00331932" w:rsidRPr="00331932" w:rsidRDefault="00331932" w:rsidP="00C475E6">
      <w:pPr>
        <w:spacing w:after="120"/>
        <w:jc w:val="both"/>
        <w:rPr>
          <w:rFonts w:ascii="Roboto" w:hAnsi="Roboto" w:cs="Arial"/>
          <w:lang w:val="en-GB"/>
        </w:rPr>
      </w:pPr>
    </w:p>
    <w:sdt>
      <w:sdtPr>
        <w:rPr>
          <w:rFonts w:asciiTheme="minorHAnsi" w:eastAsiaTheme="minorEastAsia" w:hAnsiTheme="minorHAnsi" w:cstheme="minorBidi"/>
          <w:color w:val="auto"/>
          <w:sz w:val="24"/>
          <w:szCs w:val="24"/>
          <w:lang w:val="fr-FR"/>
        </w:rPr>
        <w:id w:val="579643881"/>
        <w:docPartObj>
          <w:docPartGallery w:val="Table of Contents"/>
          <w:docPartUnique/>
        </w:docPartObj>
      </w:sdtPr>
      <w:sdtEndPr>
        <w:rPr>
          <w:b/>
          <w:bCs/>
          <w:noProof/>
        </w:rPr>
      </w:sdtEndPr>
      <w:sdtContent>
        <w:p w14:paraId="69C48946" w14:textId="7F995209" w:rsidR="001F5738" w:rsidRPr="00E110D9" w:rsidRDefault="001F5738">
          <w:pPr>
            <w:pStyle w:val="TOCHeading"/>
          </w:pPr>
        </w:p>
        <w:p w14:paraId="7647F80D" w14:textId="53972C1C" w:rsidR="003E299E" w:rsidRPr="00191511" w:rsidRDefault="001F5738">
          <w:pPr>
            <w:pStyle w:val="TOC1"/>
            <w:tabs>
              <w:tab w:val="right" w:leader="dot" w:pos="9010"/>
            </w:tabs>
            <w:rPr>
              <w:rFonts w:ascii="Roboto" w:hAnsi="Roboto"/>
              <w:noProof/>
              <w:kern w:val="2"/>
              <w:lang w:val="en-KE" w:eastAsia="en-KE"/>
              <w14:ligatures w14:val="standardContextual"/>
            </w:rPr>
          </w:pPr>
          <w:r w:rsidRPr="004A65AD">
            <w:rPr>
              <w:rFonts w:ascii="Roboto" w:hAnsi="Roboto"/>
              <w:sz w:val="28"/>
              <w:szCs w:val="28"/>
            </w:rPr>
            <w:fldChar w:fldCharType="begin"/>
          </w:r>
          <w:r w:rsidRPr="004A65AD">
            <w:rPr>
              <w:rFonts w:ascii="Roboto" w:hAnsi="Roboto"/>
              <w:sz w:val="28"/>
              <w:szCs w:val="28"/>
            </w:rPr>
            <w:instrText xml:space="preserve"> TOC \o "1-3" \h \z \u </w:instrText>
          </w:r>
          <w:r w:rsidRPr="004A65AD">
            <w:rPr>
              <w:rFonts w:ascii="Roboto" w:hAnsi="Roboto"/>
              <w:sz w:val="28"/>
              <w:szCs w:val="28"/>
            </w:rPr>
            <w:fldChar w:fldCharType="separate"/>
          </w:r>
          <w:hyperlink w:anchor="_Toc149646556" w:history="1">
            <w:r w:rsidR="003E299E" w:rsidRPr="00191511">
              <w:rPr>
                <w:rStyle w:val="Hyperlink"/>
                <w:rFonts w:ascii="Roboto" w:hAnsi="Roboto"/>
                <w:b/>
                <w:bCs/>
                <w:noProof/>
              </w:rPr>
              <w:t>CAMBODIA -</w:t>
            </w:r>
            <w:r w:rsidR="003E299E" w:rsidRPr="00191511">
              <w:rPr>
                <w:rStyle w:val="Hyperlink"/>
                <w:rFonts w:ascii="Roboto" w:eastAsia="Times New Roman" w:hAnsi="Roboto" w:cs="Times New Roman"/>
                <w:b/>
                <w:bCs/>
                <w:noProof/>
                <w:lang w:val="en-GB"/>
              </w:rPr>
              <w:t xml:space="preserve"> </w:t>
            </w:r>
            <w:r w:rsidR="003E299E" w:rsidRPr="00191511">
              <w:rPr>
                <w:rStyle w:val="Hyperlink"/>
                <w:rFonts w:ascii="Roboto" w:hAnsi="Roboto"/>
                <w:b/>
                <w:bCs/>
                <w:noProof/>
                <w:lang w:val="en-GB"/>
              </w:rPr>
              <w:t>E/C.12/KHM/CO/2</w:t>
            </w:r>
            <w:r w:rsidR="00E110D9" w:rsidRPr="00191511">
              <w:rPr>
                <w:rStyle w:val="Hyperlink"/>
                <w:rFonts w:ascii="Roboto" w:hAnsi="Roboto"/>
                <w:b/>
                <w:bCs/>
                <w:noProof/>
                <w:lang w:val="en-GB"/>
              </w:rPr>
              <w:t xml:space="preserve"> </w:t>
            </w:r>
          </w:hyperlink>
        </w:p>
        <w:p w14:paraId="4203F44C" w14:textId="23D95D5B" w:rsidR="003E299E" w:rsidRPr="00191511" w:rsidRDefault="00000000">
          <w:pPr>
            <w:pStyle w:val="TOC1"/>
            <w:tabs>
              <w:tab w:val="right" w:leader="dot" w:pos="9010"/>
            </w:tabs>
            <w:rPr>
              <w:rFonts w:ascii="Roboto" w:hAnsi="Roboto"/>
              <w:noProof/>
              <w:kern w:val="2"/>
              <w:lang w:val="en-KE" w:eastAsia="en-KE"/>
              <w14:ligatures w14:val="standardContextual"/>
            </w:rPr>
          </w:pPr>
          <w:hyperlink w:anchor="_Toc149646557" w:history="1">
            <w:r w:rsidR="003E299E" w:rsidRPr="00191511">
              <w:rPr>
                <w:rStyle w:val="Hyperlink"/>
                <w:rFonts w:ascii="Roboto" w:hAnsi="Roboto"/>
                <w:b/>
                <w:bCs/>
                <w:noProof/>
                <w:lang w:val="en-GB"/>
              </w:rPr>
              <w:t>CHINA –</w:t>
            </w:r>
            <w:r w:rsidR="003E299E" w:rsidRPr="00191511">
              <w:rPr>
                <w:rStyle w:val="Hyperlink"/>
                <w:rFonts w:ascii="Roboto" w:eastAsia="Times New Roman" w:hAnsi="Roboto" w:cs="Times New Roman"/>
                <w:b/>
                <w:bCs/>
                <w:noProof/>
                <w:lang w:val="en-GB"/>
              </w:rPr>
              <w:t xml:space="preserve"> </w:t>
            </w:r>
            <w:r w:rsidR="003E299E" w:rsidRPr="00191511">
              <w:rPr>
                <w:rStyle w:val="Hyperlink"/>
                <w:rFonts w:ascii="Roboto" w:hAnsi="Roboto"/>
                <w:b/>
                <w:bCs/>
                <w:noProof/>
                <w:lang w:val="en-GB"/>
              </w:rPr>
              <w:t>E/C.12/CHN/CO/3</w:t>
            </w:r>
            <w:r w:rsidR="00E110D9" w:rsidRPr="00191511">
              <w:rPr>
                <w:rStyle w:val="Hyperlink"/>
                <w:rFonts w:ascii="Roboto" w:hAnsi="Roboto"/>
                <w:b/>
                <w:bCs/>
                <w:noProof/>
                <w:lang w:val="en-GB"/>
              </w:rPr>
              <w:t xml:space="preserve"> </w:t>
            </w:r>
          </w:hyperlink>
        </w:p>
        <w:p w14:paraId="2CBFDEE7" w14:textId="633EC919" w:rsidR="003E299E" w:rsidRPr="00191511" w:rsidRDefault="00000000">
          <w:pPr>
            <w:pStyle w:val="TOC1"/>
            <w:tabs>
              <w:tab w:val="right" w:leader="dot" w:pos="9010"/>
            </w:tabs>
            <w:rPr>
              <w:rFonts w:ascii="Roboto" w:hAnsi="Roboto"/>
              <w:noProof/>
              <w:kern w:val="2"/>
              <w:lang w:val="en-KE" w:eastAsia="en-KE"/>
              <w14:ligatures w14:val="standardContextual"/>
            </w:rPr>
          </w:pPr>
          <w:hyperlink w:anchor="_Toc149646558" w:history="1">
            <w:r w:rsidR="003E299E" w:rsidRPr="00191511">
              <w:rPr>
                <w:rStyle w:val="Hyperlink"/>
                <w:rFonts w:ascii="Roboto" w:hAnsi="Roboto"/>
                <w:b/>
                <w:bCs/>
                <w:noProof/>
                <w:lang w:val="en-US"/>
              </w:rPr>
              <w:t>LITHUANIA -</w:t>
            </w:r>
            <w:r w:rsidR="003E299E" w:rsidRPr="00191511">
              <w:rPr>
                <w:rStyle w:val="Hyperlink"/>
                <w:rFonts w:ascii="Roboto" w:eastAsia="Times New Roman" w:hAnsi="Roboto" w:cs="Times New Roman"/>
                <w:b/>
                <w:bCs/>
                <w:noProof/>
                <w:lang w:val="en-GB"/>
              </w:rPr>
              <w:t xml:space="preserve"> </w:t>
            </w:r>
            <w:r w:rsidR="003E299E" w:rsidRPr="00191511">
              <w:rPr>
                <w:rStyle w:val="Hyperlink"/>
                <w:rFonts w:ascii="Roboto" w:hAnsi="Roboto"/>
                <w:b/>
                <w:bCs/>
                <w:noProof/>
                <w:lang w:val="en-GB"/>
              </w:rPr>
              <w:t>E/C.12/LTU/CO/3</w:t>
            </w:r>
          </w:hyperlink>
        </w:p>
        <w:p w14:paraId="57D70ED8" w14:textId="7D4B66B0" w:rsidR="003E299E" w:rsidRPr="00191511" w:rsidRDefault="00000000">
          <w:pPr>
            <w:pStyle w:val="TOC1"/>
            <w:tabs>
              <w:tab w:val="right" w:leader="dot" w:pos="9010"/>
            </w:tabs>
            <w:rPr>
              <w:rFonts w:ascii="Roboto" w:hAnsi="Roboto"/>
              <w:noProof/>
              <w:kern w:val="2"/>
              <w:lang w:val="en-KE" w:eastAsia="en-KE"/>
              <w14:ligatures w14:val="standardContextual"/>
            </w:rPr>
          </w:pPr>
          <w:hyperlink w:anchor="_Toc149646559" w:history="1">
            <w:r w:rsidR="003E299E" w:rsidRPr="00191511">
              <w:rPr>
                <w:rStyle w:val="Hyperlink"/>
                <w:rFonts w:ascii="Roboto" w:hAnsi="Roboto"/>
                <w:b/>
                <w:bCs/>
                <w:noProof/>
                <w:lang w:val="en-GB"/>
              </w:rPr>
              <w:t>PANAMA -</w:t>
            </w:r>
            <w:r w:rsidR="003E299E" w:rsidRPr="00191511">
              <w:rPr>
                <w:rStyle w:val="Hyperlink"/>
                <w:rFonts w:ascii="Roboto" w:eastAsiaTheme="minorHAnsi" w:hAnsi="Roboto" w:cs="Times New Roman"/>
                <w:b/>
                <w:bCs/>
                <w:noProof/>
                <w:lang w:val="fr-CH"/>
              </w:rPr>
              <w:t xml:space="preserve"> </w:t>
            </w:r>
            <w:r w:rsidR="003E299E" w:rsidRPr="00191511">
              <w:rPr>
                <w:rStyle w:val="Hyperlink"/>
                <w:rFonts w:ascii="Roboto" w:hAnsi="Roboto"/>
                <w:b/>
                <w:bCs/>
                <w:noProof/>
                <w:lang w:val="en-GB"/>
              </w:rPr>
              <w:t>E/C.12/PAN/CO/3</w:t>
            </w:r>
            <w:r w:rsidR="00E110D9" w:rsidRPr="00191511">
              <w:rPr>
                <w:rStyle w:val="Hyperlink"/>
                <w:rFonts w:ascii="Roboto" w:hAnsi="Roboto"/>
                <w:b/>
                <w:bCs/>
                <w:noProof/>
                <w:lang w:val="en-GB"/>
              </w:rPr>
              <w:t xml:space="preserve">  </w:t>
            </w:r>
          </w:hyperlink>
        </w:p>
        <w:p w14:paraId="706166E2" w14:textId="03050509" w:rsidR="003E299E" w:rsidRPr="00191511" w:rsidRDefault="00000000">
          <w:pPr>
            <w:pStyle w:val="TOC1"/>
            <w:tabs>
              <w:tab w:val="right" w:leader="dot" w:pos="9010"/>
            </w:tabs>
            <w:rPr>
              <w:rFonts w:ascii="Roboto" w:hAnsi="Roboto"/>
              <w:noProof/>
              <w:kern w:val="2"/>
              <w:lang w:val="en-KE" w:eastAsia="en-KE"/>
              <w14:ligatures w14:val="standardContextual"/>
            </w:rPr>
          </w:pPr>
          <w:hyperlink w:anchor="_Toc149646560" w:history="1">
            <w:r w:rsidR="003E299E" w:rsidRPr="00191511">
              <w:rPr>
                <w:rStyle w:val="Hyperlink"/>
                <w:rFonts w:ascii="Roboto" w:hAnsi="Roboto"/>
                <w:b/>
                <w:bCs/>
                <w:noProof/>
                <w:lang w:val="en-GB"/>
              </w:rPr>
              <w:t>PORTUGAL -</w:t>
            </w:r>
            <w:r w:rsidR="003E299E" w:rsidRPr="00191511">
              <w:rPr>
                <w:rStyle w:val="Hyperlink"/>
                <w:rFonts w:ascii="Roboto" w:eastAsiaTheme="minorHAnsi" w:hAnsi="Roboto" w:cs="Times New Roman"/>
                <w:b/>
                <w:bCs/>
                <w:noProof/>
                <w:lang w:val="fr-CH"/>
              </w:rPr>
              <w:t xml:space="preserve"> </w:t>
            </w:r>
            <w:r w:rsidR="003E299E" w:rsidRPr="00191511">
              <w:rPr>
                <w:rStyle w:val="Hyperlink"/>
                <w:rFonts w:ascii="Roboto" w:hAnsi="Roboto"/>
                <w:b/>
                <w:bCs/>
                <w:noProof/>
                <w:lang w:val="en-GB"/>
              </w:rPr>
              <w:t>E/C.12/PRT/CO/5</w:t>
            </w:r>
            <w:r w:rsidR="00E110D9" w:rsidRPr="00191511">
              <w:rPr>
                <w:rStyle w:val="Hyperlink"/>
                <w:rFonts w:ascii="Roboto" w:hAnsi="Roboto"/>
                <w:b/>
                <w:bCs/>
                <w:noProof/>
                <w:lang w:val="en-GB"/>
              </w:rPr>
              <w:t xml:space="preserve"> </w:t>
            </w:r>
          </w:hyperlink>
        </w:p>
        <w:p w14:paraId="33D32A0E" w14:textId="63B4D3F3" w:rsidR="001F5738" w:rsidRPr="00E110D9" w:rsidRDefault="001F5738">
          <w:r w:rsidRPr="004A65AD">
            <w:rPr>
              <w:rFonts w:ascii="Roboto" w:hAnsi="Roboto"/>
              <w:b/>
              <w:bCs/>
              <w:noProof/>
              <w:sz w:val="28"/>
              <w:szCs w:val="28"/>
            </w:rPr>
            <w:fldChar w:fldCharType="end"/>
          </w:r>
        </w:p>
      </w:sdtContent>
    </w:sdt>
    <w:p w14:paraId="6E42AF7B" w14:textId="77777777" w:rsidR="00191511" w:rsidRPr="00191511" w:rsidRDefault="00191511" w:rsidP="00191511">
      <w:pPr>
        <w:rPr>
          <w:rFonts w:ascii="Roboto" w:hAnsi="Roboto"/>
          <w:lang w:val="en-GB"/>
        </w:rPr>
      </w:pPr>
      <w:bookmarkStart w:id="0" w:name="_Hlk152060773"/>
      <w:r w:rsidRPr="00191511">
        <w:rPr>
          <w:rFonts w:ascii="Roboto" w:hAnsi="Roboto"/>
          <w:b/>
          <w:bCs/>
          <w:lang w:val="en-GB"/>
        </w:rPr>
        <w:t>Official versions of Concluding Observation are available on the website devoted to the session</w:t>
      </w:r>
      <w:r w:rsidRPr="00191511">
        <w:rPr>
          <w:rFonts w:ascii="Roboto" w:hAnsi="Roboto"/>
          <w:lang w:val="en-GB"/>
        </w:rPr>
        <w:t xml:space="preserve"> </w:t>
      </w:r>
      <w:hyperlink r:id="rId9" w:history="1">
        <w:r w:rsidRPr="00191511">
          <w:rPr>
            <w:rStyle w:val="Hyperlink"/>
            <w:rFonts w:ascii="Roboto" w:hAnsi="Roboto"/>
            <w:lang w:val="en-GB"/>
          </w:rPr>
          <w:t>here.</w:t>
        </w:r>
      </w:hyperlink>
    </w:p>
    <w:bookmarkEnd w:id="0"/>
    <w:p w14:paraId="1448AF07" w14:textId="68572437" w:rsidR="0023408F" w:rsidRPr="00E110D9" w:rsidRDefault="0023408F">
      <w:pPr>
        <w:rPr>
          <w:rFonts w:ascii="Roboto" w:eastAsiaTheme="majorEastAsia" w:hAnsi="Roboto" w:cstheme="majorBidi"/>
          <w:color w:val="365F91" w:themeColor="accent1" w:themeShade="BF"/>
          <w:sz w:val="32"/>
          <w:szCs w:val="32"/>
        </w:rPr>
      </w:pPr>
      <w:r w:rsidRPr="00E110D9">
        <w:rPr>
          <w:rFonts w:ascii="Roboto" w:hAnsi="Roboto"/>
        </w:rPr>
        <w:br w:type="page"/>
      </w:r>
    </w:p>
    <w:p w14:paraId="4184ECFB" w14:textId="319934E4" w:rsidR="00267E66" w:rsidRPr="00191511" w:rsidRDefault="001C7916" w:rsidP="00267E66">
      <w:pPr>
        <w:pStyle w:val="Heading1"/>
        <w:spacing w:before="0" w:after="240"/>
        <w:ind w:right="284"/>
        <w:rPr>
          <w:rFonts w:ascii="Roboto" w:hAnsi="Roboto"/>
          <w:b/>
          <w:bCs/>
          <w:color w:val="auto"/>
          <w:sz w:val="24"/>
          <w:szCs w:val="24"/>
          <w:lang w:val="en-GB"/>
        </w:rPr>
      </w:pPr>
      <w:bookmarkStart w:id="1" w:name="_Toc149646556"/>
      <w:r w:rsidRPr="00191511">
        <w:rPr>
          <w:rFonts w:ascii="Roboto" w:hAnsi="Roboto"/>
          <w:b/>
          <w:bCs/>
          <w:color w:val="auto"/>
          <w:sz w:val="24"/>
          <w:szCs w:val="24"/>
        </w:rPr>
        <w:lastRenderedPageBreak/>
        <w:t>CAMBODIA</w:t>
      </w:r>
      <w:r w:rsidR="00DB2539" w:rsidRPr="00191511">
        <w:rPr>
          <w:rFonts w:ascii="Roboto" w:hAnsi="Roboto"/>
          <w:b/>
          <w:bCs/>
          <w:color w:val="auto"/>
          <w:sz w:val="24"/>
          <w:szCs w:val="24"/>
        </w:rPr>
        <w:t xml:space="preserve"> </w:t>
      </w:r>
      <w:r w:rsidR="00393B67" w:rsidRPr="00191511">
        <w:rPr>
          <w:rFonts w:ascii="Roboto" w:hAnsi="Roboto"/>
          <w:b/>
          <w:bCs/>
          <w:color w:val="auto"/>
          <w:sz w:val="24"/>
          <w:szCs w:val="24"/>
        </w:rPr>
        <w:t>-</w:t>
      </w:r>
      <w:r w:rsidR="00393B67" w:rsidRPr="00191511">
        <w:rPr>
          <w:rFonts w:ascii="Times New Roman" w:eastAsia="Times New Roman" w:hAnsi="Times New Roman" w:cs="Times New Roman"/>
          <w:b/>
          <w:bCs/>
          <w:color w:val="auto"/>
          <w:sz w:val="24"/>
          <w:szCs w:val="24"/>
          <w:lang w:val="en-GB"/>
        </w:rPr>
        <w:t xml:space="preserve"> </w:t>
      </w:r>
      <w:r w:rsidRPr="00191511">
        <w:rPr>
          <w:rFonts w:ascii="Roboto" w:hAnsi="Roboto"/>
          <w:b/>
          <w:bCs/>
          <w:color w:val="auto"/>
          <w:sz w:val="24"/>
          <w:szCs w:val="24"/>
          <w:lang w:val="en-GB"/>
        </w:rPr>
        <w:t>E/C.12/KHM/CO/2</w:t>
      </w:r>
      <w:bookmarkEnd w:id="1"/>
    </w:p>
    <w:p w14:paraId="46849F31" w14:textId="77777777" w:rsidR="001C7916" w:rsidRPr="00E110D9" w:rsidRDefault="001C7916" w:rsidP="00635DC5">
      <w:pPr>
        <w:ind w:right="284"/>
        <w:jc w:val="both"/>
        <w:rPr>
          <w:rFonts w:ascii="Roboto" w:eastAsia="Calibri" w:hAnsi="Roboto" w:cs="Arial"/>
          <w:b/>
          <w:bCs/>
          <w:lang w:val="en-GB"/>
        </w:rPr>
      </w:pPr>
      <w:r w:rsidRPr="00E110D9">
        <w:rPr>
          <w:rFonts w:ascii="Roboto" w:eastAsia="Calibri" w:hAnsi="Roboto" w:cs="Arial"/>
          <w:b/>
          <w:bCs/>
          <w:lang w:val="en-GB"/>
        </w:rPr>
        <w:t>Right to work</w:t>
      </w:r>
    </w:p>
    <w:p w14:paraId="68DBFE01" w14:textId="77777777" w:rsidR="001C7916" w:rsidRPr="00E110D9" w:rsidRDefault="001C7916" w:rsidP="00635DC5">
      <w:pPr>
        <w:ind w:right="284"/>
        <w:jc w:val="both"/>
        <w:rPr>
          <w:rFonts w:ascii="Roboto" w:eastAsia="Calibri" w:hAnsi="Roboto" w:cs="Arial"/>
          <w:lang w:val="en-GB"/>
        </w:rPr>
      </w:pPr>
      <w:r w:rsidRPr="00E110D9">
        <w:rPr>
          <w:rFonts w:ascii="Roboto" w:eastAsia="Calibri" w:hAnsi="Roboto" w:cs="Arial"/>
          <w:lang w:val="en-GB"/>
        </w:rPr>
        <w:t>24.</w:t>
      </w:r>
      <w:r w:rsidRPr="00E110D9">
        <w:rPr>
          <w:rFonts w:ascii="Roboto" w:eastAsia="Calibri" w:hAnsi="Roboto" w:cs="Arial"/>
          <w:lang w:val="en-GB"/>
        </w:rPr>
        <w:tab/>
        <w:t>The Committee is concerned that, despite a number of initiatives adopted by the State party to promote access to work, young persons, women, persons with disabilities and persons living in rural areas continue to be especially affected by unemployment and the lack of access to decent work. The Committee is also concerned about the large number of persons working in the informal sector without adequate labour and social protection (art. 6).</w:t>
      </w:r>
    </w:p>
    <w:p w14:paraId="5AAC5915" w14:textId="77777777" w:rsidR="001C7916" w:rsidRPr="00E110D9" w:rsidRDefault="001C7916" w:rsidP="00635DC5">
      <w:pPr>
        <w:ind w:right="284"/>
        <w:jc w:val="both"/>
        <w:rPr>
          <w:rFonts w:ascii="Roboto" w:eastAsia="Calibri" w:hAnsi="Roboto" w:cs="Arial"/>
          <w:b/>
          <w:bCs/>
          <w:lang w:val="en-GB"/>
        </w:rPr>
      </w:pPr>
      <w:r w:rsidRPr="00E110D9">
        <w:rPr>
          <w:rFonts w:ascii="Roboto" w:eastAsia="Calibri" w:hAnsi="Roboto" w:cs="Arial"/>
          <w:b/>
          <w:bCs/>
          <w:lang w:val="en-GB"/>
        </w:rPr>
        <w:t>25.</w:t>
      </w:r>
      <w:r w:rsidRPr="00E110D9">
        <w:rPr>
          <w:rFonts w:ascii="Roboto" w:eastAsia="Calibri" w:hAnsi="Roboto" w:cs="Arial"/>
          <w:b/>
          <w:bCs/>
          <w:lang w:val="en-GB"/>
        </w:rPr>
        <w:tab/>
        <w:t>The Committee recommends that the State party carry out, in collaboration with all social actors, an evaluation of the progress achieved through the implementation of its Industrial Development Policy 2015–2025 and other policies aimed at improving access to employment and decent work, with a view to addressing the persistent challenges and root causes of unemployment and underemployment. The Committee recommends that the State party continue giving priority to quality technical and vocational training programmes that are tailored to the needs of both the labour market and the most underprivileged and marginalized persons and groups. It also urges the State party to adopt the measures necessary to ensure that workers in the informal sector are provided with adequate immediate protection under labour law and access to social protection.</w:t>
      </w:r>
    </w:p>
    <w:p w14:paraId="741EE8BA" w14:textId="456ECB93" w:rsidR="00267E66" w:rsidRPr="00E110D9" w:rsidRDefault="00267E66" w:rsidP="00635DC5">
      <w:pPr>
        <w:ind w:right="284"/>
        <w:jc w:val="both"/>
        <w:rPr>
          <w:rFonts w:ascii="Roboto" w:eastAsia="Calibri" w:hAnsi="Roboto" w:cs="Arial"/>
          <w:b/>
          <w:bCs/>
          <w:lang w:val="en-GB"/>
        </w:rPr>
      </w:pPr>
    </w:p>
    <w:p w14:paraId="028F1D62" w14:textId="77777777" w:rsidR="001C7916" w:rsidRPr="00E110D9" w:rsidRDefault="001C7916" w:rsidP="00635DC5">
      <w:pPr>
        <w:ind w:right="284"/>
        <w:jc w:val="both"/>
        <w:rPr>
          <w:rFonts w:ascii="Roboto" w:eastAsia="Calibri" w:hAnsi="Roboto" w:cs="Arial"/>
          <w:b/>
          <w:lang w:val="en-GB"/>
        </w:rPr>
      </w:pPr>
      <w:r w:rsidRPr="00E110D9">
        <w:rPr>
          <w:rFonts w:ascii="Roboto" w:eastAsia="Calibri" w:hAnsi="Roboto" w:cs="Arial"/>
          <w:b/>
          <w:lang w:val="en-GB"/>
        </w:rPr>
        <w:t>Right to education</w:t>
      </w:r>
    </w:p>
    <w:p w14:paraId="4766EB41" w14:textId="77777777" w:rsidR="001C7916" w:rsidRPr="00E110D9" w:rsidRDefault="001C7916" w:rsidP="00635DC5">
      <w:pPr>
        <w:ind w:right="284"/>
        <w:jc w:val="both"/>
        <w:rPr>
          <w:rFonts w:ascii="Roboto" w:eastAsia="Calibri" w:hAnsi="Roboto" w:cs="Arial"/>
          <w:lang w:val="en-GB"/>
        </w:rPr>
      </w:pPr>
      <w:r w:rsidRPr="00E110D9">
        <w:rPr>
          <w:rFonts w:ascii="Roboto" w:eastAsia="Calibri" w:hAnsi="Roboto" w:cs="Arial"/>
          <w:lang w:val="en-GB"/>
        </w:rPr>
        <w:t>48.</w:t>
      </w:r>
      <w:r w:rsidRPr="00E110D9">
        <w:rPr>
          <w:rFonts w:ascii="Roboto" w:eastAsia="Calibri" w:hAnsi="Roboto" w:cs="Arial"/>
          <w:lang w:val="en-GB"/>
        </w:rPr>
        <w:tab/>
        <w:t>While the Committee notes that access to preschool and primary education has been improved in the State party, it is nevertheless concerned about:</w:t>
      </w:r>
    </w:p>
    <w:p w14:paraId="359C2727" w14:textId="7DE7218A" w:rsidR="00267E66" w:rsidRPr="00E110D9" w:rsidRDefault="001C7916" w:rsidP="00635DC5">
      <w:pPr>
        <w:ind w:right="284"/>
        <w:jc w:val="both"/>
        <w:rPr>
          <w:rFonts w:ascii="Roboto" w:eastAsia="Calibri" w:hAnsi="Roboto" w:cs="Arial"/>
          <w:lang w:val="en-GB"/>
        </w:rPr>
      </w:pPr>
      <w:r w:rsidRPr="00E110D9">
        <w:rPr>
          <w:rFonts w:ascii="Roboto" w:eastAsia="Calibri" w:hAnsi="Roboto" w:cs="Arial"/>
          <w:lang w:val="en-GB"/>
        </w:rPr>
        <w:t>(d)</w:t>
      </w:r>
      <w:r w:rsidRPr="00E110D9">
        <w:rPr>
          <w:rFonts w:ascii="Roboto" w:eastAsia="Calibri" w:hAnsi="Roboto" w:cs="Arial"/>
          <w:lang w:val="en-GB"/>
        </w:rPr>
        <w:tab/>
        <w:t>The lack of information on the inclusive education available for children with disabilities;</w:t>
      </w:r>
    </w:p>
    <w:p w14:paraId="0F5F983C" w14:textId="77777777" w:rsidR="001C7916" w:rsidRPr="00E110D9" w:rsidRDefault="001C7916" w:rsidP="00635DC5">
      <w:pPr>
        <w:ind w:right="284"/>
        <w:jc w:val="both"/>
        <w:rPr>
          <w:rFonts w:ascii="Roboto" w:eastAsia="Calibri" w:hAnsi="Roboto" w:cs="Arial"/>
          <w:b/>
          <w:bCs/>
          <w:lang w:val="en-GB"/>
        </w:rPr>
      </w:pPr>
      <w:r w:rsidRPr="00E110D9">
        <w:rPr>
          <w:rFonts w:ascii="Roboto" w:eastAsia="Calibri" w:hAnsi="Roboto" w:cs="Arial"/>
          <w:lang w:val="en-GB"/>
        </w:rPr>
        <w:t>49.</w:t>
      </w:r>
      <w:r w:rsidRPr="00E110D9">
        <w:rPr>
          <w:rFonts w:ascii="Roboto" w:eastAsia="Calibri" w:hAnsi="Roboto" w:cs="Arial"/>
          <w:lang w:val="en-GB"/>
        </w:rPr>
        <w:tab/>
      </w:r>
      <w:r w:rsidRPr="00E110D9">
        <w:rPr>
          <w:rFonts w:ascii="Roboto" w:eastAsia="Calibri" w:hAnsi="Roboto" w:cs="Arial"/>
          <w:b/>
          <w:bCs/>
          <w:lang w:val="en-GB"/>
        </w:rPr>
        <w:t>The Committee recommends that the State party:</w:t>
      </w:r>
    </w:p>
    <w:p w14:paraId="5AECFF29" w14:textId="77777777" w:rsidR="001C7916" w:rsidRPr="00E110D9" w:rsidRDefault="001C7916" w:rsidP="00635DC5">
      <w:pPr>
        <w:ind w:right="284"/>
        <w:jc w:val="both"/>
        <w:rPr>
          <w:rFonts w:ascii="Roboto" w:eastAsia="Calibri" w:hAnsi="Roboto" w:cs="Arial"/>
          <w:b/>
          <w:bCs/>
          <w:lang w:val="en-GB"/>
        </w:rPr>
      </w:pPr>
      <w:r w:rsidRPr="00E110D9">
        <w:rPr>
          <w:rFonts w:ascii="Roboto" w:eastAsia="Calibri" w:hAnsi="Roboto" w:cs="Arial"/>
          <w:lang w:val="en-GB"/>
        </w:rPr>
        <w:t>(d)</w:t>
      </w:r>
      <w:r w:rsidRPr="00E110D9">
        <w:rPr>
          <w:rFonts w:ascii="Roboto" w:eastAsia="Calibri" w:hAnsi="Roboto" w:cs="Arial"/>
          <w:lang w:val="en-GB"/>
        </w:rPr>
        <w:tab/>
      </w:r>
      <w:r w:rsidRPr="00E110D9">
        <w:rPr>
          <w:rFonts w:ascii="Roboto" w:eastAsia="Calibri" w:hAnsi="Roboto" w:cs="Arial"/>
          <w:b/>
          <w:bCs/>
          <w:lang w:val="en-GB"/>
        </w:rPr>
        <w:t>Develop and implement a comprehensive policy to ensure inclusive education for children with disabilities;</w:t>
      </w:r>
    </w:p>
    <w:p w14:paraId="362A6F56" w14:textId="77777777" w:rsidR="007F3DAF" w:rsidRPr="00E110D9" w:rsidRDefault="007F3DAF" w:rsidP="00635DC5">
      <w:pPr>
        <w:ind w:right="284"/>
        <w:jc w:val="both"/>
        <w:rPr>
          <w:rFonts w:ascii="Roboto" w:hAnsi="Roboto" w:cs="Arial"/>
          <w:b/>
          <w:bCs/>
          <w:lang w:val="en-GB"/>
        </w:rPr>
      </w:pPr>
    </w:p>
    <w:p w14:paraId="57C3B588" w14:textId="725D2147" w:rsidR="00074A6F" w:rsidRPr="00191511" w:rsidRDefault="00191511" w:rsidP="00635DC5">
      <w:pPr>
        <w:pStyle w:val="Heading1"/>
        <w:spacing w:before="0" w:after="240"/>
        <w:ind w:right="284"/>
        <w:rPr>
          <w:rFonts w:ascii="Roboto" w:hAnsi="Roboto"/>
          <w:b/>
          <w:bCs/>
          <w:color w:val="auto"/>
          <w:sz w:val="24"/>
          <w:szCs w:val="24"/>
          <w:lang w:val="en-GB"/>
        </w:rPr>
      </w:pPr>
      <w:bookmarkStart w:id="2" w:name="_Toc149646557"/>
      <w:r w:rsidRPr="00191511">
        <w:rPr>
          <w:rFonts w:ascii="Roboto" w:hAnsi="Roboto"/>
          <w:b/>
          <w:bCs/>
          <w:color w:val="auto"/>
          <w:sz w:val="24"/>
          <w:szCs w:val="24"/>
          <w:lang w:val="en-GB"/>
        </w:rPr>
        <w:t>CHINA –</w:t>
      </w:r>
      <w:r w:rsidRPr="00191511">
        <w:rPr>
          <w:rFonts w:ascii="Times New Roman" w:eastAsia="Times New Roman" w:hAnsi="Times New Roman" w:cs="Times New Roman"/>
          <w:b/>
          <w:bCs/>
          <w:color w:val="auto"/>
          <w:sz w:val="24"/>
          <w:szCs w:val="24"/>
          <w:lang w:val="en-GB"/>
        </w:rPr>
        <w:t xml:space="preserve"> </w:t>
      </w:r>
      <w:r w:rsidRPr="00191511">
        <w:rPr>
          <w:rFonts w:ascii="Roboto" w:hAnsi="Roboto"/>
          <w:b/>
          <w:bCs/>
          <w:color w:val="auto"/>
          <w:sz w:val="24"/>
          <w:szCs w:val="24"/>
          <w:lang w:val="en-GB"/>
        </w:rPr>
        <w:t>E/C.12/CHN/CO/3</w:t>
      </w:r>
      <w:bookmarkEnd w:id="2"/>
    </w:p>
    <w:p w14:paraId="16267B0D" w14:textId="77777777" w:rsidR="001C7916" w:rsidRPr="00E110D9" w:rsidRDefault="001C7916" w:rsidP="00635DC5">
      <w:pPr>
        <w:ind w:right="284"/>
        <w:jc w:val="both"/>
        <w:rPr>
          <w:rFonts w:ascii="Roboto" w:eastAsia="Calibri" w:hAnsi="Roboto" w:cs="Arial"/>
          <w:b/>
          <w:lang w:val="en-GB"/>
        </w:rPr>
      </w:pPr>
      <w:r w:rsidRPr="00E110D9">
        <w:rPr>
          <w:rFonts w:ascii="Roboto" w:eastAsia="Calibri" w:hAnsi="Roboto" w:cs="Arial"/>
          <w:b/>
          <w:lang w:val="en-GB"/>
        </w:rPr>
        <w:t>Persons with disabilities</w:t>
      </w:r>
    </w:p>
    <w:p w14:paraId="5D4B635C" w14:textId="77777777" w:rsidR="001C7916" w:rsidRPr="00E110D9" w:rsidRDefault="001C7916" w:rsidP="00635DC5">
      <w:pPr>
        <w:ind w:right="284"/>
        <w:jc w:val="both"/>
        <w:rPr>
          <w:rFonts w:ascii="Roboto" w:eastAsia="Calibri" w:hAnsi="Roboto" w:cs="Arial"/>
          <w:bCs/>
          <w:vertAlign w:val="superscript"/>
          <w:lang w:val="en-GB"/>
        </w:rPr>
      </w:pPr>
      <w:r w:rsidRPr="00E110D9">
        <w:rPr>
          <w:rFonts w:ascii="Roboto" w:eastAsia="Calibri" w:hAnsi="Roboto" w:cs="Arial"/>
          <w:bCs/>
          <w:lang w:val="en-GB"/>
        </w:rPr>
        <w:t>39.</w:t>
      </w:r>
      <w:r w:rsidRPr="00E110D9">
        <w:rPr>
          <w:rFonts w:ascii="Roboto" w:eastAsia="Calibri" w:hAnsi="Roboto" w:cs="Arial"/>
          <w:bCs/>
          <w:lang w:val="en-GB"/>
        </w:rPr>
        <w:tab/>
        <w:t>The Committee is concerned that the disability-related legislation and policies of the State party have not yet been fully brought into line with the Convention on the Rights of Persons with Disabilities and that the human rights model of disability has not been consistently harmonized across all policies and legislation (art. 2 (2)).</w:t>
      </w:r>
      <w:r w:rsidRPr="00E110D9">
        <w:rPr>
          <w:rFonts w:ascii="Roboto" w:eastAsia="Calibri" w:hAnsi="Roboto" w:cs="Arial"/>
          <w:bCs/>
          <w:vertAlign w:val="superscript"/>
          <w:lang w:val="en-GB"/>
        </w:rPr>
        <w:footnoteReference w:id="1"/>
      </w:r>
    </w:p>
    <w:p w14:paraId="302F9EC2" w14:textId="77777777" w:rsidR="001C7916" w:rsidRPr="00E110D9" w:rsidRDefault="001C7916" w:rsidP="00635DC5">
      <w:pPr>
        <w:ind w:right="284"/>
        <w:jc w:val="both"/>
        <w:rPr>
          <w:rFonts w:ascii="Roboto" w:eastAsia="Calibri" w:hAnsi="Roboto" w:cs="Arial"/>
          <w:b/>
          <w:vertAlign w:val="superscript"/>
          <w:lang w:val="en-GB"/>
        </w:rPr>
      </w:pPr>
      <w:r w:rsidRPr="00E110D9">
        <w:rPr>
          <w:rFonts w:ascii="Roboto" w:eastAsia="Calibri" w:hAnsi="Roboto" w:cs="Arial"/>
          <w:b/>
          <w:lang w:val="en-GB"/>
        </w:rPr>
        <w:t>40.</w:t>
      </w:r>
      <w:r w:rsidRPr="00E110D9">
        <w:rPr>
          <w:rFonts w:ascii="Roboto" w:eastAsia="Calibri" w:hAnsi="Roboto" w:cs="Arial"/>
          <w:b/>
          <w:lang w:val="en-GB"/>
        </w:rPr>
        <w:tab/>
        <w:t>The Committee recommends that the State party adopt a unified concept of disability in all professional and legal areas that covers all persons with disabilities, including women and children with disabilities, as also raised by the Committee on the Rights of Persons with Disabilities.</w:t>
      </w:r>
      <w:r w:rsidRPr="00E110D9">
        <w:rPr>
          <w:rFonts w:ascii="Roboto" w:eastAsia="Calibri" w:hAnsi="Roboto" w:cs="Arial"/>
          <w:b/>
          <w:vertAlign w:val="superscript"/>
          <w:lang w:val="en-GB"/>
        </w:rPr>
        <w:footnoteReference w:id="2"/>
      </w:r>
    </w:p>
    <w:p w14:paraId="7103D484" w14:textId="77777777" w:rsidR="0092650C" w:rsidRPr="00E110D9" w:rsidRDefault="0092650C" w:rsidP="00635DC5">
      <w:pPr>
        <w:ind w:right="284"/>
        <w:jc w:val="both"/>
        <w:rPr>
          <w:rFonts w:ascii="Roboto" w:hAnsi="Roboto" w:cs="Arial"/>
          <w:lang w:val="en-US"/>
        </w:rPr>
      </w:pPr>
    </w:p>
    <w:p w14:paraId="413D14BE" w14:textId="467A6C9F" w:rsidR="00B25B81" w:rsidRPr="00191511" w:rsidRDefault="001C7916" w:rsidP="00635DC5">
      <w:pPr>
        <w:pStyle w:val="Heading1"/>
        <w:spacing w:before="0" w:after="240"/>
        <w:ind w:right="284"/>
        <w:rPr>
          <w:rFonts w:ascii="Roboto" w:hAnsi="Roboto"/>
          <w:b/>
          <w:bCs/>
          <w:color w:val="auto"/>
          <w:sz w:val="24"/>
          <w:szCs w:val="24"/>
          <w:lang w:val="en-GB"/>
        </w:rPr>
      </w:pPr>
      <w:bookmarkStart w:id="3" w:name="_Toc149646558"/>
      <w:r w:rsidRPr="00191511">
        <w:rPr>
          <w:rFonts w:ascii="Roboto" w:hAnsi="Roboto"/>
          <w:b/>
          <w:bCs/>
          <w:color w:val="auto"/>
          <w:sz w:val="24"/>
          <w:szCs w:val="24"/>
          <w:lang w:val="en-US"/>
        </w:rPr>
        <w:t>LITHUANIA</w:t>
      </w:r>
      <w:r w:rsidR="00DB2539" w:rsidRPr="00191511">
        <w:rPr>
          <w:rFonts w:ascii="Roboto" w:hAnsi="Roboto"/>
          <w:b/>
          <w:bCs/>
          <w:color w:val="auto"/>
          <w:sz w:val="24"/>
          <w:szCs w:val="24"/>
          <w:lang w:val="en-US"/>
        </w:rPr>
        <w:t xml:space="preserve"> </w:t>
      </w:r>
      <w:r w:rsidR="001F5738" w:rsidRPr="00191511">
        <w:rPr>
          <w:rFonts w:ascii="Roboto" w:hAnsi="Roboto"/>
          <w:b/>
          <w:bCs/>
          <w:color w:val="auto"/>
          <w:sz w:val="24"/>
          <w:szCs w:val="24"/>
          <w:lang w:val="en-US"/>
        </w:rPr>
        <w:t>-</w:t>
      </w:r>
      <w:r w:rsidR="001F5738" w:rsidRPr="00191511">
        <w:rPr>
          <w:rFonts w:ascii="Times New Roman" w:eastAsia="Times New Roman" w:hAnsi="Times New Roman" w:cs="Times New Roman"/>
          <w:b/>
          <w:bCs/>
          <w:color w:val="auto"/>
          <w:sz w:val="24"/>
          <w:szCs w:val="24"/>
          <w:lang w:val="en-GB"/>
        </w:rPr>
        <w:t xml:space="preserve"> </w:t>
      </w:r>
      <w:r w:rsidR="00B25B81" w:rsidRPr="00191511">
        <w:rPr>
          <w:rFonts w:ascii="Roboto" w:hAnsi="Roboto"/>
          <w:b/>
          <w:bCs/>
          <w:color w:val="auto"/>
          <w:sz w:val="24"/>
          <w:szCs w:val="24"/>
          <w:lang w:val="en-GB"/>
        </w:rPr>
        <w:t>E/C.12/L</w:t>
      </w:r>
      <w:r w:rsidRPr="00191511">
        <w:rPr>
          <w:rFonts w:ascii="Roboto" w:hAnsi="Roboto"/>
          <w:b/>
          <w:bCs/>
          <w:color w:val="auto"/>
          <w:sz w:val="24"/>
          <w:szCs w:val="24"/>
          <w:lang w:val="en-GB"/>
        </w:rPr>
        <w:t>TU</w:t>
      </w:r>
      <w:r w:rsidR="00B25B81" w:rsidRPr="00191511">
        <w:rPr>
          <w:rFonts w:ascii="Roboto" w:hAnsi="Roboto"/>
          <w:b/>
          <w:bCs/>
          <w:color w:val="auto"/>
          <w:sz w:val="24"/>
          <w:szCs w:val="24"/>
          <w:lang w:val="en-GB"/>
        </w:rPr>
        <w:t>/CO/</w:t>
      </w:r>
      <w:r w:rsidRPr="00191511">
        <w:rPr>
          <w:rFonts w:ascii="Roboto" w:hAnsi="Roboto"/>
          <w:b/>
          <w:bCs/>
          <w:color w:val="auto"/>
          <w:sz w:val="24"/>
          <w:szCs w:val="24"/>
          <w:lang w:val="en-GB"/>
        </w:rPr>
        <w:t>3</w:t>
      </w:r>
      <w:bookmarkEnd w:id="3"/>
    </w:p>
    <w:p w14:paraId="7EF24B19"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Poverty and inequality</w:t>
      </w:r>
    </w:p>
    <w:p w14:paraId="3037EDCD" w14:textId="77777777" w:rsidR="00113BAE" w:rsidRPr="00E110D9" w:rsidRDefault="00113BAE" w:rsidP="00635DC5">
      <w:pPr>
        <w:ind w:right="284"/>
        <w:jc w:val="both"/>
        <w:rPr>
          <w:rFonts w:ascii="Roboto" w:hAnsi="Roboto"/>
          <w:lang w:val="en-GB"/>
        </w:rPr>
      </w:pPr>
      <w:r w:rsidRPr="00E110D9">
        <w:rPr>
          <w:rFonts w:ascii="Roboto" w:hAnsi="Roboto"/>
          <w:lang w:val="en-GB"/>
        </w:rPr>
        <w:t>22.</w:t>
      </w:r>
      <w:r w:rsidRPr="00E110D9">
        <w:rPr>
          <w:rFonts w:ascii="Roboto" w:hAnsi="Roboto"/>
          <w:lang w:val="en-GB"/>
        </w:rPr>
        <w:tab/>
        <w:t xml:space="preserve">The Committee takes note of the measures taken to address income inequalities faced by those in marginalized situations, and between rural and urban populations, including </w:t>
      </w:r>
      <w:r w:rsidRPr="00E110D9">
        <w:rPr>
          <w:rFonts w:ascii="Roboto" w:hAnsi="Roboto"/>
          <w:lang w:val="en-GB"/>
        </w:rPr>
        <w:lastRenderedPageBreak/>
        <w:t>the increase in the minimum wage and in the social assistance base payment for persons with disabilities and older persons. It remains concerned, however, by the lack of information regarding the sustainable impact of the current measures in place (arts. 2 and 11).</w:t>
      </w:r>
    </w:p>
    <w:p w14:paraId="330BB076"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23.</w:t>
      </w:r>
      <w:r w:rsidRPr="00E110D9">
        <w:rPr>
          <w:rFonts w:ascii="Roboto" w:hAnsi="Roboto"/>
          <w:b/>
          <w:bCs/>
          <w:lang w:val="en-GB"/>
        </w:rPr>
        <w:tab/>
        <w:t>The Committee recommends that the State party:</w:t>
      </w:r>
    </w:p>
    <w:p w14:paraId="79B84990"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(b)</w:t>
      </w:r>
      <w:r w:rsidRPr="00E110D9">
        <w:rPr>
          <w:rFonts w:ascii="Roboto" w:hAnsi="Roboto"/>
          <w:b/>
          <w:bCs/>
          <w:lang w:val="en-GB"/>
        </w:rPr>
        <w:tab/>
        <w:t>Take effective measures to guarantee targeted support for groups who are disproportionately affected by poverty, in particular children, single-parent families, older persons, persons with disabilities, migrants and Roma;</w:t>
      </w:r>
    </w:p>
    <w:p w14:paraId="2864F393" w14:textId="77777777" w:rsidR="00874F42" w:rsidRPr="00E110D9" w:rsidRDefault="00874F42" w:rsidP="00635DC5">
      <w:pPr>
        <w:ind w:right="284"/>
        <w:jc w:val="both"/>
        <w:rPr>
          <w:rFonts w:ascii="Roboto" w:hAnsi="Roboto"/>
          <w:b/>
          <w:bCs/>
          <w:lang w:val="en-GB"/>
        </w:rPr>
      </w:pPr>
    </w:p>
    <w:p w14:paraId="75081CC7"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Right to work</w:t>
      </w:r>
    </w:p>
    <w:p w14:paraId="5344E3D2" w14:textId="77777777" w:rsidR="00113BAE" w:rsidRPr="00E110D9" w:rsidRDefault="00113BAE" w:rsidP="00635DC5">
      <w:pPr>
        <w:ind w:right="284"/>
        <w:jc w:val="both"/>
        <w:rPr>
          <w:rFonts w:ascii="Roboto" w:hAnsi="Roboto"/>
          <w:lang w:val="en-GB"/>
        </w:rPr>
      </w:pPr>
      <w:r w:rsidRPr="00E110D9">
        <w:rPr>
          <w:rFonts w:ascii="Roboto" w:hAnsi="Roboto"/>
          <w:lang w:val="en-GB"/>
        </w:rPr>
        <w:t>34.</w:t>
      </w:r>
      <w:r w:rsidRPr="00E110D9">
        <w:rPr>
          <w:rFonts w:ascii="Roboto" w:hAnsi="Roboto"/>
          <w:lang w:val="en-GB"/>
        </w:rPr>
        <w:tab/>
        <w:t>While welcoming the steady decrease in unemployment rates recorded in recent years, as well as the adoption of a new Labour Code, the Committee is concerned by the reports that some groups, in particular Roma, persons with disabilities, women with children, young people, persons 50 years old and above and migrants, continue to face difficulties in accessing work and have been disproportionally affected by the COVID-19 pandemic. The Committee regrets the lack of statistics on the impact of the measures taken to overcome the main challenges encountered (art. 6).</w:t>
      </w:r>
    </w:p>
    <w:p w14:paraId="14E4CDED"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35.</w:t>
      </w:r>
      <w:r w:rsidRPr="00E110D9">
        <w:rPr>
          <w:rFonts w:ascii="Roboto" w:hAnsi="Roboto"/>
          <w:b/>
          <w:bCs/>
          <w:lang w:val="en-GB"/>
        </w:rPr>
        <w:tab/>
        <w:t>Reiterating the recommendations already made in its previous concluding observations,</w:t>
      </w:r>
      <w:r w:rsidRPr="00E110D9">
        <w:rPr>
          <w:rFonts w:ascii="Roboto" w:hAnsi="Roboto"/>
          <w:b/>
          <w:bCs/>
          <w:vertAlign w:val="superscript"/>
          <w:lang w:val="en-GB"/>
        </w:rPr>
        <w:footnoteReference w:id="3"/>
      </w:r>
      <w:r w:rsidRPr="00E110D9">
        <w:rPr>
          <w:rFonts w:ascii="Roboto" w:hAnsi="Roboto"/>
          <w:b/>
          <w:bCs/>
          <w:lang w:val="en-GB"/>
        </w:rPr>
        <w:t xml:space="preserve"> the Committee recommends that the State party:</w:t>
      </w:r>
    </w:p>
    <w:p w14:paraId="28BCC063"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ab/>
        <w:t>(a)</w:t>
      </w:r>
      <w:r w:rsidRPr="00E110D9">
        <w:rPr>
          <w:rFonts w:ascii="Roboto" w:hAnsi="Roboto"/>
          <w:b/>
          <w:bCs/>
          <w:lang w:val="en-GB"/>
        </w:rPr>
        <w:tab/>
        <w:t>Improve the levels of employment of persons with disabilities, including by establishing incentives and special measures, and integrate workers with disabilities into the mainstream labour market;</w:t>
      </w:r>
    </w:p>
    <w:p w14:paraId="6C2D4DC9"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ab/>
        <w:t>(b)</w:t>
      </w:r>
      <w:r w:rsidRPr="00E110D9">
        <w:rPr>
          <w:rFonts w:ascii="Roboto" w:hAnsi="Roboto"/>
          <w:b/>
          <w:bCs/>
          <w:lang w:val="en-GB"/>
        </w:rPr>
        <w:tab/>
        <w:t>Intensify its efforts to support Roma, persons with disabilities, women with children, young people, persons 50 years of age and older and migrants, in gaining access to employment, including by implementing targeted positive measures, facilitating their access to technical and vocational training opportunities and collecting data on their situation;</w:t>
      </w:r>
    </w:p>
    <w:p w14:paraId="1AC743BC"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(d)</w:t>
      </w:r>
      <w:r w:rsidRPr="00E110D9">
        <w:rPr>
          <w:rFonts w:ascii="Roboto" w:hAnsi="Roboto"/>
          <w:b/>
          <w:bCs/>
          <w:lang w:val="en-GB"/>
        </w:rPr>
        <w:tab/>
        <w:t>Continue to take positive measures to assist the groups most affected by unemployment, in particular young people, women with children, and persons with disabilities;</w:t>
      </w:r>
    </w:p>
    <w:p w14:paraId="516C4F3B" w14:textId="77777777" w:rsidR="00113BAE" w:rsidRPr="00E110D9" w:rsidRDefault="00113BAE" w:rsidP="00635DC5">
      <w:pPr>
        <w:ind w:right="284"/>
        <w:jc w:val="both"/>
        <w:rPr>
          <w:rFonts w:ascii="Roboto" w:hAnsi="Roboto"/>
          <w:b/>
          <w:bCs/>
          <w:lang w:val="en-GB"/>
        </w:rPr>
      </w:pPr>
    </w:p>
    <w:p w14:paraId="3D0F97D8"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Mental health</w:t>
      </w:r>
    </w:p>
    <w:p w14:paraId="1A411D6D" w14:textId="77777777" w:rsidR="00113BAE" w:rsidRPr="00E110D9" w:rsidRDefault="00113BAE" w:rsidP="00635DC5">
      <w:pPr>
        <w:ind w:right="284"/>
        <w:jc w:val="both"/>
        <w:rPr>
          <w:rFonts w:ascii="Roboto" w:hAnsi="Roboto"/>
          <w:lang w:val="en-GB"/>
        </w:rPr>
      </w:pPr>
      <w:r w:rsidRPr="00E110D9">
        <w:rPr>
          <w:rFonts w:ascii="Roboto" w:hAnsi="Roboto"/>
          <w:lang w:val="en-GB"/>
        </w:rPr>
        <w:t>56.</w:t>
      </w:r>
      <w:r w:rsidRPr="00E110D9">
        <w:rPr>
          <w:rFonts w:ascii="Roboto" w:hAnsi="Roboto"/>
          <w:lang w:val="en-GB"/>
        </w:rPr>
        <w:tab/>
        <w:t>While welcoming the measures taken to improve mental health services, the Committee is concerned about the persistent stigmatization of poor mental health which prevents individuals from seeking assistance and treatment. The Committee is further concerned by the low budget allocated to mental health compared to total government health spending. The Committee regrets the lack of information on the specific measures taken to prohibit the involuntary hospitalization and non-consensual treatment of, and intrusive medical or surgical procedures for, persons with psychosocial or intellectual disabilities (art. 12).</w:t>
      </w:r>
    </w:p>
    <w:p w14:paraId="4F129DE9"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57.</w:t>
      </w:r>
      <w:r w:rsidRPr="00E110D9">
        <w:rPr>
          <w:rFonts w:ascii="Roboto" w:hAnsi="Roboto"/>
          <w:b/>
          <w:bCs/>
          <w:lang w:val="en-GB"/>
        </w:rPr>
        <w:tab/>
        <w:t>Reiterating the recommendations made in its previous concluding observations,</w:t>
      </w:r>
      <w:r w:rsidRPr="00E110D9">
        <w:rPr>
          <w:rFonts w:ascii="Roboto" w:hAnsi="Roboto"/>
          <w:b/>
          <w:bCs/>
          <w:vertAlign w:val="superscript"/>
          <w:lang w:val="en-GB"/>
        </w:rPr>
        <w:footnoteReference w:id="4"/>
      </w:r>
      <w:r w:rsidRPr="00E110D9">
        <w:rPr>
          <w:rFonts w:ascii="Roboto" w:hAnsi="Roboto"/>
          <w:b/>
          <w:bCs/>
          <w:lang w:val="en-GB"/>
        </w:rPr>
        <w:t xml:space="preserve"> the Committee recommends that the State party:</w:t>
      </w:r>
    </w:p>
    <w:p w14:paraId="1840E025"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ab/>
        <w:t>(a)</w:t>
      </w:r>
      <w:r w:rsidRPr="00E110D9">
        <w:rPr>
          <w:rFonts w:ascii="Roboto" w:hAnsi="Roboto"/>
          <w:b/>
          <w:bCs/>
          <w:lang w:val="en-GB"/>
        </w:rPr>
        <w:tab/>
        <w:t xml:space="preserve">Increase its efforts to identify and </w:t>
      </w:r>
      <w:proofErr w:type="gramStart"/>
      <w:r w:rsidRPr="00E110D9">
        <w:rPr>
          <w:rFonts w:ascii="Roboto" w:hAnsi="Roboto"/>
          <w:b/>
          <w:bCs/>
          <w:lang w:val="en-GB"/>
        </w:rPr>
        <w:t>address effectively</w:t>
      </w:r>
      <w:proofErr w:type="gramEnd"/>
      <w:r w:rsidRPr="00E110D9">
        <w:rPr>
          <w:rFonts w:ascii="Roboto" w:hAnsi="Roboto"/>
          <w:b/>
          <w:bCs/>
          <w:lang w:val="en-GB"/>
        </w:rPr>
        <w:t xml:space="preserve"> the root causes of the prevalence of, as well as the increase in, mental health issues;</w:t>
      </w:r>
    </w:p>
    <w:p w14:paraId="0BE39F85"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lastRenderedPageBreak/>
        <w:tab/>
        <w:t>(b)</w:t>
      </w:r>
      <w:r w:rsidRPr="00E110D9">
        <w:rPr>
          <w:rFonts w:ascii="Roboto" w:hAnsi="Roboto"/>
          <w:b/>
          <w:bCs/>
          <w:lang w:val="en-GB"/>
        </w:rPr>
        <w:tab/>
        <w:t>Ensure the transition from the placement of persons requiring mental health-care services in psychiatric institutions to a comprehensive, integrated, interdisciplinary system of community-based mental health services;</w:t>
      </w:r>
    </w:p>
    <w:p w14:paraId="366B6E02"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ab/>
        <w:t>(c)</w:t>
      </w:r>
      <w:r w:rsidRPr="00E110D9">
        <w:rPr>
          <w:rFonts w:ascii="Roboto" w:hAnsi="Roboto"/>
          <w:b/>
          <w:bCs/>
          <w:lang w:val="en-GB"/>
        </w:rPr>
        <w:tab/>
        <w:t>Take measures to remove remaining forms of discrimination and stigmatization;</w:t>
      </w:r>
    </w:p>
    <w:p w14:paraId="52682183" w14:textId="77777777" w:rsidR="00113BAE" w:rsidRPr="00E110D9" w:rsidRDefault="00113BAE" w:rsidP="00635DC5">
      <w:pPr>
        <w:ind w:right="284"/>
        <w:jc w:val="both"/>
        <w:rPr>
          <w:rFonts w:ascii="Roboto" w:hAnsi="Roboto"/>
          <w:b/>
          <w:bCs/>
          <w:lang w:val="en-GB"/>
        </w:rPr>
      </w:pPr>
      <w:r w:rsidRPr="00E110D9">
        <w:rPr>
          <w:rFonts w:ascii="Roboto" w:hAnsi="Roboto"/>
          <w:b/>
          <w:bCs/>
          <w:lang w:val="en-GB"/>
        </w:rPr>
        <w:tab/>
        <w:t>(d)</w:t>
      </w:r>
      <w:r w:rsidRPr="00E110D9">
        <w:rPr>
          <w:rFonts w:ascii="Roboto" w:hAnsi="Roboto"/>
          <w:b/>
          <w:bCs/>
          <w:lang w:val="en-GB"/>
        </w:rPr>
        <w:tab/>
        <w:t>Ensure that overall levels of funding dedicated to mental health-care services are sufficient to meet the needs of the population.</w:t>
      </w:r>
    </w:p>
    <w:p w14:paraId="160B7D67" w14:textId="77777777" w:rsidR="00113BAE" w:rsidRPr="00E110D9" w:rsidRDefault="00113BAE" w:rsidP="00635DC5">
      <w:pPr>
        <w:ind w:right="284"/>
        <w:jc w:val="both"/>
        <w:rPr>
          <w:rFonts w:ascii="Roboto" w:hAnsi="Roboto"/>
          <w:b/>
          <w:bCs/>
          <w:lang w:val="en-GB"/>
        </w:rPr>
      </w:pPr>
    </w:p>
    <w:p w14:paraId="09F749B8" w14:textId="77777777" w:rsidR="00874F42" w:rsidRPr="00E110D9" w:rsidRDefault="00874F42" w:rsidP="00635DC5">
      <w:pPr>
        <w:ind w:right="284"/>
        <w:jc w:val="both"/>
        <w:rPr>
          <w:rFonts w:ascii="Roboto" w:eastAsia="Calibri" w:hAnsi="Roboto" w:cs="Arial"/>
          <w:b/>
          <w:bCs/>
          <w:lang w:val="en-GB"/>
        </w:rPr>
      </w:pPr>
      <w:r w:rsidRPr="00E110D9">
        <w:rPr>
          <w:rFonts w:ascii="Roboto" w:eastAsia="Calibri" w:hAnsi="Roboto" w:cs="Arial"/>
          <w:b/>
          <w:bCs/>
          <w:lang w:val="en-GB"/>
        </w:rPr>
        <w:t>Right to education</w:t>
      </w:r>
    </w:p>
    <w:p w14:paraId="6ED3BD75" w14:textId="77777777" w:rsidR="00874F42" w:rsidRPr="00E110D9" w:rsidRDefault="00874F42" w:rsidP="00635DC5">
      <w:pPr>
        <w:ind w:right="284"/>
        <w:jc w:val="both"/>
        <w:rPr>
          <w:rFonts w:ascii="Roboto" w:eastAsia="Calibri" w:hAnsi="Roboto" w:cs="Arial"/>
          <w:lang w:val="en-GB"/>
        </w:rPr>
      </w:pPr>
      <w:r w:rsidRPr="00E110D9">
        <w:rPr>
          <w:rFonts w:ascii="Roboto" w:eastAsia="Calibri" w:hAnsi="Roboto" w:cs="Arial"/>
          <w:lang w:val="en-GB"/>
        </w:rPr>
        <w:t>58.</w:t>
      </w:r>
      <w:r w:rsidRPr="00E110D9">
        <w:rPr>
          <w:rFonts w:ascii="Roboto" w:eastAsia="Calibri" w:hAnsi="Roboto" w:cs="Arial"/>
          <w:lang w:val="en-GB"/>
        </w:rPr>
        <w:tab/>
        <w:t>Despite the recent reforms carried out by the State party, the Committee is concerned that a significant gap continues to exist in the educational achievements between students from rural and urban areas. The Committee is concerned about the reports that the low educational attainment and high dropout rates of Roma children and their placement in special schools continue to persist. The Committee regrets the lack of statistical data on school enrolment, dropout and irregular attendance rates in primary, secondary and tertiary education and on educational achievement and results, disaggregated by age, sex, ethnic origin, national origin, disability and socioeconomic status (arts. 2, 13 and 14).</w:t>
      </w:r>
    </w:p>
    <w:p w14:paraId="5286348F" w14:textId="77777777" w:rsidR="00874F42" w:rsidRPr="00E110D9" w:rsidRDefault="00874F42" w:rsidP="00635DC5">
      <w:pPr>
        <w:ind w:right="284"/>
        <w:jc w:val="both"/>
        <w:rPr>
          <w:rFonts w:ascii="Roboto" w:eastAsia="Calibri" w:hAnsi="Roboto" w:cs="Arial"/>
          <w:b/>
          <w:bCs/>
          <w:lang w:val="en-GB"/>
        </w:rPr>
      </w:pPr>
      <w:r w:rsidRPr="00E110D9">
        <w:rPr>
          <w:rFonts w:ascii="Roboto" w:eastAsia="Calibri" w:hAnsi="Roboto" w:cs="Arial"/>
          <w:b/>
          <w:bCs/>
          <w:lang w:val="en-GB"/>
        </w:rPr>
        <w:t>60.</w:t>
      </w:r>
      <w:r w:rsidRPr="00E110D9">
        <w:rPr>
          <w:rFonts w:ascii="Roboto" w:eastAsia="Calibri" w:hAnsi="Roboto" w:cs="Arial"/>
          <w:b/>
          <w:bCs/>
          <w:lang w:val="en-GB"/>
        </w:rPr>
        <w:tab/>
        <w:t>The Committee recommends that the State party:</w:t>
      </w:r>
    </w:p>
    <w:p w14:paraId="019B2E91" w14:textId="77777777" w:rsidR="00874F42" w:rsidRPr="00E110D9" w:rsidRDefault="00874F42" w:rsidP="00635DC5">
      <w:pPr>
        <w:ind w:right="284"/>
        <w:jc w:val="both"/>
        <w:rPr>
          <w:rFonts w:ascii="Roboto" w:eastAsia="Calibri" w:hAnsi="Roboto" w:cs="Arial"/>
          <w:b/>
          <w:bCs/>
          <w:lang w:val="en-GB"/>
        </w:rPr>
      </w:pPr>
      <w:r w:rsidRPr="00E110D9">
        <w:rPr>
          <w:rFonts w:ascii="Roboto" w:eastAsia="Calibri" w:hAnsi="Roboto" w:cs="Arial"/>
          <w:b/>
          <w:bCs/>
          <w:lang w:val="en-GB"/>
        </w:rPr>
        <w:tab/>
        <w:t>(a)</w:t>
      </w:r>
      <w:r w:rsidRPr="00E110D9">
        <w:rPr>
          <w:rFonts w:ascii="Roboto" w:eastAsia="Calibri" w:hAnsi="Roboto" w:cs="Arial"/>
          <w:b/>
          <w:bCs/>
          <w:lang w:val="en-GB"/>
        </w:rPr>
        <w:tab/>
        <w:t>Take targeted measures to improve school enrolment and completion rates among Roma children, children with disabilities and students living in rural areas;</w:t>
      </w:r>
    </w:p>
    <w:p w14:paraId="460CCAA5" w14:textId="77777777" w:rsidR="00D4232F" w:rsidRPr="00E110D9" w:rsidRDefault="00D4232F" w:rsidP="00635DC5">
      <w:pPr>
        <w:ind w:right="284"/>
        <w:jc w:val="both"/>
        <w:rPr>
          <w:rFonts w:ascii="Roboto" w:hAnsi="Roboto" w:cs="Arial"/>
          <w:b/>
          <w:bCs/>
          <w:lang w:val="en-GB"/>
        </w:rPr>
      </w:pPr>
    </w:p>
    <w:p w14:paraId="28183FE5" w14:textId="4554F947" w:rsidR="00B25B81" w:rsidRPr="00191511" w:rsidRDefault="001E7D8F" w:rsidP="00635DC5">
      <w:pPr>
        <w:pStyle w:val="Heading1"/>
        <w:spacing w:before="0"/>
        <w:ind w:right="284"/>
        <w:rPr>
          <w:rFonts w:ascii="Roboto" w:hAnsi="Roboto" w:cs="Arial"/>
          <w:b/>
          <w:bCs/>
          <w:color w:val="auto"/>
          <w:sz w:val="24"/>
          <w:szCs w:val="24"/>
          <w:lang w:val="en-GB"/>
        </w:rPr>
      </w:pPr>
      <w:bookmarkStart w:id="4" w:name="_Toc149646559"/>
      <w:bookmarkStart w:id="5" w:name="_Hlk149646183"/>
      <w:r w:rsidRPr="00191511">
        <w:rPr>
          <w:rFonts w:ascii="Roboto" w:hAnsi="Roboto"/>
          <w:b/>
          <w:bCs/>
          <w:color w:val="auto"/>
          <w:sz w:val="24"/>
          <w:szCs w:val="24"/>
          <w:lang w:val="en-GB"/>
        </w:rPr>
        <w:t>PANAMA</w:t>
      </w:r>
      <w:r w:rsidR="00DB2539" w:rsidRPr="00191511">
        <w:rPr>
          <w:rFonts w:ascii="Roboto" w:hAnsi="Roboto"/>
          <w:b/>
          <w:bCs/>
          <w:color w:val="auto"/>
          <w:sz w:val="24"/>
          <w:szCs w:val="24"/>
          <w:lang w:val="en-GB"/>
        </w:rPr>
        <w:t xml:space="preserve"> </w:t>
      </w:r>
      <w:r w:rsidR="00393B67" w:rsidRPr="00191511">
        <w:rPr>
          <w:rFonts w:ascii="Roboto" w:hAnsi="Roboto"/>
          <w:b/>
          <w:bCs/>
          <w:color w:val="auto"/>
          <w:sz w:val="24"/>
          <w:szCs w:val="24"/>
          <w:lang w:val="en-GB"/>
        </w:rPr>
        <w:t>-</w:t>
      </w:r>
      <w:r w:rsidR="00393B67" w:rsidRPr="00191511">
        <w:rPr>
          <w:rFonts w:ascii="Times New Roman" w:eastAsiaTheme="minorHAnsi" w:hAnsi="Times New Roman" w:cs="Times New Roman"/>
          <w:b/>
          <w:bCs/>
          <w:color w:val="auto"/>
          <w:sz w:val="24"/>
          <w:szCs w:val="24"/>
          <w:lang w:val="fr-CH"/>
        </w:rPr>
        <w:t xml:space="preserve"> </w:t>
      </w:r>
      <w:r w:rsidR="00B25B81" w:rsidRPr="00191511">
        <w:rPr>
          <w:rFonts w:ascii="Roboto" w:hAnsi="Roboto"/>
          <w:b/>
          <w:bCs/>
          <w:color w:val="auto"/>
          <w:sz w:val="24"/>
          <w:szCs w:val="24"/>
          <w:lang w:val="en-GB"/>
        </w:rPr>
        <w:t>E/C.12/</w:t>
      </w:r>
      <w:r w:rsidRPr="00191511">
        <w:rPr>
          <w:rFonts w:ascii="Roboto" w:hAnsi="Roboto"/>
          <w:b/>
          <w:bCs/>
          <w:color w:val="auto"/>
          <w:sz w:val="24"/>
          <w:szCs w:val="24"/>
          <w:lang w:val="en-GB"/>
        </w:rPr>
        <w:t>PAN</w:t>
      </w:r>
      <w:r w:rsidR="00B25B81" w:rsidRPr="00191511">
        <w:rPr>
          <w:rFonts w:ascii="Roboto" w:hAnsi="Roboto"/>
          <w:b/>
          <w:bCs/>
          <w:color w:val="auto"/>
          <w:sz w:val="24"/>
          <w:szCs w:val="24"/>
          <w:lang w:val="en-GB"/>
        </w:rPr>
        <w:t>/CO/</w:t>
      </w:r>
      <w:r w:rsidRPr="00191511">
        <w:rPr>
          <w:rFonts w:ascii="Roboto" w:hAnsi="Roboto"/>
          <w:b/>
          <w:bCs/>
          <w:color w:val="auto"/>
          <w:sz w:val="24"/>
          <w:szCs w:val="24"/>
          <w:lang w:val="en-GB"/>
        </w:rPr>
        <w:t>3</w:t>
      </w:r>
      <w:bookmarkEnd w:id="4"/>
    </w:p>
    <w:bookmarkEnd w:id="5"/>
    <w:p w14:paraId="7FED8910" w14:textId="77777777" w:rsidR="00102F98" w:rsidRPr="00E110D9" w:rsidRDefault="00102F98" w:rsidP="00635DC5">
      <w:pPr>
        <w:spacing w:before="240"/>
        <w:ind w:right="284"/>
        <w:jc w:val="both"/>
        <w:rPr>
          <w:rFonts w:ascii="Roboto" w:hAnsi="Roboto" w:cs="Arial"/>
          <w:b/>
          <w:lang w:val="en-GB"/>
        </w:rPr>
      </w:pPr>
      <w:r w:rsidRPr="00E110D9">
        <w:rPr>
          <w:rFonts w:ascii="Roboto" w:hAnsi="Roboto" w:cs="Arial"/>
          <w:b/>
          <w:lang w:val="en-GB"/>
        </w:rPr>
        <w:t>Data collection</w:t>
      </w:r>
    </w:p>
    <w:p w14:paraId="56B02A1D" w14:textId="77777777" w:rsidR="00102F98" w:rsidRPr="00E110D9" w:rsidRDefault="00102F98" w:rsidP="00635DC5">
      <w:pPr>
        <w:ind w:right="284"/>
        <w:jc w:val="both"/>
        <w:rPr>
          <w:rFonts w:ascii="Roboto" w:hAnsi="Roboto" w:cs="Arial"/>
          <w:bCs/>
          <w:lang w:val="en-GB"/>
        </w:rPr>
      </w:pPr>
      <w:r w:rsidRPr="00E110D9">
        <w:rPr>
          <w:rFonts w:ascii="Roboto" w:hAnsi="Roboto" w:cs="Arial"/>
          <w:bCs/>
          <w:lang w:val="en-GB"/>
        </w:rPr>
        <w:t>14.</w:t>
      </w:r>
      <w:r w:rsidRPr="00E110D9">
        <w:rPr>
          <w:rFonts w:ascii="Roboto" w:hAnsi="Roboto" w:cs="Arial"/>
          <w:bCs/>
          <w:lang w:val="en-GB"/>
        </w:rPr>
        <w:tab/>
      </w:r>
      <w:r w:rsidRPr="00E110D9">
        <w:rPr>
          <w:rFonts w:ascii="Roboto" w:hAnsi="Roboto" w:cs="Arial"/>
          <w:b/>
          <w:lang w:val="en-GB"/>
        </w:rPr>
        <w:tab/>
      </w:r>
      <w:r w:rsidRPr="00E110D9">
        <w:rPr>
          <w:rFonts w:ascii="Roboto" w:hAnsi="Roboto" w:cs="Arial"/>
          <w:bCs/>
          <w:lang w:val="en-GB"/>
        </w:rPr>
        <w:t xml:space="preserve">While it notes the State party’s efforts in the area of data collection, the Committee is concerned that evident institutional weaknesses at all levels hamper the systematic, standardized collection of reliable disaggregated statistical data needed to monitor the gradual realization of Covenant rights (art. 2 (1) and (2)). </w:t>
      </w:r>
    </w:p>
    <w:p w14:paraId="2AE5D5A3" w14:textId="0CC6E53C" w:rsidR="00102F98" w:rsidRPr="00E110D9" w:rsidRDefault="00102F98" w:rsidP="00635DC5">
      <w:pPr>
        <w:ind w:right="284"/>
        <w:jc w:val="both"/>
        <w:rPr>
          <w:rFonts w:ascii="Roboto" w:hAnsi="Roboto" w:cs="Arial"/>
          <w:b/>
          <w:bCs/>
          <w:lang w:val="en-GB"/>
        </w:rPr>
      </w:pPr>
      <w:r w:rsidRPr="00E110D9">
        <w:rPr>
          <w:rFonts w:ascii="Roboto" w:hAnsi="Roboto" w:cs="Arial"/>
          <w:bCs/>
          <w:lang w:val="en-GB"/>
        </w:rPr>
        <w:t>15.</w:t>
      </w:r>
      <w:r w:rsidRPr="00E110D9">
        <w:rPr>
          <w:rFonts w:ascii="Roboto" w:hAnsi="Roboto" w:cs="Arial"/>
          <w:bCs/>
          <w:lang w:val="en-GB"/>
        </w:rPr>
        <w:tab/>
      </w:r>
      <w:r w:rsidRPr="00E110D9">
        <w:rPr>
          <w:rFonts w:ascii="Roboto" w:hAnsi="Roboto" w:cs="Arial"/>
          <w:bCs/>
          <w:lang w:val="en-GB"/>
        </w:rPr>
        <w:tab/>
      </w:r>
      <w:r w:rsidRPr="00E110D9">
        <w:rPr>
          <w:rFonts w:ascii="Roboto" w:hAnsi="Roboto" w:cs="Arial"/>
          <w:b/>
          <w:bCs/>
          <w:lang w:val="en-GB"/>
        </w:rPr>
        <w:t>The Committee recommends that the State party:</w:t>
      </w:r>
    </w:p>
    <w:p w14:paraId="12404309" w14:textId="77777777" w:rsidR="00102F98" w:rsidRPr="00E110D9" w:rsidRDefault="00102F98" w:rsidP="00635DC5">
      <w:pPr>
        <w:ind w:right="284"/>
        <w:jc w:val="both"/>
        <w:rPr>
          <w:rFonts w:ascii="Roboto" w:hAnsi="Roboto" w:cs="Arial"/>
          <w:b/>
          <w:lang w:val="en-GB"/>
        </w:rPr>
      </w:pPr>
      <w:r w:rsidRPr="00E110D9">
        <w:rPr>
          <w:rFonts w:ascii="Roboto" w:hAnsi="Roboto" w:cs="Arial"/>
          <w:b/>
          <w:lang w:val="en-GB"/>
        </w:rPr>
        <w:t>(b)</w:t>
      </w:r>
      <w:r w:rsidRPr="00E110D9">
        <w:rPr>
          <w:rFonts w:ascii="Roboto" w:hAnsi="Roboto" w:cs="Arial"/>
          <w:b/>
          <w:lang w:val="en-GB"/>
        </w:rPr>
        <w:tab/>
      </w:r>
      <w:r w:rsidRPr="00E110D9">
        <w:rPr>
          <w:rFonts w:ascii="Roboto" w:hAnsi="Roboto" w:cs="Arial"/>
          <w:b/>
          <w:bCs/>
          <w:lang w:val="en-GB"/>
        </w:rPr>
        <w:t>Systematically collect data in the areas of economic, social and cultural rights, disaggregated by grounds of discrimination, including sex, gender, disability, ethnic origin, region and any other social status;</w:t>
      </w:r>
    </w:p>
    <w:p w14:paraId="3335B159" w14:textId="77777777" w:rsidR="00102F98" w:rsidRPr="00E110D9" w:rsidRDefault="00102F98" w:rsidP="00635DC5">
      <w:pPr>
        <w:ind w:right="284"/>
        <w:jc w:val="both"/>
        <w:rPr>
          <w:rFonts w:ascii="Roboto" w:hAnsi="Roboto" w:cs="Arial"/>
          <w:b/>
          <w:lang w:val="en-GB"/>
        </w:rPr>
      </w:pPr>
    </w:p>
    <w:p w14:paraId="25C13C1D" w14:textId="4D683E95" w:rsidR="001E7D8F" w:rsidRPr="00E110D9" w:rsidRDefault="001E7D8F" w:rsidP="00635DC5">
      <w:pPr>
        <w:ind w:right="284"/>
        <w:jc w:val="both"/>
        <w:rPr>
          <w:rFonts w:ascii="Roboto" w:hAnsi="Roboto" w:cs="Arial"/>
          <w:b/>
          <w:lang w:val="en-GB"/>
        </w:rPr>
      </w:pPr>
      <w:r w:rsidRPr="00E110D9">
        <w:rPr>
          <w:rFonts w:ascii="Roboto" w:hAnsi="Roboto" w:cs="Arial"/>
          <w:b/>
          <w:lang w:val="en-GB"/>
        </w:rPr>
        <w:t>Non-discrimination</w:t>
      </w:r>
    </w:p>
    <w:p w14:paraId="012BF6E3" w14:textId="77777777" w:rsidR="001E7D8F" w:rsidRPr="00E110D9" w:rsidRDefault="001E7D8F" w:rsidP="00635DC5">
      <w:pPr>
        <w:ind w:right="284"/>
        <w:jc w:val="both"/>
        <w:rPr>
          <w:rFonts w:ascii="Roboto" w:hAnsi="Roboto" w:cs="Arial"/>
          <w:lang w:val="en-GB"/>
        </w:rPr>
      </w:pPr>
      <w:r w:rsidRPr="00E110D9">
        <w:rPr>
          <w:rFonts w:ascii="Roboto" w:hAnsi="Roboto" w:cs="Arial"/>
          <w:lang w:val="en-GB"/>
        </w:rPr>
        <w:t>16.</w:t>
      </w:r>
      <w:r w:rsidRPr="00E110D9">
        <w:rPr>
          <w:rFonts w:ascii="Roboto" w:hAnsi="Roboto" w:cs="Arial"/>
          <w:lang w:val="en-GB"/>
        </w:rPr>
        <w:tab/>
      </w:r>
      <w:r w:rsidRPr="00E110D9">
        <w:rPr>
          <w:rFonts w:ascii="Roboto" w:hAnsi="Roboto" w:cs="Arial"/>
          <w:lang w:val="en-GB"/>
        </w:rPr>
        <w:tab/>
        <w:t>The Committee is concerned that the sectoral legal framework on discrimination adopted by the State party does not provide full protection against discrimination within the meaning of the Covenant. The Committee is also concerned about the lack of practical measures to combat de facto discrimination in the effective enjoyment of economic, social and cultural rights experienced by disadvantaged and marginalized persons and groups</w:t>
      </w:r>
      <w:r w:rsidRPr="00E110D9">
        <w:rPr>
          <w:rFonts w:ascii="Roboto" w:hAnsi="Roboto" w:cs="Arial"/>
          <w:lang w:val="en-GB"/>
        </w:rPr>
        <w:br/>
        <w:t xml:space="preserve">(art. 2 (2)). </w:t>
      </w:r>
    </w:p>
    <w:p w14:paraId="0EAB077C" w14:textId="77777777" w:rsidR="001E7D8F" w:rsidRPr="00E110D9" w:rsidRDefault="001E7D8F" w:rsidP="00635DC5">
      <w:pPr>
        <w:ind w:right="284"/>
        <w:jc w:val="both"/>
        <w:rPr>
          <w:rFonts w:ascii="Roboto" w:hAnsi="Roboto" w:cs="Arial"/>
          <w:b/>
          <w:bCs/>
          <w:lang w:val="en-GB"/>
        </w:rPr>
      </w:pPr>
      <w:r w:rsidRPr="00E110D9">
        <w:rPr>
          <w:rFonts w:ascii="Roboto" w:hAnsi="Roboto" w:cs="Arial"/>
          <w:lang w:val="en-GB"/>
        </w:rPr>
        <w:t>17.</w:t>
      </w:r>
      <w:r w:rsidRPr="00E110D9">
        <w:rPr>
          <w:rFonts w:ascii="Roboto" w:hAnsi="Roboto" w:cs="Arial"/>
          <w:lang w:val="en-GB"/>
        </w:rPr>
        <w:tab/>
      </w:r>
      <w:r w:rsidRPr="00E110D9">
        <w:rPr>
          <w:rFonts w:ascii="Roboto" w:hAnsi="Roboto" w:cs="Arial"/>
          <w:lang w:val="en-GB"/>
        </w:rPr>
        <w:tab/>
      </w:r>
      <w:r w:rsidRPr="00E110D9">
        <w:rPr>
          <w:rFonts w:ascii="Roboto" w:hAnsi="Roboto" w:cs="Arial"/>
          <w:b/>
          <w:bCs/>
          <w:lang w:val="en-GB"/>
        </w:rPr>
        <w:t>The Committee recommends that the State party:</w:t>
      </w:r>
    </w:p>
    <w:p w14:paraId="4929404D"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(c)</w:t>
      </w:r>
      <w:r w:rsidRPr="00E110D9">
        <w:rPr>
          <w:rFonts w:ascii="Roboto" w:hAnsi="Roboto" w:cs="Arial"/>
          <w:b/>
          <w:bCs/>
          <w:lang w:val="en-GB"/>
        </w:rPr>
        <w:tab/>
        <w:t>Effectively prevent and combat de facto discrimination against women, Indigenous Peoples, persons of African descent, migrants, refugees, asylum-seekers, persons with disabilities and persons living with HIV/AIDS, in particular through awareness-raising campaigns and affirmative action;</w:t>
      </w:r>
    </w:p>
    <w:p w14:paraId="7859BA88" w14:textId="77777777" w:rsidR="001E7D8F" w:rsidRPr="00E110D9" w:rsidRDefault="001E7D8F" w:rsidP="00635DC5">
      <w:pPr>
        <w:ind w:right="284"/>
        <w:jc w:val="both"/>
        <w:rPr>
          <w:rFonts w:ascii="Roboto" w:hAnsi="Roboto" w:cs="Arial"/>
          <w:b/>
          <w:lang w:val="en-GB"/>
        </w:rPr>
      </w:pPr>
    </w:p>
    <w:p w14:paraId="41209868" w14:textId="77777777" w:rsidR="00E63709" w:rsidRDefault="00E63709" w:rsidP="00635DC5">
      <w:pPr>
        <w:ind w:right="284"/>
        <w:jc w:val="both"/>
        <w:rPr>
          <w:rFonts w:ascii="Roboto" w:hAnsi="Roboto" w:cs="Arial"/>
          <w:b/>
          <w:bCs/>
          <w:lang w:val="en-GB"/>
        </w:rPr>
      </w:pPr>
    </w:p>
    <w:p w14:paraId="443A6FC0" w14:textId="22E83406"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lastRenderedPageBreak/>
        <w:t xml:space="preserve">Equality between men and women </w:t>
      </w:r>
    </w:p>
    <w:p w14:paraId="10DDF763" w14:textId="77777777" w:rsidR="001E7D8F" w:rsidRPr="00E110D9" w:rsidRDefault="001E7D8F" w:rsidP="00635DC5">
      <w:pPr>
        <w:ind w:right="284"/>
        <w:jc w:val="both"/>
        <w:rPr>
          <w:rFonts w:ascii="Roboto" w:hAnsi="Roboto" w:cs="Arial"/>
          <w:lang w:val="en-GB"/>
        </w:rPr>
      </w:pPr>
      <w:r w:rsidRPr="00E110D9">
        <w:rPr>
          <w:rFonts w:ascii="Roboto" w:hAnsi="Roboto" w:cs="Arial"/>
          <w:lang w:val="en-GB"/>
        </w:rPr>
        <w:t>20.</w:t>
      </w:r>
      <w:r w:rsidRPr="00E110D9">
        <w:rPr>
          <w:rFonts w:ascii="Roboto" w:hAnsi="Roboto" w:cs="Arial"/>
          <w:lang w:val="en-GB"/>
        </w:rPr>
        <w:tab/>
        <w:t>While it notes the legal framework adopted by the State party to achieve gender equality, including Act No. 4 of 1999 and the Public Policy for Equal Opportunities for Women, the Committee is concerned about the persistent gender pay gap. It is also concerned about the underrepresentation of women, especially women with disabilities, young women, indigenous women, women of African descent, and women migrants, refugees and asylum-seekers, in leadership and decision-making positions in the public and private sectors. In this connection, the Committee shares the concern expressed by the Committee on the Elimination of Discrimination against Women (art. 3).</w:t>
      </w:r>
      <w:r w:rsidRPr="00E110D9">
        <w:rPr>
          <w:rFonts w:ascii="Roboto" w:hAnsi="Roboto" w:cs="Arial"/>
          <w:vertAlign w:val="superscript"/>
          <w:lang w:val="en-GB"/>
        </w:rPr>
        <w:footnoteReference w:id="5"/>
      </w:r>
    </w:p>
    <w:p w14:paraId="2E685440"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21.</w:t>
      </w:r>
      <w:r w:rsidRPr="00E110D9">
        <w:rPr>
          <w:rFonts w:ascii="Roboto" w:hAnsi="Roboto" w:cs="Arial"/>
          <w:b/>
          <w:bCs/>
          <w:lang w:val="en-GB"/>
        </w:rPr>
        <w:tab/>
      </w:r>
      <w:r w:rsidRPr="00E110D9">
        <w:rPr>
          <w:rFonts w:ascii="Roboto" w:hAnsi="Roboto" w:cs="Arial"/>
          <w:b/>
          <w:bCs/>
          <w:lang w:val="en-GB"/>
        </w:rPr>
        <w:tab/>
        <w:t>The Committee recommends that the State party:</w:t>
      </w:r>
    </w:p>
    <w:p w14:paraId="7374F96F"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ab/>
        <w:t>(a)</w:t>
      </w:r>
      <w:r w:rsidRPr="00E110D9">
        <w:rPr>
          <w:rFonts w:ascii="Roboto" w:hAnsi="Roboto" w:cs="Arial"/>
          <w:b/>
          <w:bCs/>
          <w:lang w:val="en-GB"/>
        </w:rPr>
        <w:tab/>
        <w:t>Take the measures necessary to establish the Ministry of Women’s Affairs and ensure that sufficient budgetary, technical and human resources are allocated to the effective implementation and monitoring of the legal and policy framework on gender equality and the empowerment of women;</w:t>
      </w:r>
    </w:p>
    <w:p w14:paraId="6991FD86"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ab/>
        <w:t>(b)</w:t>
      </w:r>
      <w:r w:rsidRPr="00E110D9">
        <w:rPr>
          <w:rFonts w:ascii="Roboto" w:hAnsi="Roboto" w:cs="Arial"/>
          <w:b/>
          <w:bCs/>
          <w:lang w:val="en-GB"/>
        </w:rPr>
        <w:tab/>
        <w:t>Intensify efforts to close the gender pay gap;</w:t>
      </w:r>
    </w:p>
    <w:p w14:paraId="20B7F498"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ab/>
        <w:t>(c)</w:t>
      </w:r>
      <w:r w:rsidRPr="00E110D9">
        <w:rPr>
          <w:rFonts w:ascii="Roboto" w:hAnsi="Roboto" w:cs="Arial"/>
          <w:b/>
          <w:bCs/>
          <w:lang w:val="en-GB"/>
        </w:rPr>
        <w:tab/>
        <w:t>Take specific measures to promote the representation of women at all levels of decision-making and in leadership positions in the private and public sectors;</w:t>
      </w:r>
    </w:p>
    <w:p w14:paraId="4C2F28CF"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ab/>
        <w:t>(d)</w:t>
      </w:r>
      <w:r w:rsidRPr="00E110D9">
        <w:rPr>
          <w:rFonts w:ascii="Roboto" w:hAnsi="Roboto" w:cs="Arial"/>
          <w:b/>
          <w:bCs/>
          <w:lang w:val="en-GB"/>
        </w:rPr>
        <w:tab/>
        <w:t>Take into account the Committee’s general comment No. 16 (2005) on the equal right of men and women to the enjoyment of all economic, social and cultural rights;</w:t>
      </w:r>
    </w:p>
    <w:p w14:paraId="284E6AE2" w14:textId="483D72E0" w:rsidR="00B25B81" w:rsidRPr="00E110D9" w:rsidRDefault="001E7D8F" w:rsidP="00635DC5">
      <w:pPr>
        <w:ind w:right="284"/>
        <w:jc w:val="both"/>
        <w:rPr>
          <w:rFonts w:ascii="Roboto" w:hAnsi="Roboto" w:cs="Arial"/>
          <w:b/>
          <w:bCs/>
          <w:lang w:val="en-GB"/>
        </w:rPr>
      </w:pPr>
      <w:r w:rsidRPr="00E110D9">
        <w:rPr>
          <w:rFonts w:ascii="Roboto" w:hAnsi="Roboto" w:cs="Arial"/>
          <w:b/>
          <w:bCs/>
          <w:lang w:val="en-GB"/>
        </w:rPr>
        <w:tab/>
        <w:t>(e)</w:t>
      </w:r>
      <w:r w:rsidRPr="00E110D9">
        <w:rPr>
          <w:rFonts w:ascii="Roboto" w:hAnsi="Roboto" w:cs="Arial"/>
          <w:b/>
          <w:bCs/>
          <w:lang w:val="en-GB"/>
        </w:rPr>
        <w:tab/>
        <w:t>Take into consideration, in this connection, the recommendations of the Committee on the Elimination of Discrimination against Women.</w:t>
      </w:r>
      <w:r w:rsidRPr="00E110D9">
        <w:rPr>
          <w:rFonts w:ascii="Roboto" w:hAnsi="Roboto" w:cs="Arial"/>
          <w:b/>
          <w:bCs/>
          <w:vertAlign w:val="superscript"/>
          <w:lang w:val="en-GB"/>
        </w:rPr>
        <w:footnoteReference w:id="6"/>
      </w:r>
    </w:p>
    <w:p w14:paraId="6B69C7EE" w14:textId="77777777" w:rsidR="001E7D8F" w:rsidRPr="00E110D9" w:rsidRDefault="001E7D8F" w:rsidP="00635DC5">
      <w:pPr>
        <w:ind w:right="284"/>
        <w:jc w:val="both"/>
        <w:rPr>
          <w:rFonts w:ascii="Roboto" w:hAnsi="Roboto" w:cs="Arial"/>
          <w:b/>
          <w:bCs/>
          <w:lang w:val="en-GB"/>
        </w:rPr>
      </w:pPr>
    </w:p>
    <w:p w14:paraId="25015351"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Unemployment and the informal economy</w:t>
      </w:r>
    </w:p>
    <w:p w14:paraId="3EE6047F" w14:textId="77777777" w:rsidR="001E7D8F" w:rsidRPr="00E110D9" w:rsidRDefault="001E7D8F" w:rsidP="00635DC5">
      <w:pPr>
        <w:ind w:right="284"/>
        <w:jc w:val="both"/>
        <w:rPr>
          <w:rFonts w:ascii="Roboto" w:hAnsi="Roboto" w:cs="Arial"/>
          <w:lang w:val="en-GB"/>
        </w:rPr>
      </w:pPr>
      <w:r w:rsidRPr="00E110D9">
        <w:rPr>
          <w:rFonts w:ascii="Roboto" w:hAnsi="Roboto" w:cs="Arial"/>
          <w:lang w:val="en-GB"/>
        </w:rPr>
        <w:t>24.</w:t>
      </w:r>
      <w:r w:rsidRPr="00E110D9">
        <w:rPr>
          <w:rFonts w:ascii="Roboto" w:hAnsi="Roboto" w:cs="Arial"/>
          <w:lang w:val="en-GB"/>
        </w:rPr>
        <w:tab/>
        <w:t>The Committee notes the gradual reduction in unemployment over the last ten years but regrets that insufficient measures have been taken to address job loss triggered by the coronavirus disease (COVID-19) pandemic, as seen in the significant rise in unemployment and the increase of informal employment to above 40 per cent. In addition, the Committee is concerned about the barriers to access to the labour market encountered by migrants, refugees and asylum-seekers (art. 6).</w:t>
      </w:r>
    </w:p>
    <w:p w14:paraId="19474D36"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25.</w:t>
      </w:r>
      <w:r w:rsidRPr="00E110D9">
        <w:rPr>
          <w:rFonts w:ascii="Roboto" w:hAnsi="Roboto" w:cs="Arial"/>
          <w:b/>
          <w:bCs/>
          <w:lang w:val="en-GB"/>
        </w:rPr>
        <w:tab/>
      </w:r>
      <w:r w:rsidRPr="00E110D9">
        <w:rPr>
          <w:rFonts w:ascii="Roboto" w:hAnsi="Roboto" w:cs="Arial"/>
          <w:b/>
          <w:bCs/>
          <w:lang w:val="en-GB"/>
        </w:rPr>
        <w:tab/>
        <w:t>The Committee recommends that the State party:</w:t>
      </w:r>
    </w:p>
    <w:p w14:paraId="5F69D89F" w14:textId="77777777" w:rsidR="001E7D8F" w:rsidRPr="00E110D9" w:rsidRDefault="001E7D8F" w:rsidP="00635DC5">
      <w:pPr>
        <w:ind w:right="284"/>
        <w:jc w:val="both"/>
        <w:rPr>
          <w:rFonts w:ascii="Roboto" w:hAnsi="Roboto" w:cs="Arial"/>
          <w:b/>
          <w:bCs/>
          <w:lang w:val="en-GB"/>
        </w:rPr>
      </w:pPr>
      <w:r w:rsidRPr="00E110D9">
        <w:rPr>
          <w:rFonts w:ascii="Roboto" w:hAnsi="Roboto" w:cs="Arial"/>
          <w:b/>
          <w:bCs/>
          <w:lang w:val="en-GB"/>
        </w:rPr>
        <w:tab/>
        <w:t>(a)</w:t>
      </w:r>
      <w:r w:rsidRPr="00E110D9">
        <w:rPr>
          <w:rFonts w:ascii="Roboto" w:hAnsi="Roboto" w:cs="Arial"/>
          <w:b/>
          <w:bCs/>
          <w:lang w:val="en-GB"/>
        </w:rPr>
        <w:tab/>
        <w:t>Assess the impact of the contract suspension system set up in response to the COVID-19 pandemic on the enjoyment of Covenant rights by groups who traditionally experience greater levels of unemployment, in particular persons with disabilities, young people, women, Indigenous Peoples, persons of African descent, migrants, refugees and asylum-seekers;</w:t>
      </w:r>
    </w:p>
    <w:p w14:paraId="1BC06FD1" w14:textId="77777777" w:rsidR="001E7D8F" w:rsidRPr="00E110D9" w:rsidRDefault="001E7D8F" w:rsidP="00635DC5">
      <w:pPr>
        <w:ind w:right="284"/>
        <w:jc w:val="both"/>
        <w:rPr>
          <w:rFonts w:ascii="Roboto" w:hAnsi="Roboto" w:cs="Arial"/>
          <w:b/>
          <w:bCs/>
          <w:lang w:val="en-GB"/>
        </w:rPr>
      </w:pPr>
    </w:p>
    <w:p w14:paraId="3D6BE286"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 xml:space="preserve">Violence against women </w:t>
      </w:r>
    </w:p>
    <w:p w14:paraId="6EDE1135" w14:textId="77777777" w:rsidR="00B2108B" w:rsidRPr="00E110D9" w:rsidRDefault="00B2108B" w:rsidP="00635DC5">
      <w:pPr>
        <w:ind w:right="284"/>
        <w:jc w:val="both"/>
        <w:rPr>
          <w:rFonts w:ascii="Roboto" w:hAnsi="Roboto" w:cs="Arial"/>
          <w:lang w:val="en-GB"/>
        </w:rPr>
      </w:pPr>
      <w:r w:rsidRPr="00E110D9">
        <w:rPr>
          <w:rFonts w:ascii="Roboto" w:hAnsi="Roboto" w:cs="Arial"/>
          <w:lang w:val="en-GB"/>
        </w:rPr>
        <w:t>34.</w:t>
      </w:r>
      <w:r w:rsidRPr="00E110D9">
        <w:rPr>
          <w:rFonts w:ascii="Roboto" w:hAnsi="Roboto" w:cs="Arial"/>
          <w:lang w:val="en-GB"/>
        </w:rPr>
        <w:tab/>
        <w:t>The Committee is concerned about the high rates of gender-based violence, including sexual, domestic, emotional, economic and psychological violence, which impedes the effective enjoyment of economic, social and cultural rights by women, girls, women with disabilities and lesbian, bisexual, intersex and</w:t>
      </w:r>
      <w:r w:rsidRPr="00E110D9">
        <w:rPr>
          <w:rFonts w:ascii="Roboto" w:hAnsi="Roboto" w:cs="Arial"/>
          <w:b/>
          <w:bCs/>
          <w:lang w:val="en-GB"/>
        </w:rPr>
        <w:t xml:space="preserve"> </w:t>
      </w:r>
      <w:r w:rsidRPr="00E110D9">
        <w:rPr>
          <w:rFonts w:ascii="Roboto" w:hAnsi="Roboto" w:cs="Arial"/>
          <w:lang w:val="en-GB"/>
        </w:rPr>
        <w:t>transgender persons; about the xenophobia faced by women migrants, refugees and asylum-seekers in particular; and about the ineffectiveness of the measures taken to protect all victims. In this regard, the Committee shares the concern expressed by the Committee on the Elimination of Discrimination against Women (art. 10).</w:t>
      </w:r>
      <w:r w:rsidRPr="00E110D9">
        <w:rPr>
          <w:rFonts w:ascii="Roboto" w:hAnsi="Roboto" w:cs="Arial"/>
          <w:vertAlign w:val="superscript"/>
          <w:lang w:val="en-GB"/>
        </w:rPr>
        <w:footnoteReference w:id="7"/>
      </w:r>
    </w:p>
    <w:p w14:paraId="584718FC"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lastRenderedPageBreak/>
        <w:t>35.</w:t>
      </w:r>
      <w:r w:rsidRPr="00E110D9">
        <w:rPr>
          <w:rFonts w:ascii="Roboto" w:hAnsi="Roboto" w:cs="Arial"/>
          <w:b/>
          <w:bCs/>
          <w:lang w:val="en-GB"/>
        </w:rPr>
        <w:tab/>
        <w:t>The Committee recommends that the State party:</w:t>
      </w:r>
    </w:p>
    <w:p w14:paraId="3A9669C4"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ab/>
        <w:t>(a)</w:t>
      </w:r>
      <w:r w:rsidRPr="00E110D9">
        <w:rPr>
          <w:rFonts w:ascii="Roboto" w:hAnsi="Roboto" w:cs="Arial"/>
          <w:b/>
          <w:bCs/>
          <w:lang w:val="en-GB"/>
        </w:rPr>
        <w:tab/>
        <w:t>Conduct thorough investigations into all cases of gender-based violence, hate crimes and xenophobia, and prosecute and punish all perpetrators;</w:t>
      </w:r>
    </w:p>
    <w:p w14:paraId="37646576"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ab/>
        <w:t>(b)</w:t>
      </w:r>
      <w:r w:rsidRPr="00E110D9">
        <w:rPr>
          <w:rFonts w:ascii="Roboto" w:hAnsi="Roboto" w:cs="Arial"/>
          <w:b/>
          <w:bCs/>
          <w:lang w:val="en-GB"/>
        </w:rPr>
        <w:tab/>
        <w:t>Run public awareness campaigns and provide training to law enforcement personnel and judges regarding the seriousness and criminal nature of all forms of gender-based violence, hate crimes and xenophobia;</w:t>
      </w:r>
    </w:p>
    <w:p w14:paraId="219530DE"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ab/>
        <w:t>(c)</w:t>
      </w:r>
      <w:r w:rsidRPr="00E110D9">
        <w:rPr>
          <w:rFonts w:ascii="Roboto" w:hAnsi="Roboto" w:cs="Arial"/>
          <w:b/>
          <w:bCs/>
          <w:lang w:val="en-GB"/>
        </w:rPr>
        <w:tab/>
        <w:t>Take into consideration, in this connection, the recommendations of the Committee on the Elimination of Discrimination against Women.</w:t>
      </w:r>
      <w:r w:rsidRPr="00E110D9">
        <w:rPr>
          <w:rFonts w:ascii="Roboto" w:hAnsi="Roboto" w:cs="Arial"/>
          <w:b/>
          <w:bCs/>
          <w:vertAlign w:val="superscript"/>
          <w:lang w:val="en-GB"/>
        </w:rPr>
        <w:footnoteReference w:id="8"/>
      </w:r>
    </w:p>
    <w:p w14:paraId="7846F9D6" w14:textId="33039C22" w:rsidR="00B2108B" w:rsidRPr="00E110D9" w:rsidRDefault="00B2108B" w:rsidP="00635DC5">
      <w:pPr>
        <w:ind w:right="284"/>
        <w:jc w:val="both"/>
        <w:rPr>
          <w:rFonts w:ascii="Roboto" w:hAnsi="Roboto" w:cs="Arial"/>
          <w:b/>
          <w:bCs/>
          <w:lang w:val="en-GB"/>
        </w:rPr>
      </w:pPr>
    </w:p>
    <w:p w14:paraId="5AD3BA67"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Poverty and inequality</w:t>
      </w:r>
    </w:p>
    <w:p w14:paraId="07A2E8E6" w14:textId="77777777" w:rsidR="00B2108B" w:rsidRPr="00E110D9" w:rsidRDefault="00B2108B" w:rsidP="00635DC5">
      <w:pPr>
        <w:ind w:right="284"/>
        <w:jc w:val="both"/>
        <w:rPr>
          <w:rFonts w:ascii="Roboto" w:hAnsi="Roboto" w:cs="Arial"/>
          <w:lang w:val="en-GB"/>
        </w:rPr>
      </w:pPr>
      <w:r w:rsidRPr="00E110D9">
        <w:rPr>
          <w:rFonts w:ascii="Roboto" w:hAnsi="Roboto" w:cs="Arial"/>
          <w:lang w:val="en-GB"/>
        </w:rPr>
        <w:t>36.</w:t>
      </w:r>
      <w:r w:rsidRPr="00E110D9">
        <w:rPr>
          <w:rFonts w:ascii="Roboto" w:hAnsi="Roboto" w:cs="Arial"/>
          <w:lang w:val="en-GB"/>
        </w:rPr>
        <w:tab/>
        <w:t>The Committee regrets not having received updated information on poverty and inequality levels in the State party. It notes with concern the persistent poverty and extreme poverty in rural and remote areas, especially among women-headed households, Indigenous Peoples, persons of African descent and persons with disabilities (art. 11).</w:t>
      </w:r>
    </w:p>
    <w:p w14:paraId="0FCD6D1D"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37.</w:t>
      </w:r>
      <w:r w:rsidRPr="00E110D9">
        <w:rPr>
          <w:rFonts w:ascii="Roboto" w:hAnsi="Roboto" w:cs="Arial"/>
          <w:b/>
          <w:bCs/>
          <w:lang w:val="en-GB"/>
        </w:rPr>
        <w:tab/>
      </w:r>
      <w:r w:rsidRPr="00E110D9">
        <w:rPr>
          <w:rFonts w:ascii="Roboto" w:hAnsi="Roboto" w:cs="Arial"/>
          <w:b/>
          <w:bCs/>
          <w:lang w:val="en-GB"/>
        </w:rPr>
        <w:tab/>
        <w:t xml:space="preserve">The Committee recommends that the State party redouble its efforts, including under the Beehive Plan (Plan </w:t>
      </w:r>
      <w:proofErr w:type="spellStart"/>
      <w:r w:rsidRPr="00E110D9">
        <w:rPr>
          <w:rFonts w:ascii="Roboto" w:hAnsi="Roboto" w:cs="Arial"/>
          <w:b/>
          <w:bCs/>
          <w:lang w:val="en-GB"/>
        </w:rPr>
        <w:t>Colmena</w:t>
      </w:r>
      <w:proofErr w:type="spellEnd"/>
      <w:r w:rsidRPr="00E110D9">
        <w:rPr>
          <w:rFonts w:ascii="Roboto" w:hAnsi="Roboto" w:cs="Arial"/>
          <w:b/>
          <w:bCs/>
          <w:lang w:val="en-GB"/>
        </w:rPr>
        <w:t>) and other conditional cash transfer programmes, to combat inequality and poverty, particularly extreme poverty, by setting clear, measurable goals, effectively identifying the population living below the poverty line and giving due regard to regional disparities and the actual needs of the population, especially the most disadvantaged and marginalized groups. In this respect, the Committee draws the attention of the State party to its statement on poverty and the Covenant.</w:t>
      </w:r>
      <w:r w:rsidRPr="00E110D9">
        <w:rPr>
          <w:rFonts w:ascii="Roboto" w:hAnsi="Roboto" w:cs="Arial"/>
          <w:b/>
          <w:bCs/>
          <w:vertAlign w:val="superscript"/>
          <w:lang w:val="en-GB"/>
        </w:rPr>
        <w:footnoteReference w:id="9"/>
      </w:r>
    </w:p>
    <w:p w14:paraId="63C23DC2" w14:textId="6D4D4392" w:rsidR="00B2108B" w:rsidRPr="00E110D9" w:rsidRDefault="00B2108B" w:rsidP="00635DC5">
      <w:pPr>
        <w:ind w:right="284"/>
        <w:jc w:val="both"/>
        <w:rPr>
          <w:rFonts w:ascii="Roboto" w:hAnsi="Roboto" w:cs="Arial"/>
          <w:b/>
          <w:bCs/>
          <w:lang w:val="en-GB"/>
        </w:rPr>
      </w:pPr>
    </w:p>
    <w:p w14:paraId="1080C838"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 xml:space="preserve">Sexual and reproductive health </w:t>
      </w:r>
    </w:p>
    <w:p w14:paraId="3AB227B9" w14:textId="1325E102" w:rsidR="00B2108B" w:rsidRPr="00E110D9" w:rsidRDefault="00B2108B" w:rsidP="00635DC5">
      <w:pPr>
        <w:ind w:right="284"/>
        <w:jc w:val="both"/>
        <w:rPr>
          <w:rFonts w:ascii="Roboto" w:hAnsi="Roboto" w:cs="Arial"/>
          <w:lang w:val="en-GB"/>
        </w:rPr>
      </w:pPr>
      <w:r w:rsidRPr="00E110D9">
        <w:rPr>
          <w:rFonts w:ascii="Roboto" w:hAnsi="Roboto" w:cs="Arial"/>
          <w:lang w:val="en-GB"/>
        </w:rPr>
        <w:t>48.</w:t>
      </w:r>
      <w:r w:rsidRPr="00E110D9">
        <w:rPr>
          <w:rFonts w:ascii="Roboto" w:hAnsi="Roboto" w:cs="Arial"/>
          <w:lang w:val="en-GB"/>
        </w:rPr>
        <w:tab/>
        <w:t>The Committee notes with concern that unsafe abortions continue to be performed in the State party as a consequence of the criminalization of abortion and that women face barriers in accessing safe abortions, including in cases authorized by law. In addition, the Committee is concerned about the high rates of teenage pregnancy and of sexually transmitted diseases and HIV/AIDS among adolescents and young people. It is further concerned about reports that women with disabilities and indigenous women continue to be subjected to forced sterilization despite the adoption of Act No. 7 of 2013 regulating the sterilization of women. In this connection, the Committee shares the concern expressed by the Committee on the Elimination of Discrimination against Women (art. 12).</w:t>
      </w:r>
      <w:r w:rsidRPr="00E110D9">
        <w:rPr>
          <w:rFonts w:ascii="Roboto" w:hAnsi="Roboto" w:cs="Arial"/>
          <w:vertAlign w:val="superscript"/>
          <w:lang w:val="en-GB"/>
        </w:rPr>
        <w:footnoteReference w:id="10"/>
      </w:r>
    </w:p>
    <w:p w14:paraId="2BDD3184" w14:textId="5FC16A38"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49.</w:t>
      </w:r>
      <w:r w:rsidRPr="00E110D9">
        <w:rPr>
          <w:rFonts w:ascii="Roboto" w:hAnsi="Roboto" w:cs="Arial"/>
          <w:b/>
          <w:bCs/>
          <w:lang w:val="en-GB"/>
        </w:rPr>
        <w:tab/>
        <w:t>The Committee recommends that the State party:</w:t>
      </w:r>
    </w:p>
    <w:p w14:paraId="2B79E969" w14:textId="77777777" w:rsidR="00B2108B" w:rsidRPr="00E110D9" w:rsidRDefault="00B2108B" w:rsidP="00635DC5">
      <w:pPr>
        <w:ind w:right="284"/>
        <w:jc w:val="both"/>
        <w:rPr>
          <w:rFonts w:ascii="Roboto" w:hAnsi="Roboto" w:cs="Arial"/>
          <w:b/>
          <w:bCs/>
          <w:lang w:val="en-GB"/>
        </w:rPr>
      </w:pPr>
      <w:r w:rsidRPr="00E110D9">
        <w:rPr>
          <w:rFonts w:ascii="Roboto" w:hAnsi="Roboto" w:cs="Arial"/>
          <w:b/>
          <w:bCs/>
          <w:lang w:val="en-GB"/>
        </w:rPr>
        <w:t>(d)</w:t>
      </w:r>
      <w:r w:rsidRPr="00E110D9">
        <w:rPr>
          <w:rFonts w:ascii="Roboto" w:hAnsi="Roboto" w:cs="Arial"/>
          <w:b/>
          <w:bCs/>
          <w:lang w:val="en-GB"/>
        </w:rPr>
        <w:tab/>
        <w:t>End the practice of forcibly sterilizing women with disabilities and Indigenous women;</w:t>
      </w:r>
    </w:p>
    <w:p w14:paraId="4CB3AED8" w14:textId="77777777" w:rsidR="00102F98" w:rsidRPr="00E110D9" w:rsidRDefault="00102F98" w:rsidP="00635DC5">
      <w:pPr>
        <w:ind w:right="284"/>
        <w:jc w:val="both"/>
        <w:rPr>
          <w:rFonts w:ascii="Roboto" w:hAnsi="Roboto" w:cs="Arial"/>
          <w:b/>
          <w:lang w:val="en-GB"/>
        </w:rPr>
      </w:pPr>
    </w:p>
    <w:p w14:paraId="797D530C" w14:textId="30E54CEE" w:rsidR="00102F98" w:rsidRPr="00191511" w:rsidRDefault="00102F98" w:rsidP="004A65AD">
      <w:pPr>
        <w:pStyle w:val="Heading1"/>
        <w:spacing w:before="0" w:after="240"/>
        <w:ind w:right="284"/>
        <w:rPr>
          <w:rFonts w:ascii="Roboto" w:hAnsi="Roboto" w:cs="Arial"/>
          <w:b/>
          <w:bCs/>
          <w:color w:val="auto"/>
          <w:sz w:val="24"/>
          <w:szCs w:val="24"/>
          <w:lang w:val="en-GB"/>
        </w:rPr>
      </w:pPr>
      <w:bookmarkStart w:id="6" w:name="_Toc149646560"/>
      <w:r w:rsidRPr="00191511">
        <w:rPr>
          <w:rFonts w:ascii="Roboto" w:hAnsi="Roboto"/>
          <w:b/>
          <w:bCs/>
          <w:color w:val="auto"/>
          <w:sz w:val="24"/>
          <w:szCs w:val="24"/>
          <w:lang w:val="en-GB"/>
        </w:rPr>
        <w:t>P</w:t>
      </w:r>
      <w:r w:rsidR="009A0C68" w:rsidRPr="00191511">
        <w:rPr>
          <w:rFonts w:ascii="Roboto" w:hAnsi="Roboto"/>
          <w:b/>
          <w:bCs/>
          <w:color w:val="auto"/>
          <w:sz w:val="24"/>
          <w:szCs w:val="24"/>
          <w:lang w:val="en-GB"/>
        </w:rPr>
        <w:t>ORTUGAL</w:t>
      </w:r>
      <w:r w:rsidRPr="00191511">
        <w:rPr>
          <w:rFonts w:ascii="Roboto" w:hAnsi="Roboto"/>
          <w:b/>
          <w:bCs/>
          <w:color w:val="auto"/>
          <w:sz w:val="24"/>
          <w:szCs w:val="24"/>
          <w:lang w:val="en-GB"/>
        </w:rPr>
        <w:t xml:space="preserve"> -</w:t>
      </w:r>
      <w:r w:rsidRPr="00191511">
        <w:rPr>
          <w:rFonts w:ascii="Times New Roman" w:eastAsiaTheme="minorHAnsi" w:hAnsi="Times New Roman" w:cs="Times New Roman"/>
          <w:b/>
          <w:bCs/>
          <w:color w:val="auto"/>
          <w:sz w:val="24"/>
          <w:szCs w:val="24"/>
          <w:lang w:val="fr-CH"/>
        </w:rPr>
        <w:t xml:space="preserve"> </w:t>
      </w:r>
      <w:r w:rsidRPr="00191511">
        <w:rPr>
          <w:rFonts w:ascii="Roboto" w:hAnsi="Roboto"/>
          <w:b/>
          <w:bCs/>
          <w:color w:val="auto"/>
          <w:sz w:val="24"/>
          <w:szCs w:val="24"/>
          <w:lang w:val="en-GB"/>
        </w:rPr>
        <w:t>E/C.12/P</w:t>
      </w:r>
      <w:r w:rsidR="009A0C68" w:rsidRPr="00191511">
        <w:rPr>
          <w:rFonts w:ascii="Roboto" w:hAnsi="Roboto"/>
          <w:b/>
          <w:bCs/>
          <w:color w:val="auto"/>
          <w:sz w:val="24"/>
          <w:szCs w:val="24"/>
          <w:lang w:val="en-GB"/>
        </w:rPr>
        <w:t>RT</w:t>
      </w:r>
      <w:r w:rsidRPr="00191511">
        <w:rPr>
          <w:rFonts w:ascii="Roboto" w:hAnsi="Roboto"/>
          <w:b/>
          <w:bCs/>
          <w:color w:val="auto"/>
          <w:sz w:val="24"/>
          <w:szCs w:val="24"/>
          <w:lang w:val="en-GB"/>
        </w:rPr>
        <w:t>/CO/</w:t>
      </w:r>
      <w:r w:rsidR="009A0C68" w:rsidRPr="00191511">
        <w:rPr>
          <w:rFonts w:ascii="Roboto" w:hAnsi="Roboto"/>
          <w:b/>
          <w:bCs/>
          <w:color w:val="auto"/>
          <w:sz w:val="24"/>
          <w:szCs w:val="24"/>
          <w:lang w:val="en-GB"/>
        </w:rPr>
        <w:t>5</w:t>
      </w:r>
      <w:bookmarkEnd w:id="6"/>
    </w:p>
    <w:p w14:paraId="77D107E6" w14:textId="33059DA3" w:rsidR="00102F98" w:rsidRPr="00E110D9" w:rsidRDefault="00102F98" w:rsidP="00635DC5">
      <w:pPr>
        <w:ind w:right="284"/>
        <w:jc w:val="both"/>
        <w:rPr>
          <w:rFonts w:ascii="Roboto" w:hAnsi="Roboto" w:cs="Arial"/>
          <w:b/>
          <w:lang w:val="en-GB"/>
        </w:rPr>
      </w:pPr>
      <w:r w:rsidRPr="00E110D9">
        <w:rPr>
          <w:rFonts w:ascii="Roboto" w:hAnsi="Roboto" w:cs="Arial"/>
          <w:b/>
          <w:lang w:val="en-GB"/>
        </w:rPr>
        <w:t>Right to work</w:t>
      </w:r>
    </w:p>
    <w:p w14:paraId="29290934" w14:textId="77777777" w:rsidR="00102F98" w:rsidRPr="00E110D9" w:rsidRDefault="00102F98" w:rsidP="00635DC5">
      <w:pPr>
        <w:ind w:right="284"/>
        <w:jc w:val="both"/>
        <w:rPr>
          <w:rFonts w:ascii="Roboto" w:hAnsi="Roboto" w:cs="Arial"/>
          <w:lang w:val="en-GB"/>
        </w:rPr>
      </w:pPr>
      <w:r w:rsidRPr="00E110D9">
        <w:rPr>
          <w:rFonts w:ascii="Roboto" w:hAnsi="Roboto" w:cs="Arial"/>
          <w:lang w:val="en-GB"/>
        </w:rPr>
        <w:t>18.</w:t>
      </w:r>
      <w:r w:rsidRPr="00E110D9">
        <w:rPr>
          <w:rFonts w:ascii="Roboto" w:hAnsi="Roboto" w:cs="Arial"/>
          <w:lang w:val="en-GB"/>
        </w:rPr>
        <w:tab/>
        <w:t>The Committee welcomes the signing of the Medium-term Agreement on Improving Income, Wages and Competitiveness by the Government of Portugal and its social partners, and the decrease in the overall unemployment rate in recent years. The Committee is concerned, however, by the high unemployment rate among young people. It is also concerned by the lack of country-wide data on the impact of programmes established to improve the access of the Roma community to</w:t>
      </w:r>
      <w:bookmarkStart w:id="7" w:name="_Hlk126941383"/>
      <w:r w:rsidRPr="00E110D9">
        <w:rPr>
          <w:rFonts w:ascii="Roboto" w:hAnsi="Roboto" w:cs="Arial"/>
          <w:lang w:val="en-GB"/>
        </w:rPr>
        <w:t xml:space="preserve"> the labour</w:t>
      </w:r>
      <w:bookmarkEnd w:id="7"/>
      <w:r w:rsidRPr="00E110D9">
        <w:rPr>
          <w:rFonts w:ascii="Roboto" w:hAnsi="Roboto" w:cs="Arial"/>
          <w:lang w:val="en-GB"/>
        </w:rPr>
        <w:t xml:space="preserve"> market. The </w:t>
      </w:r>
      <w:r w:rsidRPr="00E110D9">
        <w:rPr>
          <w:rFonts w:ascii="Roboto" w:hAnsi="Roboto" w:cs="Arial"/>
          <w:lang w:val="en-GB"/>
        </w:rPr>
        <w:lastRenderedPageBreak/>
        <w:t>Committee is further concerned by the low level of integration of persons with disabilities into the labour market and the persistence of obstacles preventing asylum-seekers and refugees from gaining access to the official labour market when they are unable to produce original documentation regarding their academic qualifications (arts. 2, 3, 6 and 13).</w:t>
      </w:r>
    </w:p>
    <w:p w14:paraId="2652D31A" w14:textId="77777777" w:rsidR="00102F98" w:rsidRPr="00E110D9" w:rsidRDefault="00102F98" w:rsidP="00635DC5">
      <w:pPr>
        <w:ind w:right="284"/>
        <w:jc w:val="both"/>
        <w:rPr>
          <w:rFonts w:ascii="Roboto" w:hAnsi="Roboto" w:cs="Arial"/>
          <w:b/>
          <w:bCs/>
          <w:lang w:val="en-GB"/>
        </w:rPr>
      </w:pPr>
      <w:r w:rsidRPr="00E110D9">
        <w:rPr>
          <w:rFonts w:ascii="Roboto" w:hAnsi="Roboto" w:cs="Arial"/>
          <w:lang w:val="en-GB"/>
        </w:rPr>
        <w:t>19.</w:t>
      </w:r>
      <w:r w:rsidRPr="00E110D9">
        <w:rPr>
          <w:rFonts w:ascii="Roboto" w:hAnsi="Roboto" w:cs="Arial"/>
          <w:lang w:val="en-GB"/>
        </w:rPr>
        <w:tab/>
      </w:r>
      <w:r w:rsidRPr="00E110D9">
        <w:rPr>
          <w:rFonts w:ascii="Roboto" w:hAnsi="Roboto" w:cs="Arial"/>
          <w:b/>
          <w:bCs/>
          <w:lang w:val="en-GB"/>
        </w:rPr>
        <w:t>The Committee recommends that the State party:</w:t>
      </w:r>
    </w:p>
    <w:p w14:paraId="527963A9" w14:textId="77777777" w:rsidR="00102F98" w:rsidRPr="00E110D9" w:rsidRDefault="00102F98" w:rsidP="00635DC5">
      <w:pPr>
        <w:ind w:right="284"/>
        <w:jc w:val="both"/>
        <w:rPr>
          <w:rFonts w:ascii="Roboto" w:hAnsi="Roboto" w:cs="Arial"/>
          <w:b/>
          <w:bCs/>
          <w:lang w:val="en-GB"/>
        </w:rPr>
      </w:pPr>
      <w:r w:rsidRPr="00E110D9">
        <w:rPr>
          <w:rFonts w:ascii="Roboto" w:hAnsi="Roboto" w:cs="Arial"/>
          <w:lang w:val="en-GB"/>
        </w:rPr>
        <w:tab/>
        <w:t>(a)</w:t>
      </w:r>
      <w:r w:rsidRPr="00E110D9">
        <w:rPr>
          <w:rFonts w:ascii="Roboto" w:hAnsi="Roboto" w:cs="Arial"/>
          <w:lang w:val="en-GB"/>
        </w:rPr>
        <w:tab/>
      </w:r>
      <w:r w:rsidRPr="00E110D9">
        <w:rPr>
          <w:rFonts w:ascii="Roboto" w:hAnsi="Roboto" w:cs="Arial"/>
          <w:b/>
          <w:bCs/>
          <w:lang w:val="en-GB"/>
        </w:rPr>
        <w:t>Assess the effectiveness of measures taken to increase employment opportunities in general and for specific individuals and groups, notably women, persons with disabilities, youth, Roma, people of African descent, refugees and asylum-seekers. In doing so, the State party should work in partnership with the groups concerned to increase their participation in the labour market and create incentives for companies to employ them;</w:t>
      </w:r>
    </w:p>
    <w:p w14:paraId="31D126DD" w14:textId="77777777" w:rsidR="00C475E6" w:rsidRPr="00E110D9" w:rsidRDefault="00C475E6" w:rsidP="00635DC5">
      <w:pPr>
        <w:ind w:right="284"/>
        <w:jc w:val="both"/>
        <w:rPr>
          <w:rFonts w:ascii="Roboto" w:hAnsi="Roboto" w:cs="Arial"/>
          <w:lang w:val="en-GB"/>
        </w:rPr>
      </w:pPr>
    </w:p>
    <w:p w14:paraId="3CA7F194" w14:textId="5660D204" w:rsidR="00102F98" w:rsidRPr="00E110D9" w:rsidRDefault="00102F98" w:rsidP="00635DC5">
      <w:pPr>
        <w:ind w:right="284"/>
        <w:jc w:val="both"/>
        <w:rPr>
          <w:rFonts w:ascii="Roboto" w:hAnsi="Roboto" w:cs="Arial"/>
          <w:b/>
          <w:lang w:val="en-GB"/>
        </w:rPr>
      </w:pPr>
      <w:r w:rsidRPr="00E110D9">
        <w:rPr>
          <w:rFonts w:ascii="Roboto" w:hAnsi="Roboto" w:cs="Arial"/>
          <w:b/>
          <w:lang w:val="en-GB"/>
        </w:rPr>
        <w:t xml:space="preserve">Right to </w:t>
      </w:r>
      <w:r w:rsidR="00EB3BB0" w:rsidRPr="00E110D9">
        <w:rPr>
          <w:rFonts w:ascii="Roboto" w:hAnsi="Roboto" w:cs="Arial"/>
          <w:b/>
          <w:lang w:val="en-GB"/>
        </w:rPr>
        <w:t>Social Security</w:t>
      </w:r>
    </w:p>
    <w:p w14:paraId="11EB7D88" w14:textId="77777777" w:rsidR="00102F98" w:rsidRPr="00E110D9" w:rsidRDefault="00102F98" w:rsidP="00635DC5">
      <w:pPr>
        <w:ind w:right="284"/>
        <w:jc w:val="both"/>
        <w:rPr>
          <w:rFonts w:ascii="Roboto" w:hAnsi="Roboto" w:cs="Arial"/>
          <w:lang w:val="en-GB"/>
        </w:rPr>
      </w:pPr>
      <w:r w:rsidRPr="00E110D9">
        <w:rPr>
          <w:rFonts w:ascii="Roboto" w:hAnsi="Roboto" w:cs="Arial"/>
          <w:lang w:val="en-GB"/>
        </w:rPr>
        <w:t>22.</w:t>
      </w:r>
      <w:r w:rsidRPr="00E110D9">
        <w:rPr>
          <w:rFonts w:ascii="Roboto" w:hAnsi="Roboto" w:cs="Arial"/>
          <w:lang w:val="en-GB"/>
        </w:rPr>
        <w:tab/>
        <w:t xml:space="preserve">The Committee notes the efforts of the State party to integrate </w:t>
      </w:r>
      <w:bookmarkStart w:id="8" w:name="_Hlk126941214"/>
      <w:r w:rsidRPr="00E110D9">
        <w:rPr>
          <w:rFonts w:ascii="Roboto" w:hAnsi="Roboto" w:cs="Arial"/>
          <w:lang w:val="en-GB"/>
        </w:rPr>
        <w:t>unpaid informal caregivers</w:t>
      </w:r>
      <w:bookmarkEnd w:id="8"/>
      <w:r w:rsidRPr="00E110D9">
        <w:rPr>
          <w:rFonts w:ascii="Roboto" w:hAnsi="Roboto" w:cs="Arial"/>
          <w:lang w:val="en-GB"/>
        </w:rPr>
        <w:t xml:space="preserve"> into the social security system, the adjustments to address the disproportionate impact of the COVID-19 pandemic on women and marginalized groups, the creation of additional social benefits and efforts not to differentiate between citizens and non-citizens in the allocation of social benefits. The Committee is however concerned by the persistently low level of social benefits, which do not enable some groups to access an adequate standard of living and regrets that insufficient information has been provided on targeted tax and other monetary measures taken to support and sustain social security, in particular for marginalized groups (arts. 2, 9 and 11).</w:t>
      </w:r>
    </w:p>
    <w:p w14:paraId="123B77D1" w14:textId="77777777" w:rsidR="00102F98" w:rsidRPr="00E110D9" w:rsidRDefault="00102F98" w:rsidP="00635DC5">
      <w:pPr>
        <w:ind w:right="284"/>
        <w:jc w:val="both"/>
        <w:rPr>
          <w:rFonts w:ascii="Roboto" w:hAnsi="Roboto" w:cs="Arial"/>
          <w:b/>
          <w:bCs/>
          <w:lang w:val="en-GB"/>
        </w:rPr>
      </w:pPr>
      <w:r w:rsidRPr="00E110D9">
        <w:rPr>
          <w:rFonts w:ascii="Roboto" w:hAnsi="Roboto" w:cs="Arial"/>
          <w:lang w:val="en-GB"/>
        </w:rPr>
        <w:t>23.</w:t>
      </w:r>
      <w:r w:rsidRPr="00E110D9">
        <w:rPr>
          <w:rFonts w:ascii="Roboto" w:hAnsi="Roboto" w:cs="Arial"/>
          <w:lang w:val="en-GB"/>
        </w:rPr>
        <w:tab/>
      </w:r>
      <w:r w:rsidRPr="00E110D9">
        <w:rPr>
          <w:rFonts w:ascii="Roboto" w:hAnsi="Roboto" w:cs="Arial"/>
          <w:b/>
          <w:bCs/>
          <w:lang w:val="en-GB"/>
        </w:rPr>
        <w:t>Recalling its previous concluding observations,</w:t>
      </w:r>
      <w:r w:rsidRPr="00E110D9">
        <w:rPr>
          <w:rFonts w:ascii="Roboto" w:hAnsi="Roboto" w:cs="Arial"/>
          <w:vertAlign w:val="superscript"/>
          <w:lang w:val="en-GB"/>
        </w:rPr>
        <w:footnoteReference w:id="11"/>
      </w:r>
      <w:r w:rsidRPr="00E110D9">
        <w:rPr>
          <w:rFonts w:ascii="Roboto" w:hAnsi="Roboto" w:cs="Arial"/>
          <w:b/>
          <w:bCs/>
          <w:lang w:val="en-GB"/>
        </w:rPr>
        <w:t xml:space="preserve"> the Committee recommends that the State party:</w:t>
      </w:r>
    </w:p>
    <w:p w14:paraId="514011C0" w14:textId="08DEC846" w:rsidR="00102F98" w:rsidRPr="00E110D9" w:rsidRDefault="00102F98" w:rsidP="00635DC5">
      <w:pPr>
        <w:ind w:right="284"/>
        <w:jc w:val="both"/>
        <w:rPr>
          <w:rFonts w:ascii="Roboto" w:hAnsi="Roboto" w:cs="Arial"/>
          <w:b/>
          <w:bCs/>
          <w:lang w:val="en-GB"/>
        </w:rPr>
      </w:pPr>
      <w:r w:rsidRPr="00E110D9">
        <w:rPr>
          <w:rFonts w:ascii="Roboto" w:hAnsi="Roboto" w:cs="Arial"/>
          <w:lang w:val="en-GB"/>
        </w:rPr>
        <w:t>(b)</w:t>
      </w:r>
      <w:r w:rsidRPr="00E110D9">
        <w:rPr>
          <w:rFonts w:ascii="Roboto" w:hAnsi="Roboto" w:cs="Arial"/>
          <w:lang w:val="en-GB"/>
        </w:rPr>
        <w:tab/>
      </w:r>
      <w:r w:rsidRPr="00E110D9">
        <w:rPr>
          <w:rFonts w:ascii="Roboto" w:hAnsi="Roboto" w:cs="Arial"/>
          <w:b/>
          <w:bCs/>
          <w:lang w:val="en-GB"/>
        </w:rPr>
        <w:t>Continue its efforts to ensure increased integration of workers into the formal economy and to ensure that persons in need of social assistance, in particular those at risk of poverty and persons with disabilities, receive social security benefits that are sufficient to guarantee an adequate standard of living</w:t>
      </w:r>
      <w:r w:rsidR="00E63709">
        <w:rPr>
          <w:rFonts w:ascii="Roboto" w:hAnsi="Roboto" w:cs="Arial"/>
          <w:b/>
          <w:bCs/>
          <w:lang w:val="en-GB"/>
        </w:rPr>
        <w:t>.</w:t>
      </w:r>
    </w:p>
    <w:p w14:paraId="1A8E8695" w14:textId="77777777" w:rsidR="004A65AD" w:rsidRDefault="004A65AD" w:rsidP="00635DC5">
      <w:pPr>
        <w:ind w:right="284"/>
        <w:jc w:val="both"/>
        <w:rPr>
          <w:rFonts w:ascii="Roboto" w:hAnsi="Roboto" w:cs="Arial"/>
          <w:b/>
          <w:bCs/>
          <w:lang w:val="en-GB"/>
        </w:rPr>
      </w:pPr>
    </w:p>
    <w:p w14:paraId="4436F855" w14:textId="4D463C92" w:rsidR="00102F98" w:rsidRPr="00E110D9" w:rsidRDefault="00102F98" w:rsidP="00635DC5">
      <w:pPr>
        <w:ind w:right="284"/>
        <w:jc w:val="both"/>
        <w:rPr>
          <w:rFonts w:ascii="Roboto" w:hAnsi="Roboto" w:cs="Arial"/>
          <w:b/>
          <w:bCs/>
          <w:lang w:val="en-GB"/>
        </w:rPr>
      </w:pPr>
      <w:r w:rsidRPr="00E110D9">
        <w:rPr>
          <w:rFonts w:ascii="Roboto" w:hAnsi="Roboto" w:cs="Arial"/>
          <w:b/>
          <w:bCs/>
          <w:lang w:val="en-GB"/>
        </w:rPr>
        <w:t>Right to an adequate standard of living</w:t>
      </w:r>
    </w:p>
    <w:p w14:paraId="0BE1B6D0" w14:textId="77777777" w:rsidR="00102F98" w:rsidRPr="00E110D9" w:rsidRDefault="00102F98" w:rsidP="00635DC5">
      <w:pPr>
        <w:ind w:right="284"/>
        <w:jc w:val="both"/>
        <w:rPr>
          <w:rFonts w:ascii="Roboto" w:hAnsi="Roboto" w:cs="Arial"/>
          <w:lang w:val="en-GB"/>
        </w:rPr>
      </w:pPr>
      <w:bookmarkStart w:id="9" w:name="_Hlk127288392"/>
      <w:r w:rsidRPr="00E110D9">
        <w:rPr>
          <w:rFonts w:ascii="Roboto" w:hAnsi="Roboto" w:cs="Arial"/>
          <w:lang w:val="en-GB"/>
        </w:rPr>
        <w:t>26.</w:t>
      </w:r>
      <w:r w:rsidRPr="00E110D9">
        <w:rPr>
          <w:rFonts w:ascii="Roboto" w:hAnsi="Roboto" w:cs="Arial"/>
          <w:lang w:val="en-GB"/>
        </w:rPr>
        <w:tab/>
        <w:t>While acknowledging the efforts made by the State party to eradicate poverty and social exclusion, including through social transfers, the Committee remains concerned by the high rates of persons at risk of poverty. Furthermore, despite efforts to provide adequate housing, the Committee is concerned by persistent housing shortages, including the shortage of social housing, affordable housing and emergency shelters, and the lack of disaggregated data on the actual access to adequate housing for marginalized groups including single mothers, persons with disabilities, people of African descent, Roma, youth and persons in situations of homelessness. The Committee is also concerned that the dismantling of social housing and relocation of persons of African descent and their families to the periphery of cities may place them farther away from the sources of their livelihood (art. 2, 3 and 10).</w:t>
      </w:r>
    </w:p>
    <w:bookmarkEnd w:id="9"/>
    <w:p w14:paraId="13680364"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27.</w:t>
      </w:r>
      <w:r w:rsidRPr="00E110D9">
        <w:rPr>
          <w:rFonts w:ascii="Roboto" w:hAnsi="Roboto" w:cs="Arial"/>
          <w:lang w:val="en-GB"/>
        </w:rPr>
        <w:tab/>
      </w:r>
      <w:r w:rsidRPr="00E110D9">
        <w:rPr>
          <w:rFonts w:ascii="Roboto" w:hAnsi="Roboto" w:cs="Arial"/>
          <w:b/>
          <w:bCs/>
          <w:lang w:val="en-GB"/>
        </w:rPr>
        <w:t>The Committee recommends that the State party continue its efforts to ensure an adequate standard of living for its population, including by:</w:t>
      </w:r>
    </w:p>
    <w:p w14:paraId="1856D771"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ab/>
        <w:t>(a)</w:t>
      </w:r>
      <w:r w:rsidRPr="00E110D9">
        <w:rPr>
          <w:rFonts w:ascii="Roboto" w:hAnsi="Roboto" w:cs="Arial"/>
          <w:lang w:val="en-GB"/>
        </w:rPr>
        <w:tab/>
      </w:r>
      <w:r w:rsidRPr="00E110D9">
        <w:rPr>
          <w:rFonts w:ascii="Roboto" w:hAnsi="Roboto" w:cs="Arial"/>
          <w:b/>
          <w:bCs/>
          <w:lang w:val="en-GB"/>
        </w:rPr>
        <w:t>Continuing to provide investments, in consultation with municipalities and on the basis of geographical priorities, that are proportional in size to the scale of the housing shortage;</w:t>
      </w:r>
    </w:p>
    <w:p w14:paraId="5693C1CC"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lastRenderedPageBreak/>
        <w:tab/>
        <w:t>(b)</w:t>
      </w:r>
      <w:r w:rsidRPr="00E110D9">
        <w:rPr>
          <w:rFonts w:ascii="Roboto" w:hAnsi="Roboto" w:cs="Arial"/>
          <w:lang w:val="en-GB"/>
        </w:rPr>
        <w:tab/>
      </w:r>
      <w:r w:rsidRPr="00E110D9">
        <w:rPr>
          <w:rFonts w:ascii="Roboto" w:hAnsi="Roboto" w:cs="Arial"/>
          <w:b/>
          <w:bCs/>
          <w:lang w:val="en-GB"/>
        </w:rPr>
        <w:t>Giving due priority to persons at risk of homelessness and, to that end, devising a strategy, in extensive genuine consultation with those affected, for addressing homelessness and, above all, for helping people to find sustainable housing solutions that will enable them to exercise other Covenant rights;</w:t>
      </w:r>
    </w:p>
    <w:p w14:paraId="7D7E8E57"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ab/>
        <w:t>(c)</w:t>
      </w:r>
      <w:r w:rsidRPr="00E110D9">
        <w:rPr>
          <w:rFonts w:ascii="Roboto" w:hAnsi="Roboto" w:cs="Arial"/>
          <w:lang w:val="en-GB"/>
        </w:rPr>
        <w:tab/>
      </w:r>
      <w:r w:rsidRPr="00E110D9">
        <w:rPr>
          <w:rFonts w:ascii="Roboto" w:hAnsi="Roboto" w:cs="Arial"/>
          <w:b/>
          <w:bCs/>
          <w:lang w:val="en-GB"/>
        </w:rPr>
        <w:t>Continuing to provide social support, including subsidies to help young people and working women with childcare responsibilities access the housing market, in particular in urban areas.</w:t>
      </w:r>
    </w:p>
    <w:p w14:paraId="0A14F282" w14:textId="77777777" w:rsidR="009A0C68" w:rsidRPr="00E110D9" w:rsidRDefault="009A0C68" w:rsidP="00635DC5">
      <w:pPr>
        <w:ind w:right="284"/>
        <w:jc w:val="both"/>
        <w:rPr>
          <w:rFonts w:ascii="Roboto" w:hAnsi="Roboto" w:cs="Arial"/>
          <w:b/>
          <w:lang w:val="en-GB"/>
        </w:rPr>
      </w:pPr>
    </w:p>
    <w:p w14:paraId="30E90D3A" w14:textId="3832A5F1" w:rsidR="009A0C68" w:rsidRPr="00E110D9" w:rsidRDefault="009A0C68" w:rsidP="00635DC5">
      <w:pPr>
        <w:ind w:right="284"/>
        <w:jc w:val="both"/>
        <w:rPr>
          <w:rFonts w:ascii="Roboto" w:hAnsi="Roboto" w:cs="Arial"/>
          <w:b/>
          <w:lang w:val="en-GB"/>
        </w:rPr>
      </w:pPr>
      <w:r w:rsidRPr="00E110D9">
        <w:rPr>
          <w:rFonts w:ascii="Roboto" w:hAnsi="Roboto" w:cs="Arial"/>
          <w:b/>
          <w:lang w:val="en-GB"/>
        </w:rPr>
        <w:t>Right to education</w:t>
      </w:r>
    </w:p>
    <w:p w14:paraId="77AD4003" w14:textId="77777777" w:rsidR="009A0C68" w:rsidRPr="00E110D9" w:rsidRDefault="009A0C68" w:rsidP="00635DC5">
      <w:pPr>
        <w:ind w:right="284"/>
        <w:jc w:val="both"/>
        <w:rPr>
          <w:rFonts w:ascii="Roboto" w:hAnsi="Roboto" w:cs="Arial"/>
          <w:lang w:val="en-GB"/>
        </w:rPr>
      </w:pPr>
      <w:r w:rsidRPr="00E110D9">
        <w:rPr>
          <w:rFonts w:ascii="Roboto" w:hAnsi="Roboto" w:cs="Arial"/>
          <w:lang w:val="en-GB"/>
        </w:rPr>
        <w:t>34.</w:t>
      </w:r>
      <w:r w:rsidRPr="00E110D9">
        <w:rPr>
          <w:rFonts w:ascii="Roboto" w:hAnsi="Roboto" w:cs="Arial"/>
          <w:lang w:val="en-GB"/>
        </w:rPr>
        <w:tab/>
        <w:t xml:space="preserve">While noting the efforts made to improve digital literacy to raise levels of employability and mobility, the Committee remains concerned by the relatively high levels of </w:t>
      </w:r>
      <w:bookmarkStart w:id="10" w:name="_Hlk126942209"/>
      <w:r w:rsidRPr="00E110D9">
        <w:rPr>
          <w:rFonts w:ascii="Roboto" w:hAnsi="Roboto" w:cs="Arial"/>
          <w:lang w:val="en-GB"/>
        </w:rPr>
        <w:t>illiteracy and digital illiteracy among older persons</w:t>
      </w:r>
      <w:bookmarkEnd w:id="10"/>
      <w:r w:rsidRPr="00E110D9">
        <w:rPr>
          <w:rFonts w:ascii="Roboto" w:hAnsi="Roboto" w:cs="Arial"/>
          <w:lang w:val="en-GB"/>
        </w:rPr>
        <w:t xml:space="preserve"> and is concerned that this may affect the enjoyment of their economic, social and cultural rights. The Committee is also concerned that school dropout and failure rates remain higher among </w:t>
      </w:r>
      <w:bookmarkStart w:id="11" w:name="_Hlk126942235"/>
      <w:r w:rsidRPr="00E110D9">
        <w:rPr>
          <w:rFonts w:ascii="Roboto" w:hAnsi="Roboto" w:cs="Arial"/>
          <w:lang w:val="en-GB"/>
        </w:rPr>
        <w:t>children with disabilities, children of African descent</w:t>
      </w:r>
      <w:bookmarkEnd w:id="11"/>
      <w:r w:rsidRPr="00E110D9">
        <w:rPr>
          <w:rFonts w:ascii="Roboto" w:hAnsi="Roboto" w:cs="Arial"/>
          <w:lang w:val="en-GB"/>
        </w:rPr>
        <w:t xml:space="preserve"> and Roma. </w:t>
      </w:r>
      <w:bookmarkStart w:id="12" w:name="_Hlk127288908"/>
      <w:r w:rsidRPr="00E110D9">
        <w:rPr>
          <w:rFonts w:ascii="Roboto" w:hAnsi="Roboto" w:cs="Arial"/>
          <w:lang w:val="en-GB"/>
        </w:rPr>
        <w:t>The Committee is further concerned that the diversion of students of African descent towards vocational education may create formal and informal barriers to higher education</w:t>
      </w:r>
      <w:bookmarkEnd w:id="12"/>
      <w:r w:rsidRPr="00E110D9">
        <w:rPr>
          <w:rFonts w:ascii="Roboto" w:hAnsi="Roboto" w:cs="Arial"/>
          <w:lang w:val="en-GB"/>
        </w:rPr>
        <w:t>, as highlighted by the Working Group of Experts on People of African Descent</w:t>
      </w:r>
      <w:r w:rsidRPr="00E110D9">
        <w:rPr>
          <w:rFonts w:ascii="Roboto" w:hAnsi="Roboto" w:cs="Arial"/>
          <w:vertAlign w:val="superscript"/>
          <w:lang w:val="en-GB"/>
        </w:rPr>
        <w:footnoteReference w:id="12"/>
      </w:r>
      <w:r w:rsidRPr="00E110D9">
        <w:rPr>
          <w:rFonts w:ascii="Roboto" w:hAnsi="Roboto" w:cs="Arial"/>
          <w:lang w:val="en-GB"/>
        </w:rPr>
        <w:t xml:space="preserve"> (arts. 2, 3 and 13).</w:t>
      </w:r>
    </w:p>
    <w:p w14:paraId="4C7D9A0A"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35.</w:t>
      </w:r>
      <w:r w:rsidRPr="00E110D9">
        <w:rPr>
          <w:rFonts w:ascii="Roboto" w:hAnsi="Roboto" w:cs="Arial"/>
          <w:lang w:val="en-GB"/>
        </w:rPr>
        <w:tab/>
      </w:r>
      <w:r w:rsidRPr="00E110D9">
        <w:rPr>
          <w:rFonts w:ascii="Roboto" w:hAnsi="Roboto" w:cs="Arial"/>
          <w:b/>
          <w:bCs/>
          <w:lang w:val="en-GB"/>
        </w:rPr>
        <w:t xml:space="preserve">The Committee recommends that the State party: </w:t>
      </w:r>
    </w:p>
    <w:p w14:paraId="098B61A7"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ab/>
        <w:t>(a)</w:t>
      </w:r>
      <w:r w:rsidRPr="00E110D9">
        <w:rPr>
          <w:rFonts w:ascii="Roboto" w:hAnsi="Roboto" w:cs="Arial"/>
          <w:lang w:val="en-GB"/>
        </w:rPr>
        <w:tab/>
      </w:r>
      <w:r w:rsidRPr="00E110D9">
        <w:rPr>
          <w:rFonts w:ascii="Roboto" w:hAnsi="Roboto" w:cs="Arial"/>
          <w:b/>
          <w:bCs/>
          <w:lang w:val="en-GB"/>
        </w:rPr>
        <w:t>Take the necessary measures to improve the digital literacy of older persons;</w:t>
      </w:r>
    </w:p>
    <w:p w14:paraId="432E0C59"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ab/>
        <w:t>(b)</w:t>
      </w:r>
      <w:r w:rsidRPr="00E110D9">
        <w:rPr>
          <w:rFonts w:ascii="Roboto" w:hAnsi="Roboto" w:cs="Arial"/>
          <w:lang w:val="en-GB"/>
        </w:rPr>
        <w:tab/>
      </w:r>
      <w:r w:rsidRPr="00E110D9">
        <w:rPr>
          <w:rFonts w:ascii="Roboto" w:hAnsi="Roboto" w:cs="Arial"/>
          <w:b/>
          <w:bCs/>
          <w:lang w:val="en-GB"/>
        </w:rPr>
        <w:t>Increase awareness-raising efforts among the general population on the added value of ethnic and linguistic diversity;</w:t>
      </w:r>
    </w:p>
    <w:p w14:paraId="589C9383"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ab/>
        <w:t>(c)</w:t>
      </w:r>
      <w:r w:rsidRPr="00E110D9">
        <w:rPr>
          <w:rFonts w:ascii="Roboto" w:hAnsi="Roboto" w:cs="Arial"/>
          <w:lang w:val="en-GB"/>
        </w:rPr>
        <w:tab/>
      </w:r>
      <w:r w:rsidRPr="00E110D9">
        <w:rPr>
          <w:rFonts w:ascii="Roboto" w:hAnsi="Roboto" w:cs="Arial"/>
          <w:b/>
          <w:bCs/>
          <w:lang w:val="en-GB"/>
        </w:rPr>
        <w:t>Improve the collection of data on the most marginalized children, disaggregated by sex and other grounds;</w:t>
      </w:r>
    </w:p>
    <w:p w14:paraId="09D3F8FC" w14:textId="77777777" w:rsidR="009A0C68" w:rsidRPr="00E110D9" w:rsidRDefault="009A0C68" w:rsidP="00635DC5">
      <w:pPr>
        <w:ind w:right="284"/>
        <w:jc w:val="both"/>
        <w:rPr>
          <w:rFonts w:ascii="Roboto" w:hAnsi="Roboto" w:cs="Arial"/>
          <w:b/>
          <w:bCs/>
          <w:lang w:val="en-GB"/>
        </w:rPr>
      </w:pPr>
      <w:r w:rsidRPr="00E110D9">
        <w:rPr>
          <w:rFonts w:ascii="Roboto" w:hAnsi="Roboto" w:cs="Arial"/>
          <w:lang w:val="en-GB"/>
        </w:rPr>
        <w:tab/>
        <w:t>(d)</w:t>
      </w:r>
      <w:r w:rsidRPr="00E110D9">
        <w:rPr>
          <w:rFonts w:ascii="Roboto" w:hAnsi="Roboto" w:cs="Arial"/>
          <w:lang w:val="en-GB"/>
        </w:rPr>
        <w:tab/>
      </w:r>
      <w:r w:rsidRPr="00E110D9">
        <w:rPr>
          <w:rFonts w:ascii="Roboto" w:hAnsi="Roboto" w:cs="Arial"/>
          <w:b/>
          <w:bCs/>
          <w:lang w:val="en-GB"/>
        </w:rPr>
        <w:t>Provide alternative economic support to families of children in disadvantaged situations to avoid economic shortfalls that lead families to take children out of school;</w:t>
      </w:r>
    </w:p>
    <w:p w14:paraId="2403A0B5" w14:textId="77777777" w:rsidR="009A0C68" w:rsidRPr="009A0C68" w:rsidRDefault="009A0C68" w:rsidP="00635DC5">
      <w:pPr>
        <w:ind w:right="284"/>
        <w:jc w:val="both"/>
        <w:rPr>
          <w:rFonts w:ascii="Roboto" w:hAnsi="Roboto" w:cs="Arial"/>
          <w:b/>
          <w:bCs/>
          <w:lang w:val="en-GB"/>
        </w:rPr>
      </w:pPr>
      <w:r w:rsidRPr="00E110D9">
        <w:rPr>
          <w:rFonts w:ascii="Roboto" w:hAnsi="Roboto" w:cs="Arial"/>
          <w:lang w:val="en-GB"/>
        </w:rPr>
        <w:tab/>
        <w:t>(e)</w:t>
      </w:r>
      <w:r w:rsidRPr="00E110D9">
        <w:rPr>
          <w:rFonts w:ascii="Roboto" w:hAnsi="Roboto" w:cs="Arial"/>
          <w:lang w:val="en-GB"/>
        </w:rPr>
        <w:tab/>
      </w:r>
      <w:r w:rsidRPr="00E110D9">
        <w:rPr>
          <w:rFonts w:ascii="Roboto" w:hAnsi="Roboto" w:cs="Arial"/>
          <w:b/>
          <w:bCs/>
          <w:lang w:val="en-GB"/>
        </w:rPr>
        <w:t>Increase coverage of social scholarships for higher education, including as an alternative to vocational training, for youth interested in pursuing such education.</w:t>
      </w:r>
    </w:p>
    <w:p w14:paraId="70994D4A" w14:textId="77777777" w:rsidR="00102F98" w:rsidRPr="00F67CCA" w:rsidRDefault="00102F98" w:rsidP="00635DC5">
      <w:pPr>
        <w:ind w:right="284"/>
        <w:jc w:val="both"/>
        <w:rPr>
          <w:rFonts w:ascii="Roboto" w:hAnsi="Roboto" w:cs="Arial"/>
          <w:lang w:val="en-GB"/>
        </w:rPr>
      </w:pPr>
    </w:p>
    <w:sectPr w:rsidR="00102F98" w:rsidRPr="00F67CCA" w:rsidSect="00E63709">
      <w:footerReference w:type="default" r:id="rId10"/>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F5C8" w14:textId="77777777" w:rsidR="007B589B" w:rsidRDefault="007B589B" w:rsidP="00924E29">
      <w:r>
        <w:separator/>
      </w:r>
    </w:p>
  </w:endnote>
  <w:endnote w:type="continuationSeparator" w:id="0">
    <w:p w14:paraId="0D47AB67" w14:textId="77777777" w:rsidR="007B589B" w:rsidRDefault="007B589B" w:rsidP="0092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55028"/>
      <w:docPartObj>
        <w:docPartGallery w:val="Page Numbers (Bottom of Page)"/>
        <w:docPartUnique/>
      </w:docPartObj>
    </w:sdtPr>
    <w:sdtEndPr>
      <w:rPr>
        <w:noProof/>
      </w:rPr>
    </w:sdtEndPr>
    <w:sdtContent>
      <w:p w14:paraId="33101B6B" w14:textId="671B19E2" w:rsidR="000A1957" w:rsidRDefault="000A19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EA0D14" w14:textId="77777777" w:rsidR="000A1957" w:rsidRDefault="000A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7FDA" w14:textId="77777777" w:rsidR="007B589B" w:rsidRDefault="007B589B" w:rsidP="00924E29">
      <w:r>
        <w:separator/>
      </w:r>
    </w:p>
  </w:footnote>
  <w:footnote w:type="continuationSeparator" w:id="0">
    <w:p w14:paraId="3FFE53FE" w14:textId="77777777" w:rsidR="007B589B" w:rsidRDefault="007B589B" w:rsidP="00924E29">
      <w:r>
        <w:continuationSeparator/>
      </w:r>
    </w:p>
  </w:footnote>
  <w:footnote w:id="1">
    <w:p w14:paraId="2DEA4641" w14:textId="77777777" w:rsidR="001C7916" w:rsidRPr="00384B07" w:rsidRDefault="001C7916" w:rsidP="001C7916">
      <w:pPr>
        <w:pStyle w:val="FootnoteText"/>
      </w:pPr>
      <w:r w:rsidRPr="00384B07">
        <w:tab/>
      </w:r>
      <w:r w:rsidRPr="00384B07">
        <w:rPr>
          <w:rStyle w:val="FootnoteReference"/>
        </w:rPr>
        <w:footnoteRef/>
      </w:r>
      <w:r w:rsidRPr="00384B07">
        <w:rPr>
          <w:rStyle w:val="FootnoteReference"/>
        </w:rPr>
        <w:tab/>
      </w:r>
      <w:hyperlink r:id="rId1" w:history="1">
        <w:r w:rsidRPr="00384B07">
          <w:rPr>
            <w:rStyle w:val="Hyperlink"/>
          </w:rPr>
          <w:t>CRPD/C/CHN/CO/2-3</w:t>
        </w:r>
      </w:hyperlink>
      <w:r w:rsidRPr="00384B07">
        <w:t>, para. 6.</w:t>
      </w:r>
    </w:p>
  </w:footnote>
  <w:footnote w:id="2">
    <w:p w14:paraId="0F95F3EC" w14:textId="77777777" w:rsidR="001C7916" w:rsidRPr="00384B07" w:rsidRDefault="001C7916" w:rsidP="001C7916">
      <w:pPr>
        <w:pStyle w:val="FootnoteText"/>
      </w:pPr>
      <w:r w:rsidRPr="00384B07">
        <w:tab/>
      </w:r>
      <w:r w:rsidRPr="00384B07">
        <w:rPr>
          <w:rStyle w:val="FootnoteReference"/>
        </w:rPr>
        <w:footnoteRef/>
      </w:r>
      <w:r w:rsidRPr="00384B07">
        <w:rPr>
          <w:rStyle w:val="FootnoteReference"/>
        </w:rPr>
        <w:tab/>
      </w:r>
      <w:hyperlink r:id="rId2" w:history="1">
        <w:r w:rsidRPr="00384B07">
          <w:rPr>
            <w:rStyle w:val="Hyperlink"/>
          </w:rPr>
          <w:t>Ibid., para. 7</w:t>
        </w:r>
      </w:hyperlink>
      <w:r w:rsidRPr="00384B07">
        <w:t>.</w:t>
      </w:r>
    </w:p>
  </w:footnote>
  <w:footnote w:id="3">
    <w:p w14:paraId="210DFE39" w14:textId="77777777" w:rsidR="00113BAE" w:rsidRPr="00646F84" w:rsidRDefault="00113BAE" w:rsidP="00113BAE">
      <w:pPr>
        <w:pStyle w:val="FootnoteText"/>
        <w:rPr>
          <w:lang w:val="es-ES_tradnl"/>
        </w:rPr>
      </w:pPr>
      <w:r w:rsidRPr="0089116F">
        <w:rPr>
          <w:lang w:val="es-ES_tradnl"/>
        </w:rPr>
        <w:tab/>
      </w:r>
      <w:r w:rsidRPr="001405B6">
        <w:rPr>
          <w:rStyle w:val="FootnoteReference"/>
        </w:rPr>
        <w:footnoteRef/>
      </w:r>
      <w:r w:rsidRPr="0089116F">
        <w:rPr>
          <w:lang w:val="es-ES_tradnl"/>
        </w:rPr>
        <w:t xml:space="preserve"> </w:t>
      </w:r>
      <w:r w:rsidRPr="0089116F">
        <w:rPr>
          <w:lang w:val="es-ES_tradnl"/>
        </w:rPr>
        <w:tab/>
      </w:r>
      <w:hyperlink r:id="rId3" w:history="1">
        <w:r w:rsidRPr="0089116F">
          <w:rPr>
            <w:rStyle w:val="Hyperlink"/>
            <w:lang w:val="es-ES_tradnl"/>
          </w:rPr>
          <w:t>E/C.12/LTU/CO/2</w:t>
        </w:r>
      </w:hyperlink>
      <w:r w:rsidRPr="0089116F">
        <w:rPr>
          <w:lang w:val="es-ES_tradnl"/>
        </w:rPr>
        <w:t>, paras. 11–12.</w:t>
      </w:r>
    </w:p>
  </w:footnote>
  <w:footnote w:id="4">
    <w:p w14:paraId="7FDA6FCF" w14:textId="77777777" w:rsidR="00113BAE" w:rsidRPr="00646F84" w:rsidRDefault="00113BAE" w:rsidP="00113BAE">
      <w:pPr>
        <w:pStyle w:val="FootnoteText"/>
        <w:rPr>
          <w:lang w:val="es-ES_tradnl"/>
        </w:rPr>
      </w:pPr>
      <w:r>
        <w:rPr>
          <w:lang w:val="es-ES_tradnl"/>
        </w:rPr>
        <w:tab/>
      </w:r>
      <w:r w:rsidRPr="001405B6">
        <w:rPr>
          <w:rStyle w:val="FootnoteReference"/>
        </w:rPr>
        <w:footnoteRef/>
      </w:r>
      <w:r w:rsidRPr="00646F84">
        <w:rPr>
          <w:lang w:val="es-ES_tradnl"/>
        </w:rPr>
        <w:t xml:space="preserve"> </w:t>
      </w:r>
      <w:r>
        <w:rPr>
          <w:lang w:val="es-ES_tradnl"/>
        </w:rPr>
        <w:tab/>
      </w:r>
      <w:hyperlink r:id="rId4" w:history="1">
        <w:r w:rsidRPr="00441925">
          <w:rPr>
            <w:rStyle w:val="Hyperlink"/>
            <w:lang w:val="es-ES_tradnl"/>
          </w:rPr>
          <w:t>E/C.12/LTU/CO/2</w:t>
        </w:r>
      </w:hyperlink>
      <w:r w:rsidRPr="00A01A64">
        <w:rPr>
          <w:lang w:val="es-ES_tradnl"/>
        </w:rPr>
        <w:t xml:space="preserve">, </w:t>
      </w:r>
      <w:r w:rsidRPr="0094330D">
        <w:rPr>
          <w:lang w:val="es-ES_tradnl"/>
        </w:rPr>
        <w:t>para.</w:t>
      </w:r>
      <w:r w:rsidRPr="00A01A64">
        <w:rPr>
          <w:lang w:val="es-ES_tradnl"/>
        </w:rPr>
        <w:t xml:space="preserve"> 20</w:t>
      </w:r>
      <w:r>
        <w:rPr>
          <w:lang w:val="es-ES_tradnl"/>
        </w:rPr>
        <w:t>.</w:t>
      </w:r>
    </w:p>
  </w:footnote>
  <w:footnote w:id="5">
    <w:p w14:paraId="786CE7DE" w14:textId="77777777" w:rsidR="001E7D8F" w:rsidRPr="00733D39" w:rsidRDefault="001E7D8F" w:rsidP="001E7D8F">
      <w:pPr>
        <w:pStyle w:val="FootnoteText"/>
        <w:rPr>
          <w:lang w:val="en-US"/>
        </w:rPr>
      </w:pPr>
      <w:r>
        <w:tab/>
      </w:r>
      <w:r w:rsidRPr="004B2D8B">
        <w:rPr>
          <w:rStyle w:val="FootnoteReference"/>
        </w:rPr>
        <w:footnoteRef/>
      </w:r>
      <w:r>
        <w:t xml:space="preserve"> </w:t>
      </w:r>
      <w:r>
        <w:tab/>
      </w:r>
      <w:hyperlink r:id="rId5" w:history="1">
        <w:r w:rsidRPr="004B2D8B">
          <w:rPr>
            <w:rStyle w:val="Hyperlink"/>
          </w:rPr>
          <w:t>CEDAW/C/PAN/CO/8</w:t>
        </w:r>
      </w:hyperlink>
      <w:r>
        <w:t>, paras. 15 and 19.</w:t>
      </w:r>
    </w:p>
  </w:footnote>
  <w:footnote w:id="6">
    <w:p w14:paraId="05083074" w14:textId="77777777" w:rsidR="001E7D8F" w:rsidRPr="008C00D7" w:rsidRDefault="001E7D8F" w:rsidP="001E7D8F">
      <w:pPr>
        <w:pStyle w:val="FootnoteText"/>
      </w:pPr>
      <w:r>
        <w:tab/>
      </w:r>
      <w:r w:rsidRPr="004B2D8B">
        <w:rPr>
          <w:rStyle w:val="FootnoteReference"/>
        </w:rPr>
        <w:footnoteRef/>
      </w:r>
      <w:r w:rsidRPr="00733D39">
        <w:rPr>
          <w:lang w:val="es-MX"/>
        </w:rPr>
        <w:t xml:space="preserve"> </w:t>
      </w:r>
      <w:r w:rsidRPr="00733D39">
        <w:rPr>
          <w:lang w:val="es-MX"/>
        </w:rPr>
        <w:tab/>
        <w:t>Ibid., paras. 16 and 20.</w:t>
      </w:r>
    </w:p>
  </w:footnote>
  <w:footnote w:id="7">
    <w:p w14:paraId="738075AF" w14:textId="77777777" w:rsidR="00B2108B" w:rsidRPr="00FE086C" w:rsidRDefault="00B2108B" w:rsidP="00B2108B">
      <w:pPr>
        <w:pStyle w:val="FootnoteText"/>
      </w:pPr>
      <w:r w:rsidRPr="00733D39">
        <w:rPr>
          <w:lang w:val="es-MX"/>
        </w:rPr>
        <w:tab/>
      </w:r>
      <w:r w:rsidRPr="004B2D8B">
        <w:rPr>
          <w:rStyle w:val="FootnoteReference"/>
        </w:rPr>
        <w:footnoteRef/>
      </w:r>
      <w:r w:rsidRPr="00733D39">
        <w:rPr>
          <w:lang w:val="es-MX"/>
        </w:rPr>
        <w:t xml:space="preserve"> </w:t>
      </w:r>
      <w:r w:rsidRPr="00733D39">
        <w:rPr>
          <w:lang w:val="es-MX"/>
        </w:rPr>
        <w:tab/>
      </w:r>
      <w:hyperlink r:id="rId6" w:history="1">
        <w:r w:rsidRPr="004B2D8B">
          <w:rPr>
            <w:rStyle w:val="Hyperlink"/>
            <w:lang w:val="es-MX"/>
          </w:rPr>
          <w:t>CEDAW/C/PAN/CO/8</w:t>
        </w:r>
      </w:hyperlink>
      <w:r w:rsidRPr="00733D39">
        <w:rPr>
          <w:lang w:val="es-MX"/>
        </w:rPr>
        <w:t>, para. 21.</w:t>
      </w:r>
    </w:p>
  </w:footnote>
  <w:footnote w:id="8">
    <w:p w14:paraId="222FADE4" w14:textId="77777777" w:rsidR="00B2108B" w:rsidRPr="008C00D7" w:rsidRDefault="00B2108B" w:rsidP="00B2108B">
      <w:pPr>
        <w:pStyle w:val="FootnoteText"/>
      </w:pPr>
      <w:r w:rsidRPr="00733D39">
        <w:rPr>
          <w:lang w:val="es-MX"/>
        </w:rPr>
        <w:tab/>
      </w:r>
      <w:r w:rsidRPr="004B2D8B">
        <w:rPr>
          <w:rStyle w:val="FootnoteReference"/>
        </w:rPr>
        <w:footnoteRef/>
      </w:r>
      <w:r w:rsidRPr="00733D39">
        <w:rPr>
          <w:lang w:val="es-MX"/>
        </w:rPr>
        <w:t xml:space="preserve"> </w:t>
      </w:r>
      <w:r w:rsidRPr="00733D39">
        <w:rPr>
          <w:lang w:val="es-MX"/>
        </w:rPr>
        <w:tab/>
        <w:t>Ibid., para. 22.</w:t>
      </w:r>
    </w:p>
  </w:footnote>
  <w:footnote w:id="9">
    <w:p w14:paraId="56DFB5CB" w14:textId="77777777" w:rsidR="00B2108B" w:rsidRPr="00FE086C" w:rsidRDefault="00B2108B" w:rsidP="00B2108B">
      <w:pPr>
        <w:pStyle w:val="FootnoteText"/>
      </w:pPr>
      <w:r w:rsidRPr="00733D39">
        <w:rPr>
          <w:lang w:val="es-MX"/>
        </w:rPr>
        <w:tab/>
      </w:r>
      <w:r w:rsidRPr="004B2D8B">
        <w:rPr>
          <w:rStyle w:val="FootnoteReference"/>
        </w:rPr>
        <w:footnoteRef/>
      </w:r>
      <w:r w:rsidRPr="00733D39">
        <w:rPr>
          <w:lang w:val="es-MX"/>
        </w:rPr>
        <w:t xml:space="preserve"> </w:t>
      </w:r>
      <w:r w:rsidRPr="00733D39">
        <w:rPr>
          <w:lang w:val="es-MX"/>
        </w:rPr>
        <w:tab/>
      </w:r>
      <w:hyperlink r:id="rId7" w:history="1">
        <w:r w:rsidRPr="004B2D8B">
          <w:rPr>
            <w:rStyle w:val="Hyperlink"/>
            <w:lang w:val="es-MX"/>
          </w:rPr>
          <w:t>E/C.12/2001/10</w:t>
        </w:r>
      </w:hyperlink>
      <w:r w:rsidRPr="00733D39">
        <w:rPr>
          <w:lang w:val="es-MX"/>
        </w:rPr>
        <w:t>.</w:t>
      </w:r>
    </w:p>
  </w:footnote>
  <w:footnote w:id="10">
    <w:p w14:paraId="52A5FCBD" w14:textId="77777777" w:rsidR="00B2108B" w:rsidRPr="00FE086C" w:rsidRDefault="00B2108B" w:rsidP="00B2108B">
      <w:pPr>
        <w:pStyle w:val="FootnoteText"/>
      </w:pPr>
      <w:r w:rsidRPr="00733D39">
        <w:rPr>
          <w:lang w:val="es-MX"/>
        </w:rPr>
        <w:tab/>
      </w:r>
      <w:r w:rsidRPr="004B2D8B">
        <w:rPr>
          <w:rStyle w:val="FootnoteReference"/>
        </w:rPr>
        <w:footnoteRef/>
      </w:r>
      <w:r w:rsidRPr="00733D39">
        <w:rPr>
          <w:lang w:val="es-MX"/>
        </w:rPr>
        <w:t xml:space="preserve"> </w:t>
      </w:r>
      <w:r w:rsidRPr="00733D39">
        <w:rPr>
          <w:lang w:val="es-MX"/>
        </w:rPr>
        <w:tab/>
      </w:r>
      <w:r>
        <w:rPr>
          <w:lang w:val="es-MX"/>
        </w:rPr>
        <w:t>Ibid.</w:t>
      </w:r>
      <w:r w:rsidRPr="00733D39">
        <w:rPr>
          <w:lang w:val="es-MX"/>
        </w:rPr>
        <w:t>, para. 37.</w:t>
      </w:r>
    </w:p>
  </w:footnote>
  <w:footnote w:id="11">
    <w:p w14:paraId="0E704341" w14:textId="77777777" w:rsidR="00102F98" w:rsidRPr="00697630" w:rsidRDefault="00102F98" w:rsidP="00102F98">
      <w:pPr>
        <w:pStyle w:val="FootnoteText"/>
        <w:rPr>
          <w:lang w:val="pl-PL"/>
        </w:rPr>
      </w:pPr>
      <w:r w:rsidRPr="001F4C13">
        <w:rPr>
          <w:lang w:val="pt-PT"/>
        </w:rPr>
        <w:tab/>
      </w:r>
      <w:r w:rsidRPr="00DD3CE7">
        <w:rPr>
          <w:rStyle w:val="FootnoteReference"/>
        </w:rPr>
        <w:footnoteRef/>
      </w:r>
      <w:r>
        <w:rPr>
          <w:lang w:val="pt-PT"/>
        </w:rPr>
        <w:tab/>
      </w:r>
      <w:hyperlink r:id="rId8" w:history="1">
        <w:r>
          <w:rPr>
            <w:rStyle w:val="Hyperlink"/>
            <w:lang w:val="pt-PT"/>
          </w:rPr>
          <w:t>E/C.12/PRT/CO/4</w:t>
        </w:r>
      </w:hyperlink>
      <w:r w:rsidRPr="001F4C13">
        <w:rPr>
          <w:lang w:val="pt-PT"/>
        </w:rPr>
        <w:t xml:space="preserve">, para. </w:t>
      </w:r>
      <w:r w:rsidRPr="00697630">
        <w:rPr>
          <w:lang w:val="pl-PL"/>
        </w:rPr>
        <w:t>15.</w:t>
      </w:r>
    </w:p>
  </w:footnote>
  <w:footnote w:id="12">
    <w:p w14:paraId="3A390C55" w14:textId="77777777" w:rsidR="009A0C68" w:rsidRPr="00697630" w:rsidRDefault="009A0C68" w:rsidP="009A0C68">
      <w:pPr>
        <w:pStyle w:val="FootnoteText"/>
        <w:rPr>
          <w:lang w:val="es-ES"/>
        </w:rPr>
      </w:pPr>
      <w:r w:rsidRPr="00697630">
        <w:rPr>
          <w:lang w:val="es-ES"/>
        </w:rPr>
        <w:tab/>
      </w:r>
      <w:r w:rsidRPr="00DD3CE7">
        <w:rPr>
          <w:rStyle w:val="FootnoteReference"/>
        </w:rPr>
        <w:footnoteRef/>
      </w:r>
      <w:r>
        <w:rPr>
          <w:lang w:val="es-ES"/>
        </w:rPr>
        <w:tab/>
      </w:r>
      <w:hyperlink r:id="rId9" w:history="1">
        <w:r>
          <w:rPr>
            <w:rStyle w:val="Hyperlink"/>
            <w:lang w:val="es-ES"/>
          </w:rPr>
          <w:t>A/HRC/51/54/Add.2</w:t>
        </w:r>
      </w:hyperlink>
      <w:r w:rsidRPr="00697630">
        <w:rPr>
          <w:lang w:val="es-ES"/>
        </w:rPr>
        <w:t>, para.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C97"/>
    <w:multiLevelType w:val="hybridMultilevel"/>
    <w:tmpl w:val="AE0A3A94"/>
    <w:lvl w:ilvl="0" w:tplc="399A5C98">
      <w:start w:val="66"/>
      <w:numFmt w:val="decimal"/>
      <w:lvlText w:val="%1."/>
      <w:lvlJc w:val="left"/>
      <w:pPr>
        <w:ind w:left="4329" w:hanging="360"/>
      </w:pPr>
      <w:rPr>
        <w:rFonts w:hint="default"/>
      </w:rPr>
    </w:lvl>
    <w:lvl w:ilvl="1" w:tplc="20000019" w:tentative="1">
      <w:start w:val="1"/>
      <w:numFmt w:val="lowerLetter"/>
      <w:lvlText w:val="%2."/>
      <w:lvlJc w:val="left"/>
      <w:pPr>
        <w:ind w:left="5049" w:hanging="360"/>
      </w:pPr>
    </w:lvl>
    <w:lvl w:ilvl="2" w:tplc="2000001B" w:tentative="1">
      <w:start w:val="1"/>
      <w:numFmt w:val="lowerRoman"/>
      <w:lvlText w:val="%3."/>
      <w:lvlJc w:val="right"/>
      <w:pPr>
        <w:ind w:left="5769" w:hanging="180"/>
      </w:pPr>
    </w:lvl>
    <w:lvl w:ilvl="3" w:tplc="2000000F" w:tentative="1">
      <w:start w:val="1"/>
      <w:numFmt w:val="decimal"/>
      <w:lvlText w:val="%4."/>
      <w:lvlJc w:val="left"/>
      <w:pPr>
        <w:ind w:left="6489" w:hanging="360"/>
      </w:pPr>
    </w:lvl>
    <w:lvl w:ilvl="4" w:tplc="20000019" w:tentative="1">
      <w:start w:val="1"/>
      <w:numFmt w:val="lowerLetter"/>
      <w:lvlText w:val="%5."/>
      <w:lvlJc w:val="left"/>
      <w:pPr>
        <w:ind w:left="7209" w:hanging="360"/>
      </w:pPr>
    </w:lvl>
    <w:lvl w:ilvl="5" w:tplc="2000001B" w:tentative="1">
      <w:start w:val="1"/>
      <w:numFmt w:val="lowerRoman"/>
      <w:lvlText w:val="%6."/>
      <w:lvlJc w:val="right"/>
      <w:pPr>
        <w:ind w:left="7929" w:hanging="180"/>
      </w:pPr>
    </w:lvl>
    <w:lvl w:ilvl="6" w:tplc="2000000F" w:tentative="1">
      <w:start w:val="1"/>
      <w:numFmt w:val="decimal"/>
      <w:lvlText w:val="%7."/>
      <w:lvlJc w:val="left"/>
      <w:pPr>
        <w:ind w:left="8649" w:hanging="360"/>
      </w:pPr>
    </w:lvl>
    <w:lvl w:ilvl="7" w:tplc="20000019" w:tentative="1">
      <w:start w:val="1"/>
      <w:numFmt w:val="lowerLetter"/>
      <w:lvlText w:val="%8."/>
      <w:lvlJc w:val="left"/>
      <w:pPr>
        <w:ind w:left="9369" w:hanging="360"/>
      </w:pPr>
    </w:lvl>
    <w:lvl w:ilvl="8" w:tplc="2000001B" w:tentative="1">
      <w:start w:val="1"/>
      <w:numFmt w:val="lowerRoman"/>
      <w:lvlText w:val="%9."/>
      <w:lvlJc w:val="right"/>
      <w:pPr>
        <w:ind w:left="10089" w:hanging="180"/>
      </w:pPr>
    </w:lvl>
  </w:abstractNum>
  <w:abstractNum w:abstractNumId="1" w15:restartNumberingAfterBreak="0">
    <w:nsid w:val="05A24747"/>
    <w:multiLevelType w:val="hybridMultilevel"/>
    <w:tmpl w:val="5BF8C31A"/>
    <w:lvl w:ilvl="0" w:tplc="95D243A4">
      <w:start w:val="40"/>
      <w:numFmt w:val="decimal"/>
      <w:lvlText w:val="%1."/>
      <w:lvlJc w:val="left"/>
      <w:pPr>
        <w:ind w:left="1145" w:hanging="360"/>
      </w:pPr>
      <w:rPr>
        <w:rFonts w:hint="default"/>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2" w15:restartNumberingAfterBreak="0">
    <w:nsid w:val="08FF3EFE"/>
    <w:multiLevelType w:val="hybridMultilevel"/>
    <w:tmpl w:val="89DE75F8"/>
    <w:lvl w:ilvl="0" w:tplc="FFFFFFFF">
      <w:start w:val="46"/>
      <w:numFmt w:val="decimal"/>
      <w:lvlText w:val="%1."/>
      <w:lvlJc w:val="left"/>
      <w:pPr>
        <w:ind w:left="643"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09941843"/>
    <w:multiLevelType w:val="hybridMultilevel"/>
    <w:tmpl w:val="05805206"/>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A4B0B19"/>
    <w:multiLevelType w:val="hybridMultilevel"/>
    <w:tmpl w:val="CA06D4FE"/>
    <w:lvl w:ilvl="0" w:tplc="FFFFFFFF">
      <w:start w:val="1"/>
      <w:numFmt w:val="decimal"/>
      <w:lvlText w:val="%1."/>
      <w:lvlJc w:val="left"/>
      <w:pPr>
        <w:ind w:left="3054" w:hanging="360"/>
      </w:pPr>
      <w:rPr>
        <w:rFonts w:hint="default"/>
        <w:b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0B986D51"/>
    <w:multiLevelType w:val="hybridMultilevel"/>
    <w:tmpl w:val="39CCBB44"/>
    <w:lvl w:ilvl="0" w:tplc="20F6D468">
      <w:start w:val="14"/>
      <w:numFmt w:val="decimal"/>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6" w15:restartNumberingAfterBreak="0">
    <w:nsid w:val="171E19D8"/>
    <w:multiLevelType w:val="hybridMultilevel"/>
    <w:tmpl w:val="CB5ACAEC"/>
    <w:lvl w:ilvl="0" w:tplc="CB74DE6A">
      <w:start w:val="1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A1A1A23"/>
    <w:multiLevelType w:val="hybridMultilevel"/>
    <w:tmpl w:val="562EB8C6"/>
    <w:lvl w:ilvl="0" w:tplc="2000000F">
      <w:start w:val="1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7864B6"/>
    <w:multiLevelType w:val="hybridMultilevel"/>
    <w:tmpl w:val="CA06D4FE"/>
    <w:lvl w:ilvl="0" w:tplc="FFFFFFFF">
      <w:start w:val="1"/>
      <w:numFmt w:val="decimal"/>
      <w:lvlText w:val="%1."/>
      <w:lvlJc w:val="left"/>
      <w:pPr>
        <w:ind w:left="3054" w:hanging="360"/>
      </w:pPr>
      <w:rPr>
        <w:rFonts w:hint="default"/>
        <w:b w:val="0"/>
        <w:sz w:val="20"/>
        <w:szCs w:val="2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24A80584"/>
    <w:multiLevelType w:val="hybridMultilevel"/>
    <w:tmpl w:val="79ECF11A"/>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B78457D"/>
    <w:multiLevelType w:val="hybridMultilevel"/>
    <w:tmpl w:val="2DD6C490"/>
    <w:lvl w:ilvl="0" w:tplc="33247788">
      <w:start w:val="1"/>
      <w:numFmt w:val="lowerLetter"/>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1" w15:restartNumberingAfterBreak="0">
    <w:nsid w:val="334631BC"/>
    <w:multiLevelType w:val="hybridMultilevel"/>
    <w:tmpl w:val="1C8C9100"/>
    <w:lvl w:ilvl="0" w:tplc="9E3E2BDC">
      <w:start w:val="40"/>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BF85B2C"/>
    <w:multiLevelType w:val="hybridMultilevel"/>
    <w:tmpl w:val="D7E62804"/>
    <w:lvl w:ilvl="0" w:tplc="C7302750">
      <w:start w:val="29"/>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02D4507"/>
    <w:multiLevelType w:val="hybridMultilevel"/>
    <w:tmpl w:val="D0560F6E"/>
    <w:lvl w:ilvl="0" w:tplc="33247788">
      <w:start w:val="1"/>
      <w:numFmt w:val="lowerLetter"/>
      <w:lvlText w:val="(%1)"/>
      <w:lvlJc w:val="left"/>
      <w:pPr>
        <w:ind w:left="5537" w:hanging="360"/>
      </w:pPr>
      <w:rPr>
        <w:rFonts w:hint="default"/>
      </w:rPr>
    </w:lvl>
    <w:lvl w:ilvl="1" w:tplc="08090019" w:tentative="1">
      <w:start w:val="1"/>
      <w:numFmt w:val="lowerLetter"/>
      <w:lvlText w:val="%2."/>
      <w:lvlJc w:val="left"/>
      <w:pPr>
        <w:ind w:left="6257" w:hanging="360"/>
      </w:pPr>
    </w:lvl>
    <w:lvl w:ilvl="2" w:tplc="0809001B" w:tentative="1">
      <w:start w:val="1"/>
      <w:numFmt w:val="lowerRoman"/>
      <w:lvlText w:val="%3."/>
      <w:lvlJc w:val="right"/>
      <w:pPr>
        <w:ind w:left="6977" w:hanging="180"/>
      </w:pPr>
    </w:lvl>
    <w:lvl w:ilvl="3" w:tplc="0809000F" w:tentative="1">
      <w:start w:val="1"/>
      <w:numFmt w:val="decimal"/>
      <w:lvlText w:val="%4."/>
      <w:lvlJc w:val="left"/>
      <w:pPr>
        <w:ind w:left="7697" w:hanging="360"/>
      </w:pPr>
    </w:lvl>
    <w:lvl w:ilvl="4" w:tplc="08090019" w:tentative="1">
      <w:start w:val="1"/>
      <w:numFmt w:val="lowerLetter"/>
      <w:lvlText w:val="%5."/>
      <w:lvlJc w:val="left"/>
      <w:pPr>
        <w:ind w:left="8417" w:hanging="360"/>
      </w:pPr>
    </w:lvl>
    <w:lvl w:ilvl="5" w:tplc="0809001B" w:tentative="1">
      <w:start w:val="1"/>
      <w:numFmt w:val="lowerRoman"/>
      <w:lvlText w:val="%6."/>
      <w:lvlJc w:val="right"/>
      <w:pPr>
        <w:ind w:left="9137" w:hanging="180"/>
      </w:pPr>
    </w:lvl>
    <w:lvl w:ilvl="6" w:tplc="0809000F" w:tentative="1">
      <w:start w:val="1"/>
      <w:numFmt w:val="decimal"/>
      <w:lvlText w:val="%7."/>
      <w:lvlJc w:val="left"/>
      <w:pPr>
        <w:ind w:left="9857" w:hanging="360"/>
      </w:pPr>
    </w:lvl>
    <w:lvl w:ilvl="7" w:tplc="08090019" w:tentative="1">
      <w:start w:val="1"/>
      <w:numFmt w:val="lowerLetter"/>
      <w:lvlText w:val="%8."/>
      <w:lvlJc w:val="left"/>
      <w:pPr>
        <w:ind w:left="10577" w:hanging="360"/>
      </w:pPr>
    </w:lvl>
    <w:lvl w:ilvl="8" w:tplc="0809001B" w:tentative="1">
      <w:start w:val="1"/>
      <w:numFmt w:val="lowerRoman"/>
      <w:lvlText w:val="%9."/>
      <w:lvlJc w:val="right"/>
      <w:pPr>
        <w:ind w:left="11297" w:hanging="180"/>
      </w:pPr>
    </w:lvl>
  </w:abstractNum>
  <w:abstractNum w:abstractNumId="14" w15:restartNumberingAfterBreak="0">
    <w:nsid w:val="41B2060F"/>
    <w:multiLevelType w:val="hybridMultilevel"/>
    <w:tmpl w:val="8670ECF0"/>
    <w:lvl w:ilvl="0" w:tplc="FFFFFFFF">
      <w:start w:val="40"/>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5" w15:restartNumberingAfterBreak="0">
    <w:nsid w:val="45127B97"/>
    <w:multiLevelType w:val="hybridMultilevel"/>
    <w:tmpl w:val="661EF804"/>
    <w:lvl w:ilvl="0" w:tplc="CB74DE6A">
      <w:start w:val="18"/>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16" w15:restartNumberingAfterBreak="0">
    <w:nsid w:val="46586BE3"/>
    <w:multiLevelType w:val="hybridMultilevel"/>
    <w:tmpl w:val="6790566E"/>
    <w:lvl w:ilvl="0" w:tplc="BFB893AA">
      <w:start w:val="15"/>
      <w:numFmt w:val="decimal"/>
      <w:lvlText w:val="%1."/>
      <w:lvlJc w:val="left"/>
      <w:pPr>
        <w:ind w:left="50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7F67EB0"/>
    <w:multiLevelType w:val="hybridMultilevel"/>
    <w:tmpl w:val="F68C225C"/>
    <w:lvl w:ilvl="0" w:tplc="E4504DE0">
      <w:start w:val="10"/>
      <w:numFmt w:val="decimal"/>
      <w:lvlText w:val="%1."/>
      <w:lvlJc w:val="left"/>
      <w:pPr>
        <w:ind w:left="2214" w:hanging="360"/>
      </w:pPr>
      <w:rPr>
        <w:rFonts w:hint="default"/>
      </w:r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18" w15:restartNumberingAfterBreak="0">
    <w:nsid w:val="529610C2"/>
    <w:multiLevelType w:val="hybridMultilevel"/>
    <w:tmpl w:val="0E505106"/>
    <w:lvl w:ilvl="0" w:tplc="FFFFFFFF">
      <w:start w:val="26"/>
      <w:numFmt w:val="decimal"/>
      <w:lvlText w:val="%1."/>
      <w:lvlJc w:val="left"/>
      <w:pPr>
        <w:ind w:left="3054" w:hanging="360"/>
      </w:pPr>
      <w:rPr>
        <w:rFonts w:hint="default"/>
      </w:rPr>
    </w:lvl>
    <w:lvl w:ilvl="1" w:tplc="20000019" w:tentative="1">
      <w:start w:val="1"/>
      <w:numFmt w:val="lowerLetter"/>
      <w:lvlText w:val="%2."/>
      <w:lvlJc w:val="left"/>
      <w:pPr>
        <w:ind w:left="3774" w:hanging="360"/>
      </w:pPr>
    </w:lvl>
    <w:lvl w:ilvl="2" w:tplc="2000001B" w:tentative="1">
      <w:start w:val="1"/>
      <w:numFmt w:val="lowerRoman"/>
      <w:lvlText w:val="%3."/>
      <w:lvlJc w:val="right"/>
      <w:pPr>
        <w:ind w:left="4494" w:hanging="180"/>
      </w:pPr>
    </w:lvl>
    <w:lvl w:ilvl="3" w:tplc="2000000F" w:tentative="1">
      <w:start w:val="1"/>
      <w:numFmt w:val="decimal"/>
      <w:lvlText w:val="%4."/>
      <w:lvlJc w:val="left"/>
      <w:pPr>
        <w:ind w:left="5214" w:hanging="360"/>
      </w:pPr>
    </w:lvl>
    <w:lvl w:ilvl="4" w:tplc="20000019" w:tentative="1">
      <w:start w:val="1"/>
      <w:numFmt w:val="lowerLetter"/>
      <w:lvlText w:val="%5."/>
      <w:lvlJc w:val="left"/>
      <w:pPr>
        <w:ind w:left="5934" w:hanging="360"/>
      </w:pPr>
    </w:lvl>
    <w:lvl w:ilvl="5" w:tplc="2000001B" w:tentative="1">
      <w:start w:val="1"/>
      <w:numFmt w:val="lowerRoman"/>
      <w:lvlText w:val="%6."/>
      <w:lvlJc w:val="right"/>
      <w:pPr>
        <w:ind w:left="6654" w:hanging="180"/>
      </w:pPr>
    </w:lvl>
    <w:lvl w:ilvl="6" w:tplc="2000000F" w:tentative="1">
      <w:start w:val="1"/>
      <w:numFmt w:val="decimal"/>
      <w:lvlText w:val="%7."/>
      <w:lvlJc w:val="left"/>
      <w:pPr>
        <w:ind w:left="7374" w:hanging="360"/>
      </w:pPr>
    </w:lvl>
    <w:lvl w:ilvl="7" w:tplc="20000019" w:tentative="1">
      <w:start w:val="1"/>
      <w:numFmt w:val="lowerLetter"/>
      <w:lvlText w:val="%8."/>
      <w:lvlJc w:val="left"/>
      <w:pPr>
        <w:ind w:left="8094" w:hanging="360"/>
      </w:pPr>
    </w:lvl>
    <w:lvl w:ilvl="8" w:tplc="2000001B" w:tentative="1">
      <w:start w:val="1"/>
      <w:numFmt w:val="lowerRoman"/>
      <w:lvlText w:val="%9."/>
      <w:lvlJc w:val="right"/>
      <w:pPr>
        <w:ind w:left="8814" w:hanging="180"/>
      </w:pPr>
    </w:lvl>
  </w:abstractNum>
  <w:abstractNum w:abstractNumId="19" w15:restartNumberingAfterBreak="0">
    <w:nsid w:val="529A2FA4"/>
    <w:multiLevelType w:val="hybridMultilevel"/>
    <w:tmpl w:val="B5A64CD6"/>
    <w:lvl w:ilvl="0" w:tplc="DA36D7A0">
      <w:start w:val="46"/>
      <w:numFmt w:val="decimal"/>
      <w:lvlText w:val="%1."/>
      <w:lvlJc w:val="left"/>
      <w:pPr>
        <w:ind w:left="360" w:hanging="360"/>
      </w:pPr>
      <w:rPr>
        <w:rFonts w:hint="default"/>
      </w:rPr>
    </w:lvl>
    <w:lvl w:ilvl="1" w:tplc="20000019" w:tentative="1">
      <w:start w:val="1"/>
      <w:numFmt w:val="lowerLetter"/>
      <w:lvlText w:val="%2."/>
      <w:lvlJc w:val="left"/>
      <w:pPr>
        <w:ind w:left="1299" w:hanging="360"/>
      </w:pPr>
    </w:lvl>
    <w:lvl w:ilvl="2" w:tplc="2000001B" w:tentative="1">
      <w:start w:val="1"/>
      <w:numFmt w:val="lowerRoman"/>
      <w:lvlText w:val="%3."/>
      <w:lvlJc w:val="right"/>
      <w:pPr>
        <w:ind w:left="2019" w:hanging="180"/>
      </w:pPr>
    </w:lvl>
    <w:lvl w:ilvl="3" w:tplc="2000000F" w:tentative="1">
      <w:start w:val="1"/>
      <w:numFmt w:val="decimal"/>
      <w:lvlText w:val="%4."/>
      <w:lvlJc w:val="left"/>
      <w:pPr>
        <w:ind w:left="2739" w:hanging="360"/>
      </w:pPr>
    </w:lvl>
    <w:lvl w:ilvl="4" w:tplc="20000019" w:tentative="1">
      <w:start w:val="1"/>
      <w:numFmt w:val="lowerLetter"/>
      <w:lvlText w:val="%5."/>
      <w:lvlJc w:val="left"/>
      <w:pPr>
        <w:ind w:left="3459" w:hanging="360"/>
      </w:pPr>
    </w:lvl>
    <w:lvl w:ilvl="5" w:tplc="2000001B" w:tentative="1">
      <w:start w:val="1"/>
      <w:numFmt w:val="lowerRoman"/>
      <w:lvlText w:val="%6."/>
      <w:lvlJc w:val="right"/>
      <w:pPr>
        <w:ind w:left="4179" w:hanging="180"/>
      </w:pPr>
    </w:lvl>
    <w:lvl w:ilvl="6" w:tplc="2000000F" w:tentative="1">
      <w:start w:val="1"/>
      <w:numFmt w:val="decimal"/>
      <w:lvlText w:val="%7."/>
      <w:lvlJc w:val="left"/>
      <w:pPr>
        <w:ind w:left="4899" w:hanging="360"/>
      </w:pPr>
    </w:lvl>
    <w:lvl w:ilvl="7" w:tplc="20000019" w:tentative="1">
      <w:start w:val="1"/>
      <w:numFmt w:val="lowerLetter"/>
      <w:lvlText w:val="%8."/>
      <w:lvlJc w:val="left"/>
      <w:pPr>
        <w:ind w:left="5619" w:hanging="360"/>
      </w:pPr>
    </w:lvl>
    <w:lvl w:ilvl="8" w:tplc="2000001B" w:tentative="1">
      <w:start w:val="1"/>
      <w:numFmt w:val="lowerRoman"/>
      <w:lvlText w:val="%9."/>
      <w:lvlJc w:val="right"/>
      <w:pPr>
        <w:ind w:left="6339" w:hanging="180"/>
      </w:pPr>
    </w:lvl>
  </w:abstractNum>
  <w:abstractNum w:abstractNumId="20" w15:restartNumberingAfterBreak="0">
    <w:nsid w:val="5480711B"/>
    <w:multiLevelType w:val="hybridMultilevel"/>
    <w:tmpl w:val="2382B45A"/>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55FA2427"/>
    <w:multiLevelType w:val="hybridMultilevel"/>
    <w:tmpl w:val="C492ADD4"/>
    <w:lvl w:ilvl="0" w:tplc="2000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57687608"/>
    <w:multiLevelType w:val="hybridMultilevel"/>
    <w:tmpl w:val="6C3E0716"/>
    <w:lvl w:ilvl="0" w:tplc="5328AA36">
      <w:start w:val="66"/>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3" w15:restartNumberingAfterBreak="0">
    <w:nsid w:val="57B33239"/>
    <w:multiLevelType w:val="hybridMultilevel"/>
    <w:tmpl w:val="BE463722"/>
    <w:lvl w:ilvl="0" w:tplc="332477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8AD1B8B"/>
    <w:multiLevelType w:val="hybridMultilevel"/>
    <w:tmpl w:val="DE3E6B90"/>
    <w:lvl w:ilvl="0" w:tplc="33247788">
      <w:start w:val="1"/>
      <w:numFmt w:val="lowerLetter"/>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5" w15:restartNumberingAfterBreak="0">
    <w:nsid w:val="66285390"/>
    <w:multiLevelType w:val="hybridMultilevel"/>
    <w:tmpl w:val="4F783764"/>
    <w:lvl w:ilvl="0" w:tplc="ADA4D914">
      <w:start w:val="28"/>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6" w15:restartNumberingAfterBreak="0">
    <w:nsid w:val="67A86DA9"/>
    <w:multiLevelType w:val="hybridMultilevel"/>
    <w:tmpl w:val="C17AFE76"/>
    <w:lvl w:ilvl="0" w:tplc="D1DED3AA">
      <w:start w:val="34"/>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7" w15:restartNumberingAfterBreak="0">
    <w:nsid w:val="69314F98"/>
    <w:multiLevelType w:val="hybridMultilevel"/>
    <w:tmpl w:val="85FEE25A"/>
    <w:lvl w:ilvl="0" w:tplc="BFB893AA">
      <w:start w:val="1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698D239A"/>
    <w:multiLevelType w:val="hybridMultilevel"/>
    <w:tmpl w:val="F6244E1E"/>
    <w:lvl w:ilvl="0" w:tplc="CB74DE6A">
      <w:start w:val="1"/>
      <w:numFmt w:val="decimal"/>
      <w:lvlText w:val="%1."/>
      <w:lvlJc w:val="left"/>
      <w:pPr>
        <w:ind w:left="305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10C2DF1"/>
    <w:multiLevelType w:val="hybridMultilevel"/>
    <w:tmpl w:val="454E284E"/>
    <w:lvl w:ilvl="0" w:tplc="4A5407E6">
      <w:start w:val="4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22670E0"/>
    <w:multiLevelType w:val="hybridMultilevel"/>
    <w:tmpl w:val="B736226A"/>
    <w:lvl w:ilvl="0" w:tplc="7D4C6EA8">
      <w:start w:val="10"/>
      <w:numFmt w:val="decimal"/>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1" w15:restartNumberingAfterBreak="0">
    <w:nsid w:val="73961823"/>
    <w:multiLevelType w:val="hybridMultilevel"/>
    <w:tmpl w:val="3C96A61E"/>
    <w:lvl w:ilvl="0" w:tplc="FFFFFFFF">
      <w:start w:val="1"/>
      <w:numFmt w:val="decimal"/>
      <w:lvlText w:val="%1."/>
      <w:lvlJc w:val="left"/>
      <w:pPr>
        <w:ind w:left="1854" w:hanging="360"/>
      </w:pPr>
      <w:rPr>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73A0194E"/>
    <w:multiLevelType w:val="hybridMultilevel"/>
    <w:tmpl w:val="6B285D98"/>
    <w:lvl w:ilvl="0" w:tplc="3324778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73BF3D9C"/>
    <w:multiLevelType w:val="hybridMultilevel"/>
    <w:tmpl w:val="0D8ACFF2"/>
    <w:lvl w:ilvl="0" w:tplc="332477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AC430B"/>
    <w:multiLevelType w:val="hybridMultilevel"/>
    <w:tmpl w:val="E7C65EFC"/>
    <w:lvl w:ilvl="0" w:tplc="D4C2B98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434441880">
    <w:abstractNumId w:val="28"/>
  </w:num>
  <w:num w:numId="2" w16cid:durableId="1001934543">
    <w:abstractNumId w:val="33"/>
  </w:num>
  <w:num w:numId="3" w16cid:durableId="56588219">
    <w:abstractNumId w:val="34"/>
  </w:num>
  <w:num w:numId="4" w16cid:durableId="1694764847">
    <w:abstractNumId w:val="8"/>
  </w:num>
  <w:num w:numId="5" w16cid:durableId="1571425129">
    <w:abstractNumId w:val="15"/>
  </w:num>
  <w:num w:numId="6" w16cid:durableId="191454017">
    <w:abstractNumId w:val="7"/>
  </w:num>
  <w:num w:numId="7" w16cid:durableId="2013754131">
    <w:abstractNumId w:val="9"/>
  </w:num>
  <w:num w:numId="8" w16cid:durableId="261106635">
    <w:abstractNumId w:val="30"/>
  </w:num>
  <w:num w:numId="9" w16cid:durableId="1497962747">
    <w:abstractNumId w:val="25"/>
  </w:num>
  <w:num w:numId="10" w16cid:durableId="18436088">
    <w:abstractNumId w:val="26"/>
  </w:num>
  <w:num w:numId="11" w16cid:durableId="1392924166">
    <w:abstractNumId w:val="31"/>
  </w:num>
  <w:num w:numId="12" w16cid:durableId="414518294">
    <w:abstractNumId w:val="0"/>
  </w:num>
  <w:num w:numId="13" w16cid:durableId="1700928333">
    <w:abstractNumId w:val="17"/>
  </w:num>
  <w:num w:numId="14" w16cid:durableId="82772652">
    <w:abstractNumId w:val="22"/>
  </w:num>
  <w:num w:numId="15" w16cid:durableId="1508595274">
    <w:abstractNumId w:val="4"/>
  </w:num>
  <w:num w:numId="16" w16cid:durableId="124543804">
    <w:abstractNumId w:val="18"/>
  </w:num>
  <w:num w:numId="17" w16cid:durableId="303046010">
    <w:abstractNumId w:val="13"/>
  </w:num>
  <w:num w:numId="18" w16cid:durableId="1476021032">
    <w:abstractNumId w:val="23"/>
  </w:num>
  <w:num w:numId="19" w16cid:durableId="1634015425">
    <w:abstractNumId w:val="14"/>
  </w:num>
  <w:num w:numId="20" w16cid:durableId="1222130862">
    <w:abstractNumId w:val="2"/>
  </w:num>
  <w:num w:numId="21" w16cid:durableId="343215754">
    <w:abstractNumId w:val="6"/>
  </w:num>
  <w:num w:numId="22" w16cid:durableId="1893155856">
    <w:abstractNumId w:val="1"/>
  </w:num>
  <w:num w:numId="23" w16cid:durableId="1271817689">
    <w:abstractNumId w:val="32"/>
  </w:num>
  <w:num w:numId="24" w16cid:durableId="1652514757">
    <w:abstractNumId w:val="20"/>
  </w:num>
  <w:num w:numId="25" w16cid:durableId="630210716">
    <w:abstractNumId w:val="21"/>
  </w:num>
  <w:num w:numId="26" w16cid:durableId="1391002272">
    <w:abstractNumId w:val="24"/>
  </w:num>
  <w:num w:numId="27" w16cid:durableId="1764376944">
    <w:abstractNumId w:val="10"/>
  </w:num>
  <w:num w:numId="28" w16cid:durableId="730352298">
    <w:abstractNumId w:val="5"/>
  </w:num>
  <w:num w:numId="29" w16cid:durableId="742483409">
    <w:abstractNumId w:val="16"/>
  </w:num>
  <w:num w:numId="30" w16cid:durableId="1065184640">
    <w:abstractNumId w:val="3"/>
  </w:num>
  <w:num w:numId="31" w16cid:durableId="863175691">
    <w:abstractNumId w:val="11"/>
  </w:num>
  <w:num w:numId="32" w16cid:durableId="772092697">
    <w:abstractNumId w:val="29"/>
  </w:num>
  <w:num w:numId="33" w16cid:durableId="408623408">
    <w:abstractNumId w:val="27"/>
  </w:num>
  <w:num w:numId="34" w16cid:durableId="1675523305">
    <w:abstractNumId w:val="19"/>
  </w:num>
  <w:num w:numId="35" w16cid:durableId="71970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0F"/>
    <w:rsid w:val="000429D7"/>
    <w:rsid w:val="000524D2"/>
    <w:rsid w:val="0005378E"/>
    <w:rsid w:val="00074A6F"/>
    <w:rsid w:val="00080878"/>
    <w:rsid w:val="00093AE0"/>
    <w:rsid w:val="000A1957"/>
    <w:rsid w:val="000A7423"/>
    <w:rsid w:val="000B37ED"/>
    <w:rsid w:val="000C4F70"/>
    <w:rsid w:val="000E027A"/>
    <w:rsid w:val="000E3B96"/>
    <w:rsid w:val="00102F98"/>
    <w:rsid w:val="00107F57"/>
    <w:rsid w:val="00113BAE"/>
    <w:rsid w:val="0011439A"/>
    <w:rsid w:val="00141D8D"/>
    <w:rsid w:val="00172557"/>
    <w:rsid w:val="00191511"/>
    <w:rsid w:val="001A0CA8"/>
    <w:rsid w:val="001C7916"/>
    <w:rsid w:val="001E7D8F"/>
    <w:rsid w:val="001F2350"/>
    <w:rsid w:val="001F5738"/>
    <w:rsid w:val="0020086C"/>
    <w:rsid w:val="00203F63"/>
    <w:rsid w:val="00216209"/>
    <w:rsid w:val="00222477"/>
    <w:rsid w:val="0023408F"/>
    <w:rsid w:val="00267E66"/>
    <w:rsid w:val="00286CDE"/>
    <w:rsid w:val="0029301C"/>
    <w:rsid w:val="002B3305"/>
    <w:rsid w:val="00317183"/>
    <w:rsid w:val="00331932"/>
    <w:rsid w:val="003506CD"/>
    <w:rsid w:val="00355CEA"/>
    <w:rsid w:val="00367A99"/>
    <w:rsid w:val="0037490F"/>
    <w:rsid w:val="00392E13"/>
    <w:rsid w:val="00393B67"/>
    <w:rsid w:val="003A2FCA"/>
    <w:rsid w:val="003C3050"/>
    <w:rsid w:val="003D6D0B"/>
    <w:rsid w:val="003E299E"/>
    <w:rsid w:val="003F05B1"/>
    <w:rsid w:val="0045354C"/>
    <w:rsid w:val="0046777E"/>
    <w:rsid w:val="004A4ECC"/>
    <w:rsid w:val="004A65AD"/>
    <w:rsid w:val="004C0AFC"/>
    <w:rsid w:val="004C3674"/>
    <w:rsid w:val="00500F5A"/>
    <w:rsid w:val="005369EF"/>
    <w:rsid w:val="0058536C"/>
    <w:rsid w:val="00594869"/>
    <w:rsid w:val="005A75F7"/>
    <w:rsid w:val="005D2D26"/>
    <w:rsid w:val="005D48B9"/>
    <w:rsid w:val="006252AC"/>
    <w:rsid w:val="00626FA1"/>
    <w:rsid w:val="00635DC5"/>
    <w:rsid w:val="00677357"/>
    <w:rsid w:val="006B3883"/>
    <w:rsid w:val="006E0A0A"/>
    <w:rsid w:val="00724C45"/>
    <w:rsid w:val="00777975"/>
    <w:rsid w:val="007B589B"/>
    <w:rsid w:val="007D650A"/>
    <w:rsid w:val="007F0619"/>
    <w:rsid w:val="007F3DAF"/>
    <w:rsid w:val="00817A81"/>
    <w:rsid w:val="00836550"/>
    <w:rsid w:val="00854432"/>
    <w:rsid w:val="008574F9"/>
    <w:rsid w:val="0087076B"/>
    <w:rsid w:val="00874F42"/>
    <w:rsid w:val="008C7C91"/>
    <w:rsid w:val="008D3E8E"/>
    <w:rsid w:val="009129D7"/>
    <w:rsid w:val="00924E29"/>
    <w:rsid w:val="0092650C"/>
    <w:rsid w:val="00932FBE"/>
    <w:rsid w:val="00963A1E"/>
    <w:rsid w:val="009A0C68"/>
    <w:rsid w:val="009F1E53"/>
    <w:rsid w:val="009F6BF3"/>
    <w:rsid w:val="00A765AD"/>
    <w:rsid w:val="00AA6A44"/>
    <w:rsid w:val="00AC7B26"/>
    <w:rsid w:val="00B2108B"/>
    <w:rsid w:val="00B25B81"/>
    <w:rsid w:val="00B37840"/>
    <w:rsid w:val="00B4237E"/>
    <w:rsid w:val="00B82F56"/>
    <w:rsid w:val="00B96F74"/>
    <w:rsid w:val="00BF4174"/>
    <w:rsid w:val="00BF6A20"/>
    <w:rsid w:val="00C0160F"/>
    <w:rsid w:val="00C13AF7"/>
    <w:rsid w:val="00C4439C"/>
    <w:rsid w:val="00C475E6"/>
    <w:rsid w:val="00C601C2"/>
    <w:rsid w:val="00C63915"/>
    <w:rsid w:val="00C672BC"/>
    <w:rsid w:val="00C81E48"/>
    <w:rsid w:val="00C91778"/>
    <w:rsid w:val="00CA054F"/>
    <w:rsid w:val="00CA2837"/>
    <w:rsid w:val="00CA7937"/>
    <w:rsid w:val="00CB4A48"/>
    <w:rsid w:val="00CC4ACF"/>
    <w:rsid w:val="00D07561"/>
    <w:rsid w:val="00D4232F"/>
    <w:rsid w:val="00D45D19"/>
    <w:rsid w:val="00D52744"/>
    <w:rsid w:val="00D60EE5"/>
    <w:rsid w:val="00D80BB2"/>
    <w:rsid w:val="00D837D7"/>
    <w:rsid w:val="00D858BE"/>
    <w:rsid w:val="00D90468"/>
    <w:rsid w:val="00D91770"/>
    <w:rsid w:val="00DB2539"/>
    <w:rsid w:val="00DE0D6E"/>
    <w:rsid w:val="00DE7108"/>
    <w:rsid w:val="00E016BC"/>
    <w:rsid w:val="00E1033A"/>
    <w:rsid w:val="00E110D9"/>
    <w:rsid w:val="00E30FB8"/>
    <w:rsid w:val="00E421D9"/>
    <w:rsid w:val="00E53D3A"/>
    <w:rsid w:val="00E63709"/>
    <w:rsid w:val="00E66824"/>
    <w:rsid w:val="00EB3BB0"/>
    <w:rsid w:val="00EB3BEA"/>
    <w:rsid w:val="00EE0A33"/>
    <w:rsid w:val="00EE0C3B"/>
    <w:rsid w:val="00EE5F51"/>
    <w:rsid w:val="00EE7D0B"/>
    <w:rsid w:val="00F37E63"/>
    <w:rsid w:val="00F46FBA"/>
    <w:rsid w:val="00F67CCA"/>
    <w:rsid w:val="00F77AAE"/>
    <w:rsid w:val="00FA28C6"/>
    <w:rsid w:val="00FE41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4C0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A20"/>
    <w:rPr>
      <w:lang w:val="fr-FR"/>
    </w:rPr>
  </w:style>
  <w:style w:type="paragraph" w:styleId="Heading1">
    <w:name w:val="heading 1"/>
    <w:basedOn w:val="Normal"/>
    <w:next w:val="Normal"/>
    <w:link w:val="Heading1Char"/>
    <w:uiPriority w:val="9"/>
    <w:qFormat/>
    <w:rsid w:val="00E016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subtitle">
    <w:name w:val="sessionsubtitle"/>
    <w:basedOn w:val="DefaultParagraphFont"/>
    <w:rsid w:val="00BF6A20"/>
  </w:style>
  <w:style w:type="character" w:styleId="Hyperlink">
    <w:name w:val="Hyperlink"/>
    <w:basedOn w:val="DefaultParagraphFont"/>
    <w:uiPriority w:val="99"/>
    <w:unhideWhenUsed/>
    <w:rsid w:val="00F46FBA"/>
    <w:rPr>
      <w:color w:val="0000FF" w:themeColor="hyperlink"/>
      <w:u w:val="single"/>
    </w:rPr>
  </w:style>
  <w:style w:type="character" w:styleId="Strong">
    <w:name w:val="Strong"/>
    <w:basedOn w:val="DefaultParagraphFont"/>
    <w:uiPriority w:val="22"/>
    <w:qFormat/>
    <w:rsid w:val="00963A1E"/>
    <w:rPr>
      <w:b/>
      <w:bCs/>
    </w:rPr>
  </w:style>
  <w:style w:type="paragraph" w:styleId="BalloonText">
    <w:name w:val="Balloon Text"/>
    <w:basedOn w:val="Normal"/>
    <w:link w:val="BalloonTextChar"/>
    <w:uiPriority w:val="99"/>
    <w:semiHidden/>
    <w:unhideWhenUsed/>
    <w:rsid w:val="00074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6F"/>
    <w:rPr>
      <w:rFonts w:ascii="Lucida Grande" w:hAnsi="Lucida Grande" w:cs="Lucida Grande"/>
      <w:sz w:val="18"/>
      <w:szCs w:val="18"/>
      <w:lang w:val="fr-FR"/>
    </w:rPr>
  </w:style>
  <w:style w:type="table" w:customStyle="1" w:styleId="TableGridLight1">
    <w:name w:val="Table Grid Light1"/>
    <w:basedOn w:val="TableNormal"/>
    <w:uiPriority w:val="40"/>
    <w:rsid w:val="00F77AAE"/>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24E29"/>
    <w:pPr>
      <w:tabs>
        <w:tab w:val="center" w:pos="4513"/>
        <w:tab w:val="right" w:pos="9026"/>
      </w:tabs>
    </w:pPr>
  </w:style>
  <w:style w:type="character" w:customStyle="1" w:styleId="HeaderChar">
    <w:name w:val="Header Char"/>
    <w:basedOn w:val="DefaultParagraphFont"/>
    <w:link w:val="Header"/>
    <w:uiPriority w:val="99"/>
    <w:rsid w:val="00924E29"/>
    <w:rPr>
      <w:lang w:val="fr-FR"/>
    </w:rPr>
  </w:style>
  <w:style w:type="paragraph" w:styleId="Footer">
    <w:name w:val="footer"/>
    <w:basedOn w:val="Normal"/>
    <w:link w:val="FooterChar"/>
    <w:uiPriority w:val="99"/>
    <w:unhideWhenUsed/>
    <w:rsid w:val="00924E29"/>
    <w:pPr>
      <w:tabs>
        <w:tab w:val="center" w:pos="4513"/>
        <w:tab w:val="right" w:pos="9026"/>
      </w:tabs>
    </w:pPr>
  </w:style>
  <w:style w:type="character" w:customStyle="1" w:styleId="FooterChar">
    <w:name w:val="Footer Char"/>
    <w:basedOn w:val="DefaultParagraphFont"/>
    <w:link w:val="Footer"/>
    <w:uiPriority w:val="99"/>
    <w:rsid w:val="00924E29"/>
    <w:rPr>
      <w:lang w:val="fr-FR"/>
    </w:rPr>
  </w:style>
  <w:style w:type="character" w:styleId="CommentReference">
    <w:name w:val="annotation reference"/>
    <w:basedOn w:val="DefaultParagraphFont"/>
    <w:uiPriority w:val="99"/>
    <w:semiHidden/>
    <w:unhideWhenUsed/>
    <w:rsid w:val="00924E29"/>
    <w:rPr>
      <w:sz w:val="16"/>
      <w:szCs w:val="16"/>
    </w:rPr>
  </w:style>
  <w:style w:type="paragraph" w:styleId="CommentText">
    <w:name w:val="annotation text"/>
    <w:basedOn w:val="Normal"/>
    <w:link w:val="CommentTextChar"/>
    <w:uiPriority w:val="99"/>
    <w:semiHidden/>
    <w:unhideWhenUsed/>
    <w:rsid w:val="00924E29"/>
    <w:rPr>
      <w:sz w:val="20"/>
      <w:szCs w:val="20"/>
    </w:rPr>
  </w:style>
  <w:style w:type="character" w:customStyle="1" w:styleId="CommentTextChar">
    <w:name w:val="Comment Text Char"/>
    <w:basedOn w:val="DefaultParagraphFont"/>
    <w:link w:val="CommentText"/>
    <w:uiPriority w:val="99"/>
    <w:semiHidden/>
    <w:rsid w:val="00924E29"/>
    <w:rPr>
      <w:sz w:val="20"/>
      <w:szCs w:val="20"/>
      <w:lang w:val="fr-FR"/>
    </w:rPr>
  </w:style>
  <w:style w:type="paragraph" w:styleId="CommentSubject">
    <w:name w:val="annotation subject"/>
    <w:basedOn w:val="CommentText"/>
    <w:next w:val="CommentText"/>
    <w:link w:val="CommentSubjectChar"/>
    <w:uiPriority w:val="99"/>
    <w:semiHidden/>
    <w:unhideWhenUsed/>
    <w:rsid w:val="00924E29"/>
    <w:rPr>
      <w:b/>
      <w:bCs/>
    </w:rPr>
  </w:style>
  <w:style w:type="character" w:customStyle="1" w:styleId="CommentSubjectChar">
    <w:name w:val="Comment Subject Char"/>
    <w:basedOn w:val="CommentTextChar"/>
    <w:link w:val="CommentSubject"/>
    <w:uiPriority w:val="99"/>
    <w:semiHidden/>
    <w:rsid w:val="00924E29"/>
    <w:rPr>
      <w:b/>
      <w:bCs/>
      <w:sz w:val="20"/>
      <w:szCs w:val="20"/>
      <w:lang w:val="fr-FR"/>
    </w:rPr>
  </w:style>
  <w:style w:type="paragraph" w:customStyle="1" w:styleId="H23G">
    <w:name w:val="_ H_2/3_G"/>
    <w:basedOn w:val="Normal"/>
    <w:next w:val="Normal"/>
    <w:qFormat/>
    <w:rsid w:val="007D650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ascii="Times New Roman" w:eastAsiaTheme="minorHAnsi" w:hAnsi="Times New Roman" w:cs="Times New Roman"/>
      <w:b/>
      <w:sz w:val="20"/>
      <w:szCs w:val="20"/>
      <w:lang w:val="en-GB"/>
    </w:rPr>
  </w:style>
  <w:style w:type="paragraph" w:customStyle="1" w:styleId="SingleTxtG">
    <w:name w:val="_ Single Txt_G"/>
    <w:basedOn w:val="Normal"/>
    <w:link w:val="SingleTxtGChar"/>
    <w:qFormat/>
    <w:rsid w:val="007D650A"/>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rPr>
  </w:style>
  <w:style w:type="character" w:customStyle="1" w:styleId="SingleTxtGChar">
    <w:name w:val="_ Single Txt_G Char"/>
    <w:link w:val="SingleTxtG"/>
    <w:locked/>
    <w:rsid w:val="007D650A"/>
    <w:rPr>
      <w:rFonts w:ascii="Times New Roman" w:eastAsiaTheme="minorHAnsi" w:hAnsi="Times New Roman" w:cs="Times New Roman"/>
      <w:sz w:val="20"/>
      <w:szCs w:val="20"/>
      <w:lang w:val="en-GB"/>
    </w:rPr>
  </w:style>
  <w:style w:type="paragraph" w:styleId="ListParagraph">
    <w:name w:val="List Paragraph"/>
    <w:basedOn w:val="Normal"/>
    <w:uiPriority w:val="34"/>
    <w:qFormat/>
    <w:rsid w:val="0020086C"/>
    <w:pPr>
      <w:ind w:left="720"/>
      <w:contextualSpacing/>
    </w:pPr>
  </w:style>
  <w:style w:type="character" w:customStyle="1" w:styleId="Heading1Char">
    <w:name w:val="Heading 1 Char"/>
    <w:basedOn w:val="DefaultParagraphFont"/>
    <w:link w:val="Heading1"/>
    <w:uiPriority w:val="9"/>
    <w:rsid w:val="00E016BC"/>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1F5738"/>
    <w:pPr>
      <w:spacing w:line="259" w:lineRule="auto"/>
      <w:outlineLvl w:val="9"/>
    </w:pPr>
    <w:rPr>
      <w:lang w:val="en-US"/>
    </w:rPr>
  </w:style>
  <w:style w:type="paragraph" w:styleId="TOC1">
    <w:name w:val="toc 1"/>
    <w:basedOn w:val="Normal"/>
    <w:next w:val="Normal"/>
    <w:autoRedefine/>
    <w:uiPriority w:val="39"/>
    <w:unhideWhenUsed/>
    <w:rsid w:val="001F5738"/>
    <w:pPr>
      <w:spacing w:after="100"/>
    </w:pPr>
  </w:style>
  <w:style w:type="paragraph" w:styleId="FootnoteText">
    <w:name w:val="footnote text"/>
    <w:basedOn w:val="Normal"/>
    <w:link w:val="FootnoteTextChar"/>
    <w:uiPriority w:val="99"/>
    <w:semiHidden/>
    <w:unhideWhenUsed/>
    <w:rsid w:val="00267E66"/>
    <w:rPr>
      <w:sz w:val="20"/>
      <w:szCs w:val="20"/>
    </w:rPr>
  </w:style>
  <w:style w:type="character" w:customStyle="1" w:styleId="FootnoteTextChar">
    <w:name w:val="Footnote Text Char"/>
    <w:basedOn w:val="DefaultParagraphFont"/>
    <w:link w:val="FootnoteText"/>
    <w:uiPriority w:val="99"/>
    <w:semiHidden/>
    <w:rsid w:val="00267E66"/>
    <w:rPr>
      <w:sz w:val="20"/>
      <w:szCs w:val="20"/>
      <w:lang w:val="fr-FR"/>
    </w:rPr>
  </w:style>
  <w:style w:type="character" w:styleId="FootnoteReference">
    <w:name w:val="footnote reference"/>
    <w:aliases w:val="4_G"/>
    <w:rsid w:val="00267E66"/>
    <w:rPr>
      <w:rFonts w:ascii="Times New Roman" w:hAnsi="Times New Roman"/>
      <w:sz w:val="18"/>
      <w:vertAlign w:val="superscript"/>
    </w:rPr>
  </w:style>
  <w:style w:type="paragraph" w:styleId="Revision">
    <w:name w:val="Revision"/>
    <w:hidden/>
    <w:uiPriority w:val="99"/>
    <w:semiHidden/>
    <w:rsid w:val="004C0AFC"/>
    <w:rPr>
      <w:lang w:val="fr-FR"/>
    </w:rPr>
  </w:style>
  <w:style w:type="character" w:styleId="UnresolvedMention">
    <w:name w:val="Unresolved Mention"/>
    <w:basedOn w:val="DefaultParagraphFont"/>
    <w:uiPriority w:val="99"/>
    <w:rsid w:val="0033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2030">
      <w:bodyDiv w:val="1"/>
      <w:marLeft w:val="0"/>
      <w:marRight w:val="0"/>
      <w:marTop w:val="0"/>
      <w:marBottom w:val="0"/>
      <w:divBdr>
        <w:top w:val="none" w:sz="0" w:space="0" w:color="auto"/>
        <w:left w:val="none" w:sz="0" w:space="0" w:color="auto"/>
        <w:bottom w:val="none" w:sz="0" w:space="0" w:color="auto"/>
        <w:right w:val="none" w:sz="0" w:space="0" w:color="auto"/>
      </w:divBdr>
      <w:divsChild>
        <w:div w:id="122576742">
          <w:marLeft w:val="0"/>
          <w:marRight w:val="0"/>
          <w:marTop w:val="0"/>
          <w:marBottom w:val="0"/>
          <w:divBdr>
            <w:top w:val="none" w:sz="0" w:space="0" w:color="auto"/>
            <w:left w:val="none" w:sz="0" w:space="0" w:color="auto"/>
            <w:bottom w:val="none" w:sz="0" w:space="0" w:color="auto"/>
            <w:right w:val="none" w:sz="0" w:space="0" w:color="auto"/>
          </w:divBdr>
        </w:div>
      </w:divsChild>
    </w:div>
    <w:div w:id="1867980881">
      <w:bodyDiv w:val="1"/>
      <w:marLeft w:val="0"/>
      <w:marRight w:val="0"/>
      <w:marTop w:val="0"/>
      <w:marBottom w:val="0"/>
      <w:divBdr>
        <w:top w:val="none" w:sz="0" w:space="0" w:color="auto"/>
        <w:left w:val="none" w:sz="0" w:space="0" w:color="auto"/>
        <w:bottom w:val="none" w:sz="0" w:space="0" w:color="auto"/>
        <w:right w:val="none" w:sz="0" w:space="0" w:color="auto"/>
      </w:divBdr>
      <w:divsChild>
        <w:div w:id="1214198793">
          <w:marLeft w:val="0"/>
          <w:marRight w:val="0"/>
          <w:marTop w:val="0"/>
          <w:marBottom w:val="0"/>
          <w:divBdr>
            <w:top w:val="none" w:sz="0" w:space="0" w:color="auto"/>
            <w:left w:val="none" w:sz="0" w:space="0" w:color="auto"/>
            <w:bottom w:val="none" w:sz="0" w:space="0" w:color="auto"/>
            <w:right w:val="none" w:sz="0" w:space="0" w:color="auto"/>
          </w:divBdr>
        </w:div>
        <w:div w:id="1659573829">
          <w:marLeft w:val="0"/>
          <w:marRight w:val="0"/>
          <w:marTop w:val="0"/>
          <w:marBottom w:val="0"/>
          <w:divBdr>
            <w:top w:val="none" w:sz="0" w:space="0" w:color="auto"/>
            <w:left w:val="none" w:sz="0" w:space="0" w:color="auto"/>
            <w:bottom w:val="none" w:sz="0" w:space="0" w:color="auto"/>
            <w:right w:val="none" w:sz="0" w:space="0" w:color="auto"/>
          </w:divBdr>
        </w:div>
      </w:divsChild>
    </w:div>
    <w:div w:id="2010476193">
      <w:bodyDiv w:val="1"/>
      <w:marLeft w:val="0"/>
      <w:marRight w:val="0"/>
      <w:marTop w:val="0"/>
      <w:marBottom w:val="0"/>
      <w:divBdr>
        <w:top w:val="none" w:sz="0" w:space="0" w:color="auto"/>
        <w:left w:val="none" w:sz="0" w:space="0" w:color="auto"/>
        <w:bottom w:val="none" w:sz="0" w:space="0" w:color="auto"/>
        <w:right w:val="none" w:sz="0" w:space="0" w:color="auto"/>
      </w:divBdr>
      <w:divsChild>
        <w:div w:id="275410710">
          <w:marLeft w:val="0"/>
          <w:marRight w:val="0"/>
          <w:marTop w:val="0"/>
          <w:marBottom w:val="0"/>
          <w:divBdr>
            <w:top w:val="none" w:sz="0" w:space="0" w:color="auto"/>
            <w:left w:val="none" w:sz="0" w:space="0" w:color="auto"/>
            <w:bottom w:val="none" w:sz="0" w:space="0" w:color="auto"/>
            <w:right w:val="none" w:sz="0" w:space="0" w:color="auto"/>
          </w:divBdr>
        </w:div>
        <w:div w:id="1260990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73&amp;Lan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PRT/CO/4" TargetMode="External"/><Relationship Id="rId3" Type="http://schemas.openxmlformats.org/officeDocument/2006/relationships/hyperlink" Target="https://uhri.ohchr.org/Document/File/29ae7daa-555f-4645-9cc0-cbe1123159d3/0BB61135-6B41-4745-B7E7-D5894F9CAD40" TargetMode="External"/><Relationship Id="rId7" Type="http://schemas.openxmlformats.org/officeDocument/2006/relationships/hyperlink" Target="http://undocs.org/en/E/C.12/2001/10" TargetMode="External"/><Relationship Id="rId2" Type="http://schemas.openxmlformats.org/officeDocument/2006/relationships/hyperlink" Target="https://tbinternet.ohchr.org/_layouts/15/treatybodyexternal/Download.aspx?symbolno=CRPD%2FC%2FCHN%2FCO%2F2-3&amp;Lang=en" TargetMode="External"/><Relationship Id="rId1" Type="http://schemas.openxmlformats.org/officeDocument/2006/relationships/hyperlink" Target="http://undocs.org/en/CRPD/C/CHN/CO/2-3" TargetMode="External"/><Relationship Id="rId6" Type="http://schemas.openxmlformats.org/officeDocument/2006/relationships/hyperlink" Target="http://undocs.org/en/CEDAW/C/PAN/CO/8" TargetMode="External"/><Relationship Id="rId5" Type="http://schemas.openxmlformats.org/officeDocument/2006/relationships/hyperlink" Target="http://undocs.org/en/CEDAW/C/PAN/CO/8" TargetMode="External"/><Relationship Id="rId4" Type="http://schemas.openxmlformats.org/officeDocument/2006/relationships/hyperlink" Target="http://undocs.org/en/E/C.12/LTU/CO/2" TargetMode="External"/><Relationship Id="rId9" Type="http://schemas.openxmlformats.org/officeDocument/2006/relationships/hyperlink" Target="http://undocs.org/en/A/HRC/51/54/Ad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69DB-2837-4F59-A735-785089F9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9</Pages>
  <Words>3106</Words>
  <Characters>17923</Characters>
  <Application>Microsoft Office Word</Application>
  <DocSecurity>0</DocSecurity>
  <Lines>358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Pierobon</dc:creator>
  <cp:keywords/>
  <dc:description/>
  <cp:lastModifiedBy>Mirriam Nthenge</cp:lastModifiedBy>
  <cp:revision>23</cp:revision>
  <cp:lastPrinted>2023-11-28T07:09:00Z</cp:lastPrinted>
  <dcterms:created xsi:type="dcterms:W3CDTF">2023-10-31T07:32:00Z</dcterms:created>
  <dcterms:modified xsi:type="dcterms:W3CDTF">2023-11-28T07:53:00Z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bffd6f0f7e663b31e0f2fb33bd267a607952fcd0acbe6531bc4bbba08961c322</vt:lpwstr>
  </property>
</Properties>
</file>