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C242B" w14:textId="637466EF" w:rsidR="00596713" w:rsidRDefault="00596713" w:rsidP="00596713">
      <w:pPr>
        <w:pStyle w:val="Title"/>
        <w:jc w:val="center"/>
        <w:rPr>
          <w:lang w:val="en-GB"/>
        </w:rPr>
      </w:pPr>
      <w:r w:rsidRPr="001D4A95">
        <w:rPr>
          <w:noProof/>
          <w:lang w:eastAsia="de-CH"/>
        </w:rPr>
        <w:drawing>
          <wp:inline distT="0" distB="0" distL="0" distR="0" wp14:anchorId="53F6C139" wp14:editId="7B6C6A3A">
            <wp:extent cx="5327015" cy="2202511"/>
            <wp:effectExtent l="0" t="0" r="0" b="0"/>
            <wp:docPr id="4" name="Picture 4" descr="Stakeholder Group of Persons with Disabilities for Sustainable Development logo."/>
            <wp:cNvGraphicFramePr/>
            <a:graphic xmlns:a="http://schemas.openxmlformats.org/drawingml/2006/main">
              <a:graphicData uri="http://schemas.openxmlformats.org/drawingml/2006/picture">
                <pic:pic xmlns:pic="http://schemas.openxmlformats.org/drawingml/2006/picture">
                  <pic:nvPicPr>
                    <pic:cNvPr id="1" name="Picture 1" descr="Stakeholder Group of Persons with Disabilities for Sustainable Development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034" cy="2271980"/>
                    </a:xfrm>
                    <a:prstGeom prst="rect">
                      <a:avLst/>
                    </a:prstGeom>
                    <a:noFill/>
                    <a:ln>
                      <a:noFill/>
                    </a:ln>
                  </pic:spPr>
                </pic:pic>
              </a:graphicData>
            </a:graphic>
          </wp:inline>
        </w:drawing>
      </w:r>
    </w:p>
    <w:p w14:paraId="3BE9D3AE" w14:textId="77777777" w:rsidR="00086330" w:rsidRDefault="00086330" w:rsidP="009B669B">
      <w:pPr>
        <w:pStyle w:val="Title"/>
        <w:rPr>
          <w:lang w:val="en-GB"/>
        </w:rPr>
      </w:pPr>
    </w:p>
    <w:p w14:paraId="15485D71" w14:textId="76A53B88" w:rsidR="00894B30" w:rsidRPr="00FD04E7" w:rsidRDefault="00B07B88" w:rsidP="009B669B">
      <w:pPr>
        <w:pStyle w:val="Title"/>
        <w:rPr>
          <w:lang w:val="en-GB"/>
        </w:rPr>
      </w:pPr>
      <w:r w:rsidRPr="00FD04E7">
        <w:rPr>
          <w:lang w:val="en-GB"/>
        </w:rPr>
        <w:t>F</w:t>
      </w:r>
      <w:r w:rsidR="00894B30" w:rsidRPr="00FD04E7">
        <w:rPr>
          <w:lang w:val="en-GB"/>
        </w:rPr>
        <w:t xml:space="preserve">inancing </w:t>
      </w:r>
      <w:r w:rsidR="0024298A" w:rsidRPr="00FD04E7">
        <w:rPr>
          <w:lang w:val="en-GB"/>
        </w:rPr>
        <w:t>rights</w:t>
      </w:r>
      <w:r w:rsidR="00BF0857" w:rsidRPr="00FD04E7">
        <w:rPr>
          <w:lang w:val="en-GB"/>
        </w:rPr>
        <w:t xml:space="preserve"> and </w:t>
      </w:r>
      <w:r w:rsidR="00DF0163" w:rsidRPr="00FD04E7">
        <w:rPr>
          <w:lang w:val="en-GB"/>
        </w:rPr>
        <w:t xml:space="preserve">social </w:t>
      </w:r>
      <w:r w:rsidR="00F55D72" w:rsidRPr="00FD04E7">
        <w:rPr>
          <w:lang w:val="en-GB"/>
        </w:rPr>
        <w:t>justice</w:t>
      </w:r>
      <w:r w:rsidR="00BF0857" w:rsidRPr="00FD04E7">
        <w:rPr>
          <w:lang w:val="en-GB"/>
        </w:rPr>
        <w:t xml:space="preserve"> for</w:t>
      </w:r>
      <w:r w:rsidR="0024298A" w:rsidRPr="00FD04E7">
        <w:rPr>
          <w:lang w:val="en-GB"/>
        </w:rPr>
        <w:t xml:space="preserve"> persons with disabilities in the </w:t>
      </w:r>
      <w:r w:rsidR="00894B30" w:rsidRPr="00FD04E7">
        <w:rPr>
          <w:lang w:val="en-GB"/>
        </w:rPr>
        <w:t>era of COVID</w:t>
      </w:r>
      <w:r w:rsidR="00A97300" w:rsidRPr="00FD04E7">
        <w:rPr>
          <w:lang w:val="en-GB"/>
        </w:rPr>
        <w:t>-</w:t>
      </w:r>
      <w:r w:rsidR="00894B30" w:rsidRPr="00FD04E7">
        <w:rPr>
          <w:lang w:val="en-GB"/>
        </w:rPr>
        <w:t>19 and beyond</w:t>
      </w:r>
    </w:p>
    <w:p w14:paraId="52A30915" w14:textId="77777777" w:rsidR="00A70086" w:rsidRPr="00FD04E7" w:rsidRDefault="00A70086" w:rsidP="00A70086">
      <w:pPr>
        <w:rPr>
          <w:lang w:val="en-GB"/>
        </w:rPr>
      </w:pPr>
    </w:p>
    <w:p w14:paraId="129A6CF5" w14:textId="00CEB575" w:rsidR="009B3B4D" w:rsidRPr="00FD04E7" w:rsidRDefault="009B3B4D" w:rsidP="009B3B4D">
      <w:pPr>
        <w:rPr>
          <w:lang w:val="en-GB"/>
        </w:rPr>
      </w:pPr>
      <w:r w:rsidRPr="00FD04E7">
        <w:rPr>
          <w:lang w:val="en-GB"/>
        </w:rPr>
        <w:t xml:space="preserve">This briefing was written on behalf of the Stakeholder Group of Persons with Disabilities by </w:t>
      </w:r>
      <w:r w:rsidR="006F4A9B" w:rsidRPr="00FD04E7">
        <w:rPr>
          <w:lang w:val="en-GB"/>
        </w:rPr>
        <w:t xml:space="preserve">Polly Meeks and </w:t>
      </w:r>
      <w:r w:rsidRPr="00FD04E7">
        <w:rPr>
          <w:lang w:val="en-GB"/>
        </w:rPr>
        <w:t xml:space="preserve">Dr Elizabeth Lockwood. </w:t>
      </w:r>
    </w:p>
    <w:p w14:paraId="432BCDE4" w14:textId="3D4A1BD6" w:rsidR="008E0681" w:rsidRPr="00FD04E7" w:rsidRDefault="009B3B4D" w:rsidP="009B3B4D">
      <w:pPr>
        <w:rPr>
          <w:lang w:val="en-GB"/>
        </w:rPr>
      </w:pPr>
      <w:r w:rsidRPr="00FD04E7">
        <w:rPr>
          <w:lang w:val="en-GB"/>
        </w:rPr>
        <w:t xml:space="preserve">Contacts: </w:t>
      </w:r>
      <w:hyperlink r:id="rId9" w:history="1">
        <w:r w:rsidR="008E0681" w:rsidRPr="00BB4773">
          <w:rPr>
            <w:rStyle w:val="Hyperlink"/>
            <w:lang w:val="en-GB"/>
          </w:rPr>
          <w:t>polly.meeks@gmail.com</w:t>
        </w:r>
      </w:hyperlink>
      <w:r w:rsidR="008E0681">
        <w:rPr>
          <w:lang w:val="en-GB"/>
        </w:rPr>
        <w:t xml:space="preserve"> and </w:t>
      </w:r>
      <w:hyperlink r:id="rId10" w:history="1">
        <w:r w:rsidR="008E0681" w:rsidRPr="00BB4773">
          <w:rPr>
            <w:rStyle w:val="Hyperlink"/>
            <w:lang w:val="en-GB"/>
          </w:rPr>
          <w:t>Elizabeth.Lockwood@cbm-global.org</w:t>
        </w:r>
      </w:hyperlink>
    </w:p>
    <w:p w14:paraId="14D20FF8" w14:textId="28933430" w:rsidR="009B3B4D" w:rsidRPr="00FD04E7" w:rsidRDefault="009B3B4D" w:rsidP="009B3B4D">
      <w:pPr>
        <w:rPr>
          <w:lang w:val="en-GB"/>
        </w:rPr>
      </w:pPr>
      <w:r w:rsidRPr="00FD04E7">
        <w:rPr>
          <w:lang w:val="en-GB"/>
        </w:rPr>
        <w:t xml:space="preserve">We are very grateful for advice and insights from Bodo Ellmers (Global Policy Forum Europe), Dr Mohammed Ali </w:t>
      </w:r>
      <w:proofErr w:type="spellStart"/>
      <w:r w:rsidRPr="00FD04E7">
        <w:rPr>
          <w:lang w:val="en-GB"/>
        </w:rPr>
        <w:t>Loutfy</w:t>
      </w:r>
      <w:proofErr w:type="spellEnd"/>
      <w:r w:rsidRPr="00FD04E7">
        <w:rPr>
          <w:lang w:val="en-GB"/>
        </w:rPr>
        <w:t xml:space="preserve"> (Disabled Peoples</w:t>
      </w:r>
      <w:r w:rsidR="00FA4303" w:rsidRPr="00FD04E7">
        <w:rPr>
          <w:lang w:val="en-GB"/>
        </w:rPr>
        <w:t>’</w:t>
      </w:r>
      <w:r w:rsidRPr="00FD04E7">
        <w:rPr>
          <w:lang w:val="en-GB"/>
        </w:rPr>
        <w:t xml:space="preserve"> International), </w:t>
      </w:r>
      <w:r w:rsidR="00CF5802" w:rsidRPr="00FD04E7">
        <w:rPr>
          <w:lang w:val="en-GB"/>
        </w:rPr>
        <w:t xml:space="preserve">and </w:t>
      </w:r>
      <w:r w:rsidRPr="00FD04E7">
        <w:rPr>
          <w:lang w:val="en-GB"/>
        </w:rPr>
        <w:t xml:space="preserve">Ambrose </w:t>
      </w:r>
      <w:proofErr w:type="spellStart"/>
      <w:r w:rsidRPr="00FD04E7">
        <w:rPr>
          <w:lang w:val="en-GB"/>
        </w:rPr>
        <w:t>Murangira</w:t>
      </w:r>
      <w:proofErr w:type="spellEnd"/>
      <w:r w:rsidRPr="00FD04E7">
        <w:rPr>
          <w:lang w:val="en-GB"/>
        </w:rPr>
        <w:t xml:space="preserve"> (Light for the World</w:t>
      </w:r>
      <w:r w:rsidR="00CF5802" w:rsidRPr="00FD04E7">
        <w:rPr>
          <w:lang w:val="en-GB"/>
        </w:rPr>
        <w:t>)</w:t>
      </w:r>
      <w:r w:rsidRPr="00FD04E7">
        <w:rPr>
          <w:lang w:val="en-GB"/>
        </w:rPr>
        <w:t>. The briefing has also taken inspiration from the work of Alex Côte (</w:t>
      </w:r>
      <w:proofErr w:type="spellStart"/>
      <w:r w:rsidRPr="00FD04E7">
        <w:rPr>
          <w:lang w:val="en-GB"/>
        </w:rPr>
        <w:t>Center</w:t>
      </w:r>
      <w:proofErr w:type="spellEnd"/>
      <w:r w:rsidRPr="00FD04E7">
        <w:rPr>
          <w:lang w:val="en-GB"/>
        </w:rPr>
        <w:t xml:space="preserve"> for Inclusive Policy). </w:t>
      </w:r>
    </w:p>
    <w:p w14:paraId="6980F095" w14:textId="64CD6F0D" w:rsidR="009B3B4D" w:rsidRPr="00FD04E7" w:rsidRDefault="009B3B4D" w:rsidP="009B3B4D">
      <w:pPr>
        <w:rPr>
          <w:lang w:val="en-GB"/>
        </w:rPr>
      </w:pPr>
      <w:r w:rsidRPr="00FD04E7">
        <w:rPr>
          <w:lang w:val="en-GB"/>
        </w:rPr>
        <w:t>All errors or omissions are the responsibility of the authors.</w:t>
      </w:r>
    </w:p>
    <w:p w14:paraId="382A29D4" w14:textId="44937744" w:rsidR="00E44D5A" w:rsidRPr="00FD04E7" w:rsidRDefault="00E44D5A">
      <w:pPr>
        <w:rPr>
          <w:lang w:val="en-GB"/>
        </w:rPr>
      </w:pPr>
      <w:r w:rsidRPr="00FD04E7">
        <w:rPr>
          <w:lang w:val="en-GB"/>
        </w:rPr>
        <w:br w:type="page"/>
      </w:r>
    </w:p>
    <w:sdt>
      <w:sdtPr>
        <w:rPr>
          <w:rFonts w:asciiTheme="minorHAnsi" w:eastAsiaTheme="minorHAnsi" w:hAnsiTheme="minorHAnsi" w:cstheme="minorBidi"/>
          <w:color w:val="auto"/>
          <w:sz w:val="22"/>
          <w:szCs w:val="22"/>
          <w:lang w:val="en-GB"/>
        </w:rPr>
        <w:id w:val="1344744088"/>
        <w:docPartObj>
          <w:docPartGallery w:val="Table of Contents"/>
          <w:docPartUnique/>
        </w:docPartObj>
      </w:sdtPr>
      <w:sdtEndPr>
        <w:rPr>
          <w:b/>
          <w:bCs/>
          <w:noProof/>
        </w:rPr>
      </w:sdtEndPr>
      <w:sdtContent>
        <w:p w14:paraId="37F58BA9" w14:textId="2F173331" w:rsidR="00E44D5A" w:rsidRPr="00FD04E7" w:rsidRDefault="00E44D5A">
          <w:pPr>
            <w:pStyle w:val="TOCHeading"/>
            <w:rPr>
              <w:lang w:val="en-GB"/>
            </w:rPr>
          </w:pPr>
          <w:r w:rsidRPr="00FD04E7">
            <w:rPr>
              <w:lang w:val="en-GB"/>
            </w:rPr>
            <w:t>Contents</w:t>
          </w:r>
        </w:p>
        <w:p w14:paraId="202150B6" w14:textId="042293C5" w:rsidR="00496260" w:rsidRPr="00FD04E7" w:rsidRDefault="00E44D5A">
          <w:pPr>
            <w:pStyle w:val="TOC1"/>
            <w:tabs>
              <w:tab w:val="right" w:leader="dot" w:pos="9016"/>
            </w:tabs>
            <w:rPr>
              <w:rFonts w:eastAsiaTheme="minorEastAsia"/>
              <w:noProof/>
              <w:lang w:val="en-GB" w:eastAsia="fr-FR"/>
            </w:rPr>
          </w:pPr>
          <w:r w:rsidRPr="00FD04E7">
            <w:rPr>
              <w:lang w:val="en-GB"/>
            </w:rPr>
            <w:fldChar w:fldCharType="begin"/>
          </w:r>
          <w:r w:rsidRPr="00FD04E7">
            <w:rPr>
              <w:lang w:val="en-GB"/>
            </w:rPr>
            <w:instrText xml:space="preserve"> TOC \o "1-3" \h \z \u </w:instrText>
          </w:r>
          <w:r w:rsidRPr="00FD04E7">
            <w:rPr>
              <w:lang w:val="en-GB"/>
            </w:rPr>
            <w:fldChar w:fldCharType="separate"/>
          </w:r>
          <w:hyperlink w:anchor="_Toc63089188" w:history="1">
            <w:r w:rsidR="00496260" w:rsidRPr="00FD04E7">
              <w:rPr>
                <w:rStyle w:val="Hyperlink"/>
                <w:noProof/>
                <w:lang w:val="en-GB"/>
              </w:rPr>
              <w:t>Summary</w:t>
            </w:r>
            <w:r w:rsidR="00496260" w:rsidRPr="00FD04E7">
              <w:rPr>
                <w:noProof/>
                <w:webHidden/>
                <w:lang w:val="en-GB"/>
              </w:rPr>
              <w:tab/>
            </w:r>
            <w:r w:rsidR="00496260" w:rsidRPr="00FD04E7">
              <w:rPr>
                <w:noProof/>
                <w:webHidden/>
                <w:lang w:val="en-GB"/>
              </w:rPr>
              <w:fldChar w:fldCharType="begin"/>
            </w:r>
            <w:r w:rsidR="00496260" w:rsidRPr="00FD04E7">
              <w:rPr>
                <w:noProof/>
                <w:webHidden/>
                <w:lang w:val="en-GB"/>
              </w:rPr>
              <w:instrText xml:space="preserve"> PAGEREF _Toc63089188 \h </w:instrText>
            </w:r>
            <w:r w:rsidR="00496260" w:rsidRPr="00FD04E7">
              <w:rPr>
                <w:noProof/>
                <w:webHidden/>
                <w:lang w:val="en-GB"/>
              </w:rPr>
            </w:r>
            <w:r w:rsidR="00496260" w:rsidRPr="00FD04E7">
              <w:rPr>
                <w:noProof/>
                <w:webHidden/>
                <w:lang w:val="en-GB"/>
              </w:rPr>
              <w:fldChar w:fldCharType="separate"/>
            </w:r>
            <w:r w:rsidR="00496260" w:rsidRPr="00FD04E7">
              <w:rPr>
                <w:noProof/>
                <w:webHidden/>
                <w:lang w:val="en-GB"/>
              </w:rPr>
              <w:t>3</w:t>
            </w:r>
            <w:r w:rsidR="00496260" w:rsidRPr="00FD04E7">
              <w:rPr>
                <w:noProof/>
                <w:webHidden/>
                <w:lang w:val="en-GB"/>
              </w:rPr>
              <w:fldChar w:fldCharType="end"/>
            </w:r>
          </w:hyperlink>
        </w:p>
        <w:p w14:paraId="392224CB" w14:textId="5A7C682C" w:rsidR="00496260" w:rsidRPr="00FD04E7" w:rsidRDefault="0032744F">
          <w:pPr>
            <w:pStyle w:val="TOC1"/>
            <w:tabs>
              <w:tab w:val="left" w:pos="440"/>
              <w:tab w:val="right" w:leader="dot" w:pos="9016"/>
            </w:tabs>
            <w:rPr>
              <w:rFonts w:eastAsiaTheme="minorEastAsia"/>
              <w:noProof/>
              <w:lang w:val="en-GB" w:eastAsia="fr-FR"/>
            </w:rPr>
          </w:pPr>
          <w:hyperlink w:anchor="_Toc63089189" w:history="1">
            <w:r w:rsidR="00496260" w:rsidRPr="00FD04E7">
              <w:rPr>
                <w:rStyle w:val="Hyperlink"/>
                <w:noProof/>
                <w:lang w:val="en-GB"/>
              </w:rPr>
              <w:t>1.</w:t>
            </w:r>
            <w:r w:rsidR="00496260" w:rsidRPr="00FD04E7">
              <w:rPr>
                <w:rFonts w:eastAsiaTheme="minorEastAsia"/>
                <w:noProof/>
                <w:lang w:val="en-GB" w:eastAsia="fr-FR"/>
              </w:rPr>
              <w:tab/>
            </w:r>
            <w:r w:rsidR="00496260" w:rsidRPr="00FD04E7">
              <w:rPr>
                <w:rStyle w:val="Hyperlink"/>
                <w:noProof/>
                <w:lang w:val="en-GB"/>
              </w:rPr>
              <w:t>Introduction</w:t>
            </w:r>
            <w:r w:rsidR="00496260" w:rsidRPr="00FD04E7">
              <w:rPr>
                <w:noProof/>
                <w:webHidden/>
                <w:lang w:val="en-GB"/>
              </w:rPr>
              <w:tab/>
            </w:r>
            <w:r w:rsidR="00496260" w:rsidRPr="00FD04E7">
              <w:rPr>
                <w:noProof/>
                <w:webHidden/>
                <w:lang w:val="en-GB"/>
              </w:rPr>
              <w:fldChar w:fldCharType="begin"/>
            </w:r>
            <w:r w:rsidR="00496260" w:rsidRPr="00FD04E7">
              <w:rPr>
                <w:noProof/>
                <w:webHidden/>
                <w:lang w:val="en-GB"/>
              </w:rPr>
              <w:instrText xml:space="preserve"> PAGEREF _Toc63089189 \h </w:instrText>
            </w:r>
            <w:r w:rsidR="00496260" w:rsidRPr="00FD04E7">
              <w:rPr>
                <w:noProof/>
                <w:webHidden/>
                <w:lang w:val="en-GB"/>
              </w:rPr>
            </w:r>
            <w:r w:rsidR="00496260" w:rsidRPr="00FD04E7">
              <w:rPr>
                <w:noProof/>
                <w:webHidden/>
                <w:lang w:val="en-GB"/>
              </w:rPr>
              <w:fldChar w:fldCharType="separate"/>
            </w:r>
            <w:r w:rsidR="00496260" w:rsidRPr="00FD04E7">
              <w:rPr>
                <w:noProof/>
                <w:webHidden/>
                <w:lang w:val="en-GB"/>
              </w:rPr>
              <w:t>3</w:t>
            </w:r>
            <w:r w:rsidR="00496260" w:rsidRPr="00FD04E7">
              <w:rPr>
                <w:noProof/>
                <w:webHidden/>
                <w:lang w:val="en-GB"/>
              </w:rPr>
              <w:fldChar w:fldCharType="end"/>
            </w:r>
          </w:hyperlink>
        </w:p>
        <w:p w14:paraId="6DEA4EF1" w14:textId="2E8C311D" w:rsidR="00496260" w:rsidRPr="00FD04E7" w:rsidRDefault="0032744F">
          <w:pPr>
            <w:pStyle w:val="TOC2"/>
            <w:tabs>
              <w:tab w:val="left" w:pos="880"/>
              <w:tab w:val="right" w:leader="dot" w:pos="9016"/>
            </w:tabs>
            <w:rPr>
              <w:rFonts w:eastAsiaTheme="minorEastAsia"/>
              <w:noProof/>
              <w:lang w:val="en-GB" w:eastAsia="fr-FR"/>
            </w:rPr>
          </w:pPr>
          <w:hyperlink w:anchor="_Toc63089190" w:history="1">
            <w:r w:rsidR="00496260" w:rsidRPr="00FD04E7">
              <w:rPr>
                <w:rStyle w:val="Hyperlink"/>
                <w:noProof/>
                <w:lang w:val="en-GB"/>
              </w:rPr>
              <w:t>1.1</w:t>
            </w:r>
            <w:r w:rsidR="00496260" w:rsidRPr="00FD04E7">
              <w:rPr>
                <w:rFonts w:eastAsiaTheme="minorEastAsia"/>
                <w:noProof/>
                <w:lang w:val="en-GB" w:eastAsia="fr-FR"/>
              </w:rPr>
              <w:tab/>
            </w:r>
            <w:r w:rsidR="00496260" w:rsidRPr="00FD04E7">
              <w:rPr>
                <w:rStyle w:val="Hyperlink"/>
                <w:noProof/>
                <w:lang w:val="en-GB"/>
              </w:rPr>
              <w:t>Purpose of this briefing</w:t>
            </w:r>
            <w:r w:rsidR="00496260" w:rsidRPr="00FD04E7">
              <w:rPr>
                <w:noProof/>
                <w:webHidden/>
                <w:lang w:val="en-GB"/>
              </w:rPr>
              <w:tab/>
            </w:r>
            <w:r w:rsidR="00496260" w:rsidRPr="00FD04E7">
              <w:rPr>
                <w:noProof/>
                <w:webHidden/>
                <w:lang w:val="en-GB"/>
              </w:rPr>
              <w:fldChar w:fldCharType="begin"/>
            </w:r>
            <w:r w:rsidR="00496260" w:rsidRPr="00FD04E7">
              <w:rPr>
                <w:noProof/>
                <w:webHidden/>
                <w:lang w:val="en-GB"/>
              </w:rPr>
              <w:instrText xml:space="preserve"> PAGEREF _Toc63089190 \h </w:instrText>
            </w:r>
            <w:r w:rsidR="00496260" w:rsidRPr="00FD04E7">
              <w:rPr>
                <w:noProof/>
                <w:webHidden/>
                <w:lang w:val="en-GB"/>
              </w:rPr>
            </w:r>
            <w:r w:rsidR="00496260" w:rsidRPr="00FD04E7">
              <w:rPr>
                <w:noProof/>
                <w:webHidden/>
                <w:lang w:val="en-GB"/>
              </w:rPr>
              <w:fldChar w:fldCharType="separate"/>
            </w:r>
            <w:r w:rsidR="00496260" w:rsidRPr="00FD04E7">
              <w:rPr>
                <w:noProof/>
                <w:webHidden/>
                <w:lang w:val="en-GB"/>
              </w:rPr>
              <w:t>3</w:t>
            </w:r>
            <w:r w:rsidR="00496260" w:rsidRPr="00FD04E7">
              <w:rPr>
                <w:noProof/>
                <w:webHidden/>
                <w:lang w:val="en-GB"/>
              </w:rPr>
              <w:fldChar w:fldCharType="end"/>
            </w:r>
          </w:hyperlink>
        </w:p>
        <w:p w14:paraId="50E37387" w14:textId="65A44F29" w:rsidR="00496260" w:rsidRPr="00FD04E7" w:rsidRDefault="0032744F">
          <w:pPr>
            <w:pStyle w:val="TOC2"/>
            <w:tabs>
              <w:tab w:val="left" w:pos="880"/>
              <w:tab w:val="right" w:leader="dot" w:pos="9016"/>
            </w:tabs>
            <w:rPr>
              <w:rFonts w:eastAsiaTheme="minorEastAsia"/>
              <w:noProof/>
              <w:lang w:val="en-GB" w:eastAsia="fr-FR"/>
            </w:rPr>
          </w:pPr>
          <w:hyperlink w:anchor="_Toc63089191" w:history="1">
            <w:r w:rsidR="00496260" w:rsidRPr="00FD04E7">
              <w:rPr>
                <w:rStyle w:val="Hyperlink"/>
                <w:noProof/>
                <w:lang w:val="en-GB"/>
              </w:rPr>
              <w:t>1.2</w:t>
            </w:r>
            <w:r w:rsidR="00496260" w:rsidRPr="00FD04E7">
              <w:rPr>
                <w:rFonts w:eastAsiaTheme="minorEastAsia"/>
                <w:noProof/>
                <w:lang w:val="en-GB" w:eastAsia="fr-FR"/>
              </w:rPr>
              <w:tab/>
            </w:r>
            <w:r w:rsidR="00496260" w:rsidRPr="00FD04E7">
              <w:rPr>
                <w:rStyle w:val="Hyperlink"/>
                <w:noProof/>
                <w:lang w:val="en-GB"/>
              </w:rPr>
              <w:t>Persons with disabilities are among the hardest hit by COVID-19</w:t>
            </w:r>
            <w:r w:rsidR="00496260" w:rsidRPr="00FD04E7">
              <w:rPr>
                <w:noProof/>
                <w:webHidden/>
                <w:lang w:val="en-GB"/>
              </w:rPr>
              <w:tab/>
            </w:r>
            <w:r w:rsidR="00496260" w:rsidRPr="00FD04E7">
              <w:rPr>
                <w:noProof/>
                <w:webHidden/>
                <w:lang w:val="en-GB"/>
              </w:rPr>
              <w:fldChar w:fldCharType="begin"/>
            </w:r>
            <w:r w:rsidR="00496260" w:rsidRPr="00FD04E7">
              <w:rPr>
                <w:noProof/>
                <w:webHidden/>
                <w:lang w:val="en-GB"/>
              </w:rPr>
              <w:instrText xml:space="preserve"> PAGEREF _Toc63089191 \h </w:instrText>
            </w:r>
            <w:r w:rsidR="00496260" w:rsidRPr="00FD04E7">
              <w:rPr>
                <w:noProof/>
                <w:webHidden/>
                <w:lang w:val="en-GB"/>
              </w:rPr>
            </w:r>
            <w:r w:rsidR="00496260" w:rsidRPr="00FD04E7">
              <w:rPr>
                <w:noProof/>
                <w:webHidden/>
                <w:lang w:val="en-GB"/>
              </w:rPr>
              <w:fldChar w:fldCharType="separate"/>
            </w:r>
            <w:r w:rsidR="00496260" w:rsidRPr="00FD04E7">
              <w:rPr>
                <w:noProof/>
                <w:webHidden/>
                <w:lang w:val="en-GB"/>
              </w:rPr>
              <w:t>4</w:t>
            </w:r>
            <w:r w:rsidR="00496260" w:rsidRPr="00FD04E7">
              <w:rPr>
                <w:noProof/>
                <w:webHidden/>
                <w:lang w:val="en-GB"/>
              </w:rPr>
              <w:fldChar w:fldCharType="end"/>
            </w:r>
          </w:hyperlink>
        </w:p>
        <w:p w14:paraId="40D3E52C" w14:textId="60F0CDC2" w:rsidR="00496260" w:rsidRPr="00FD04E7" w:rsidRDefault="0032744F">
          <w:pPr>
            <w:pStyle w:val="TOC1"/>
            <w:tabs>
              <w:tab w:val="left" w:pos="440"/>
              <w:tab w:val="right" w:leader="dot" w:pos="9016"/>
            </w:tabs>
            <w:rPr>
              <w:rFonts w:eastAsiaTheme="minorEastAsia"/>
              <w:noProof/>
              <w:lang w:val="en-GB" w:eastAsia="fr-FR"/>
            </w:rPr>
          </w:pPr>
          <w:hyperlink w:anchor="_Toc63089192" w:history="1">
            <w:r w:rsidR="00496260" w:rsidRPr="00FD04E7">
              <w:rPr>
                <w:rStyle w:val="Hyperlink"/>
                <w:noProof/>
                <w:lang w:val="en-GB"/>
              </w:rPr>
              <w:t>2.</w:t>
            </w:r>
            <w:r w:rsidR="00496260" w:rsidRPr="00FD04E7">
              <w:rPr>
                <w:rFonts w:eastAsiaTheme="minorEastAsia"/>
                <w:noProof/>
                <w:lang w:val="en-GB" w:eastAsia="fr-FR"/>
              </w:rPr>
              <w:tab/>
            </w:r>
            <w:r w:rsidR="00496260" w:rsidRPr="00FD04E7">
              <w:rPr>
                <w:rStyle w:val="Hyperlink"/>
                <w:noProof/>
                <w:lang w:val="en-GB"/>
              </w:rPr>
              <w:t>Quantity of spending</w:t>
            </w:r>
            <w:r w:rsidR="00496260" w:rsidRPr="00FD04E7">
              <w:rPr>
                <w:noProof/>
                <w:webHidden/>
                <w:lang w:val="en-GB"/>
              </w:rPr>
              <w:tab/>
            </w:r>
            <w:r w:rsidR="00496260" w:rsidRPr="00FD04E7">
              <w:rPr>
                <w:noProof/>
                <w:webHidden/>
                <w:lang w:val="en-GB"/>
              </w:rPr>
              <w:fldChar w:fldCharType="begin"/>
            </w:r>
            <w:r w:rsidR="00496260" w:rsidRPr="00FD04E7">
              <w:rPr>
                <w:noProof/>
                <w:webHidden/>
                <w:lang w:val="en-GB"/>
              </w:rPr>
              <w:instrText xml:space="preserve"> PAGEREF _Toc63089192 \h </w:instrText>
            </w:r>
            <w:r w:rsidR="00496260" w:rsidRPr="00FD04E7">
              <w:rPr>
                <w:noProof/>
                <w:webHidden/>
                <w:lang w:val="en-GB"/>
              </w:rPr>
            </w:r>
            <w:r w:rsidR="00496260" w:rsidRPr="00FD04E7">
              <w:rPr>
                <w:noProof/>
                <w:webHidden/>
                <w:lang w:val="en-GB"/>
              </w:rPr>
              <w:fldChar w:fldCharType="separate"/>
            </w:r>
            <w:r w:rsidR="00496260" w:rsidRPr="00FD04E7">
              <w:rPr>
                <w:noProof/>
                <w:webHidden/>
                <w:lang w:val="en-GB"/>
              </w:rPr>
              <w:t>6</w:t>
            </w:r>
            <w:r w:rsidR="00496260" w:rsidRPr="00FD04E7">
              <w:rPr>
                <w:noProof/>
                <w:webHidden/>
                <w:lang w:val="en-GB"/>
              </w:rPr>
              <w:fldChar w:fldCharType="end"/>
            </w:r>
          </w:hyperlink>
        </w:p>
        <w:p w14:paraId="1C0BAEBD" w14:textId="760FEE55" w:rsidR="00496260" w:rsidRPr="00FD04E7" w:rsidRDefault="0032744F">
          <w:pPr>
            <w:pStyle w:val="TOC2"/>
            <w:tabs>
              <w:tab w:val="right" w:leader="dot" w:pos="9016"/>
            </w:tabs>
            <w:rPr>
              <w:rFonts w:eastAsiaTheme="minorEastAsia"/>
              <w:noProof/>
              <w:lang w:val="en-GB" w:eastAsia="fr-FR"/>
            </w:rPr>
          </w:pPr>
          <w:hyperlink w:anchor="_Toc63089193" w:history="1">
            <w:r w:rsidR="00496260" w:rsidRPr="00FD04E7">
              <w:rPr>
                <w:rStyle w:val="Hyperlink"/>
                <w:noProof/>
                <w:lang w:val="en-GB"/>
              </w:rPr>
              <w:t>2.1 The need for dedicated resources to realise rights and social justice for persons with disabilities</w:t>
            </w:r>
            <w:r w:rsidR="00496260" w:rsidRPr="00FD04E7">
              <w:rPr>
                <w:noProof/>
                <w:webHidden/>
                <w:lang w:val="en-GB"/>
              </w:rPr>
              <w:tab/>
            </w:r>
            <w:r w:rsidR="00496260" w:rsidRPr="00FD04E7">
              <w:rPr>
                <w:noProof/>
                <w:webHidden/>
                <w:lang w:val="en-GB"/>
              </w:rPr>
              <w:fldChar w:fldCharType="begin"/>
            </w:r>
            <w:r w:rsidR="00496260" w:rsidRPr="00FD04E7">
              <w:rPr>
                <w:noProof/>
                <w:webHidden/>
                <w:lang w:val="en-GB"/>
              </w:rPr>
              <w:instrText xml:space="preserve"> PAGEREF _Toc63089193 \h </w:instrText>
            </w:r>
            <w:r w:rsidR="00496260" w:rsidRPr="00FD04E7">
              <w:rPr>
                <w:noProof/>
                <w:webHidden/>
                <w:lang w:val="en-GB"/>
              </w:rPr>
            </w:r>
            <w:r w:rsidR="00496260" w:rsidRPr="00FD04E7">
              <w:rPr>
                <w:noProof/>
                <w:webHidden/>
                <w:lang w:val="en-GB"/>
              </w:rPr>
              <w:fldChar w:fldCharType="separate"/>
            </w:r>
            <w:r w:rsidR="00496260" w:rsidRPr="00FD04E7">
              <w:rPr>
                <w:noProof/>
                <w:webHidden/>
                <w:lang w:val="en-GB"/>
              </w:rPr>
              <w:t>6</w:t>
            </w:r>
            <w:r w:rsidR="00496260" w:rsidRPr="00FD04E7">
              <w:rPr>
                <w:noProof/>
                <w:webHidden/>
                <w:lang w:val="en-GB"/>
              </w:rPr>
              <w:fldChar w:fldCharType="end"/>
            </w:r>
          </w:hyperlink>
        </w:p>
        <w:p w14:paraId="073B55C4" w14:textId="5F28EE81" w:rsidR="00496260" w:rsidRPr="00FD04E7" w:rsidRDefault="0032744F">
          <w:pPr>
            <w:pStyle w:val="TOC2"/>
            <w:tabs>
              <w:tab w:val="right" w:leader="dot" w:pos="9016"/>
            </w:tabs>
            <w:rPr>
              <w:rFonts w:eastAsiaTheme="minorEastAsia"/>
              <w:noProof/>
              <w:lang w:val="en-GB" w:eastAsia="fr-FR"/>
            </w:rPr>
          </w:pPr>
          <w:hyperlink w:anchor="_Toc63089194" w:history="1">
            <w:r w:rsidR="00496260" w:rsidRPr="00FD04E7">
              <w:rPr>
                <w:rStyle w:val="Hyperlink"/>
                <w:noProof/>
                <w:lang w:val="en-GB"/>
              </w:rPr>
              <w:t>2.2 Allocating resources to realise rights and social justice for persons with disabilities</w:t>
            </w:r>
            <w:r w:rsidR="00496260" w:rsidRPr="00FD04E7">
              <w:rPr>
                <w:noProof/>
                <w:webHidden/>
                <w:lang w:val="en-GB"/>
              </w:rPr>
              <w:tab/>
            </w:r>
            <w:r w:rsidR="00496260" w:rsidRPr="00FD04E7">
              <w:rPr>
                <w:noProof/>
                <w:webHidden/>
                <w:lang w:val="en-GB"/>
              </w:rPr>
              <w:fldChar w:fldCharType="begin"/>
            </w:r>
            <w:r w:rsidR="00496260" w:rsidRPr="00FD04E7">
              <w:rPr>
                <w:noProof/>
                <w:webHidden/>
                <w:lang w:val="en-GB"/>
              </w:rPr>
              <w:instrText xml:space="preserve"> PAGEREF _Toc63089194 \h </w:instrText>
            </w:r>
            <w:r w:rsidR="00496260" w:rsidRPr="00FD04E7">
              <w:rPr>
                <w:noProof/>
                <w:webHidden/>
                <w:lang w:val="en-GB"/>
              </w:rPr>
            </w:r>
            <w:r w:rsidR="00496260" w:rsidRPr="00FD04E7">
              <w:rPr>
                <w:noProof/>
                <w:webHidden/>
                <w:lang w:val="en-GB"/>
              </w:rPr>
              <w:fldChar w:fldCharType="separate"/>
            </w:r>
            <w:r w:rsidR="00496260" w:rsidRPr="00FD04E7">
              <w:rPr>
                <w:noProof/>
                <w:webHidden/>
                <w:lang w:val="en-GB"/>
              </w:rPr>
              <w:t>8</w:t>
            </w:r>
            <w:r w:rsidR="00496260" w:rsidRPr="00FD04E7">
              <w:rPr>
                <w:noProof/>
                <w:webHidden/>
                <w:lang w:val="en-GB"/>
              </w:rPr>
              <w:fldChar w:fldCharType="end"/>
            </w:r>
          </w:hyperlink>
        </w:p>
        <w:p w14:paraId="0A55F029" w14:textId="1A7E9F94" w:rsidR="00496260" w:rsidRPr="00FD04E7" w:rsidRDefault="0032744F">
          <w:pPr>
            <w:pStyle w:val="TOC2"/>
            <w:tabs>
              <w:tab w:val="right" w:leader="dot" w:pos="9016"/>
            </w:tabs>
            <w:rPr>
              <w:rFonts w:eastAsiaTheme="minorEastAsia"/>
              <w:noProof/>
              <w:lang w:val="en-GB" w:eastAsia="fr-FR"/>
            </w:rPr>
          </w:pPr>
          <w:hyperlink w:anchor="_Toc63089195" w:history="1">
            <w:r w:rsidR="00496260" w:rsidRPr="00FD04E7">
              <w:rPr>
                <w:rStyle w:val="Hyperlink"/>
                <w:noProof/>
                <w:lang w:val="en-GB"/>
              </w:rPr>
              <w:t>2.3 Applying an intersectional disability lens to wider resource allocation decisions</w:t>
            </w:r>
            <w:r w:rsidR="00496260" w:rsidRPr="00FD04E7">
              <w:rPr>
                <w:noProof/>
                <w:webHidden/>
                <w:lang w:val="en-GB"/>
              </w:rPr>
              <w:tab/>
            </w:r>
            <w:r w:rsidR="00496260" w:rsidRPr="00FD04E7">
              <w:rPr>
                <w:noProof/>
                <w:webHidden/>
                <w:lang w:val="en-GB"/>
              </w:rPr>
              <w:fldChar w:fldCharType="begin"/>
            </w:r>
            <w:r w:rsidR="00496260" w:rsidRPr="00FD04E7">
              <w:rPr>
                <w:noProof/>
                <w:webHidden/>
                <w:lang w:val="en-GB"/>
              </w:rPr>
              <w:instrText xml:space="preserve"> PAGEREF _Toc63089195 \h </w:instrText>
            </w:r>
            <w:r w:rsidR="00496260" w:rsidRPr="00FD04E7">
              <w:rPr>
                <w:noProof/>
                <w:webHidden/>
                <w:lang w:val="en-GB"/>
              </w:rPr>
            </w:r>
            <w:r w:rsidR="00496260" w:rsidRPr="00FD04E7">
              <w:rPr>
                <w:noProof/>
                <w:webHidden/>
                <w:lang w:val="en-GB"/>
              </w:rPr>
              <w:fldChar w:fldCharType="separate"/>
            </w:r>
            <w:r w:rsidR="00496260" w:rsidRPr="00FD04E7">
              <w:rPr>
                <w:noProof/>
                <w:webHidden/>
                <w:lang w:val="en-GB"/>
              </w:rPr>
              <w:t>8</w:t>
            </w:r>
            <w:r w:rsidR="00496260" w:rsidRPr="00FD04E7">
              <w:rPr>
                <w:noProof/>
                <w:webHidden/>
                <w:lang w:val="en-GB"/>
              </w:rPr>
              <w:fldChar w:fldCharType="end"/>
            </w:r>
          </w:hyperlink>
        </w:p>
        <w:p w14:paraId="1DEB11F7" w14:textId="675CC23D" w:rsidR="00496260" w:rsidRPr="00FD04E7" w:rsidRDefault="0032744F">
          <w:pPr>
            <w:pStyle w:val="TOC2"/>
            <w:tabs>
              <w:tab w:val="right" w:leader="dot" w:pos="9016"/>
            </w:tabs>
            <w:rPr>
              <w:rFonts w:eastAsiaTheme="minorEastAsia"/>
              <w:noProof/>
              <w:lang w:val="en-GB" w:eastAsia="fr-FR"/>
            </w:rPr>
          </w:pPr>
          <w:hyperlink w:anchor="_Toc63089196" w:history="1">
            <w:r w:rsidR="00496260" w:rsidRPr="00FD04E7">
              <w:rPr>
                <w:rStyle w:val="Hyperlink"/>
                <w:noProof/>
                <w:lang w:val="en-GB"/>
              </w:rPr>
              <w:t>2.4 Supporting mobilisation of the maximum available resources for human rights and social justice</w:t>
            </w:r>
            <w:r w:rsidR="00496260" w:rsidRPr="00FD04E7">
              <w:rPr>
                <w:noProof/>
                <w:webHidden/>
                <w:lang w:val="en-GB"/>
              </w:rPr>
              <w:tab/>
            </w:r>
            <w:r w:rsidR="00496260" w:rsidRPr="00FD04E7">
              <w:rPr>
                <w:noProof/>
                <w:webHidden/>
                <w:lang w:val="en-GB"/>
              </w:rPr>
              <w:fldChar w:fldCharType="begin"/>
            </w:r>
            <w:r w:rsidR="00496260" w:rsidRPr="00FD04E7">
              <w:rPr>
                <w:noProof/>
                <w:webHidden/>
                <w:lang w:val="en-GB"/>
              </w:rPr>
              <w:instrText xml:space="preserve"> PAGEREF _Toc63089196 \h </w:instrText>
            </w:r>
            <w:r w:rsidR="00496260" w:rsidRPr="00FD04E7">
              <w:rPr>
                <w:noProof/>
                <w:webHidden/>
                <w:lang w:val="en-GB"/>
              </w:rPr>
            </w:r>
            <w:r w:rsidR="00496260" w:rsidRPr="00FD04E7">
              <w:rPr>
                <w:noProof/>
                <w:webHidden/>
                <w:lang w:val="en-GB"/>
              </w:rPr>
              <w:fldChar w:fldCharType="separate"/>
            </w:r>
            <w:r w:rsidR="00496260" w:rsidRPr="00FD04E7">
              <w:rPr>
                <w:noProof/>
                <w:webHidden/>
                <w:lang w:val="en-GB"/>
              </w:rPr>
              <w:t>9</w:t>
            </w:r>
            <w:r w:rsidR="00496260" w:rsidRPr="00FD04E7">
              <w:rPr>
                <w:noProof/>
                <w:webHidden/>
                <w:lang w:val="en-GB"/>
              </w:rPr>
              <w:fldChar w:fldCharType="end"/>
            </w:r>
          </w:hyperlink>
        </w:p>
        <w:p w14:paraId="5E1CE5A1" w14:textId="6780C163" w:rsidR="00496260" w:rsidRPr="00FD04E7" w:rsidRDefault="0032744F">
          <w:pPr>
            <w:pStyle w:val="TOC3"/>
            <w:tabs>
              <w:tab w:val="right" w:leader="dot" w:pos="9016"/>
            </w:tabs>
            <w:rPr>
              <w:rFonts w:eastAsiaTheme="minorEastAsia"/>
              <w:noProof/>
              <w:lang w:val="en-GB" w:eastAsia="fr-FR"/>
            </w:rPr>
          </w:pPr>
          <w:hyperlink w:anchor="_Toc63089197" w:history="1">
            <w:r w:rsidR="00496260" w:rsidRPr="00FD04E7">
              <w:rPr>
                <w:rStyle w:val="Hyperlink"/>
                <w:noProof/>
                <w:lang w:val="en-GB"/>
              </w:rPr>
              <w:t>2.4.1 Debt</w:t>
            </w:r>
            <w:r w:rsidR="00496260" w:rsidRPr="00FD04E7">
              <w:rPr>
                <w:noProof/>
                <w:webHidden/>
                <w:lang w:val="en-GB"/>
              </w:rPr>
              <w:tab/>
            </w:r>
            <w:r w:rsidR="00496260" w:rsidRPr="00FD04E7">
              <w:rPr>
                <w:noProof/>
                <w:webHidden/>
                <w:lang w:val="en-GB"/>
              </w:rPr>
              <w:fldChar w:fldCharType="begin"/>
            </w:r>
            <w:r w:rsidR="00496260" w:rsidRPr="00FD04E7">
              <w:rPr>
                <w:noProof/>
                <w:webHidden/>
                <w:lang w:val="en-GB"/>
              </w:rPr>
              <w:instrText xml:space="preserve"> PAGEREF _Toc63089197 \h </w:instrText>
            </w:r>
            <w:r w:rsidR="00496260" w:rsidRPr="00FD04E7">
              <w:rPr>
                <w:noProof/>
                <w:webHidden/>
                <w:lang w:val="en-GB"/>
              </w:rPr>
            </w:r>
            <w:r w:rsidR="00496260" w:rsidRPr="00FD04E7">
              <w:rPr>
                <w:noProof/>
                <w:webHidden/>
                <w:lang w:val="en-GB"/>
              </w:rPr>
              <w:fldChar w:fldCharType="separate"/>
            </w:r>
            <w:r w:rsidR="00496260" w:rsidRPr="00FD04E7">
              <w:rPr>
                <w:noProof/>
                <w:webHidden/>
                <w:lang w:val="en-GB"/>
              </w:rPr>
              <w:t>10</w:t>
            </w:r>
            <w:r w:rsidR="00496260" w:rsidRPr="00FD04E7">
              <w:rPr>
                <w:noProof/>
                <w:webHidden/>
                <w:lang w:val="en-GB"/>
              </w:rPr>
              <w:fldChar w:fldCharType="end"/>
            </w:r>
          </w:hyperlink>
        </w:p>
        <w:p w14:paraId="15A23479" w14:textId="4320BF5A" w:rsidR="00496260" w:rsidRPr="00FD04E7" w:rsidRDefault="0032744F">
          <w:pPr>
            <w:pStyle w:val="TOC3"/>
            <w:tabs>
              <w:tab w:val="right" w:leader="dot" w:pos="9016"/>
            </w:tabs>
            <w:rPr>
              <w:rFonts w:eastAsiaTheme="minorEastAsia"/>
              <w:noProof/>
              <w:lang w:val="en-GB" w:eastAsia="fr-FR"/>
            </w:rPr>
          </w:pPr>
          <w:hyperlink w:anchor="_Toc63089198" w:history="1">
            <w:r w:rsidR="00496260" w:rsidRPr="00FD04E7">
              <w:rPr>
                <w:rStyle w:val="Hyperlink"/>
                <w:noProof/>
                <w:lang w:val="en-GB"/>
              </w:rPr>
              <w:t>2.4.2 Tax</w:t>
            </w:r>
            <w:r w:rsidR="00496260" w:rsidRPr="00FD04E7">
              <w:rPr>
                <w:noProof/>
                <w:webHidden/>
                <w:lang w:val="en-GB"/>
              </w:rPr>
              <w:tab/>
            </w:r>
            <w:r w:rsidR="00496260" w:rsidRPr="00FD04E7">
              <w:rPr>
                <w:noProof/>
                <w:webHidden/>
                <w:lang w:val="en-GB"/>
              </w:rPr>
              <w:fldChar w:fldCharType="begin"/>
            </w:r>
            <w:r w:rsidR="00496260" w:rsidRPr="00FD04E7">
              <w:rPr>
                <w:noProof/>
                <w:webHidden/>
                <w:lang w:val="en-GB"/>
              </w:rPr>
              <w:instrText xml:space="preserve"> PAGEREF _Toc63089198 \h </w:instrText>
            </w:r>
            <w:r w:rsidR="00496260" w:rsidRPr="00FD04E7">
              <w:rPr>
                <w:noProof/>
                <w:webHidden/>
                <w:lang w:val="en-GB"/>
              </w:rPr>
            </w:r>
            <w:r w:rsidR="00496260" w:rsidRPr="00FD04E7">
              <w:rPr>
                <w:noProof/>
                <w:webHidden/>
                <w:lang w:val="en-GB"/>
              </w:rPr>
              <w:fldChar w:fldCharType="separate"/>
            </w:r>
            <w:r w:rsidR="00496260" w:rsidRPr="00FD04E7">
              <w:rPr>
                <w:noProof/>
                <w:webHidden/>
                <w:lang w:val="en-GB"/>
              </w:rPr>
              <w:t>10</w:t>
            </w:r>
            <w:r w:rsidR="00496260" w:rsidRPr="00FD04E7">
              <w:rPr>
                <w:noProof/>
                <w:webHidden/>
                <w:lang w:val="en-GB"/>
              </w:rPr>
              <w:fldChar w:fldCharType="end"/>
            </w:r>
          </w:hyperlink>
        </w:p>
        <w:p w14:paraId="0AC3B76A" w14:textId="697E4C26" w:rsidR="00496260" w:rsidRPr="00FD04E7" w:rsidRDefault="0032744F">
          <w:pPr>
            <w:pStyle w:val="TOC3"/>
            <w:tabs>
              <w:tab w:val="right" w:leader="dot" w:pos="9016"/>
            </w:tabs>
            <w:rPr>
              <w:rFonts w:eastAsiaTheme="minorEastAsia"/>
              <w:noProof/>
              <w:lang w:val="en-GB" w:eastAsia="fr-FR"/>
            </w:rPr>
          </w:pPr>
          <w:hyperlink w:anchor="_Toc63089199" w:history="1">
            <w:r w:rsidR="00496260" w:rsidRPr="00FD04E7">
              <w:rPr>
                <w:rStyle w:val="Hyperlink"/>
                <w:noProof/>
                <w:lang w:val="en-GB"/>
              </w:rPr>
              <w:t>2.4.3 Special Drawing Rights</w:t>
            </w:r>
            <w:r w:rsidR="00496260" w:rsidRPr="00FD04E7">
              <w:rPr>
                <w:noProof/>
                <w:webHidden/>
                <w:lang w:val="en-GB"/>
              </w:rPr>
              <w:tab/>
            </w:r>
            <w:r w:rsidR="00496260" w:rsidRPr="00FD04E7">
              <w:rPr>
                <w:noProof/>
                <w:webHidden/>
                <w:lang w:val="en-GB"/>
              </w:rPr>
              <w:fldChar w:fldCharType="begin"/>
            </w:r>
            <w:r w:rsidR="00496260" w:rsidRPr="00FD04E7">
              <w:rPr>
                <w:noProof/>
                <w:webHidden/>
                <w:lang w:val="en-GB"/>
              </w:rPr>
              <w:instrText xml:space="preserve"> PAGEREF _Toc63089199 \h </w:instrText>
            </w:r>
            <w:r w:rsidR="00496260" w:rsidRPr="00FD04E7">
              <w:rPr>
                <w:noProof/>
                <w:webHidden/>
                <w:lang w:val="en-GB"/>
              </w:rPr>
            </w:r>
            <w:r w:rsidR="00496260" w:rsidRPr="00FD04E7">
              <w:rPr>
                <w:noProof/>
                <w:webHidden/>
                <w:lang w:val="en-GB"/>
              </w:rPr>
              <w:fldChar w:fldCharType="separate"/>
            </w:r>
            <w:r w:rsidR="00496260" w:rsidRPr="00FD04E7">
              <w:rPr>
                <w:noProof/>
                <w:webHidden/>
                <w:lang w:val="en-GB"/>
              </w:rPr>
              <w:t>10</w:t>
            </w:r>
            <w:r w:rsidR="00496260" w:rsidRPr="00FD04E7">
              <w:rPr>
                <w:noProof/>
                <w:webHidden/>
                <w:lang w:val="en-GB"/>
              </w:rPr>
              <w:fldChar w:fldCharType="end"/>
            </w:r>
          </w:hyperlink>
        </w:p>
        <w:p w14:paraId="11600C7E" w14:textId="0055A239" w:rsidR="00496260" w:rsidRPr="00FD04E7" w:rsidRDefault="0032744F">
          <w:pPr>
            <w:pStyle w:val="TOC3"/>
            <w:tabs>
              <w:tab w:val="right" w:leader="dot" w:pos="9016"/>
            </w:tabs>
            <w:rPr>
              <w:rFonts w:eastAsiaTheme="minorEastAsia"/>
              <w:noProof/>
              <w:lang w:val="en-GB" w:eastAsia="fr-FR"/>
            </w:rPr>
          </w:pPr>
          <w:hyperlink w:anchor="_Toc63089200" w:history="1">
            <w:r w:rsidR="00496260" w:rsidRPr="00FD04E7">
              <w:rPr>
                <w:rStyle w:val="Hyperlink"/>
                <w:noProof/>
                <w:lang w:val="en-GB"/>
              </w:rPr>
              <w:t>2.4.4 International public finance</w:t>
            </w:r>
            <w:r w:rsidR="00496260" w:rsidRPr="00FD04E7">
              <w:rPr>
                <w:noProof/>
                <w:webHidden/>
                <w:lang w:val="en-GB"/>
              </w:rPr>
              <w:tab/>
            </w:r>
            <w:r w:rsidR="00496260" w:rsidRPr="00FD04E7">
              <w:rPr>
                <w:noProof/>
                <w:webHidden/>
                <w:lang w:val="en-GB"/>
              </w:rPr>
              <w:fldChar w:fldCharType="begin"/>
            </w:r>
            <w:r w:rsidR="00496260" w:rsidRPr="00FD04E7">
              <w:rPr>
                <w:noProof/>
                <w:webHidden/>
                <w:lang w:val="en-GB"/>
              </w:rPr>
              <w:instrText xml:space="preserve"> PAGEREF _Toc63089200 \h </w:instrText>
            </w:r>
            <w:r w:rsidR="00496260" w:rsidRPr="00FD04E7">
              <w:rPr>
                <w:noProof/>
                <w:webHidden/>
                <w:lang w:val="en-GB"/>
              </w:rPr>
            </w:r>
            <w:r w:rsidR="00496260" w:rsidRPr="00FD04E7">
              <w:rPr>
                <w:noProof/>
                <w:webHidden/>
                <w:lang w:val="en-GB"/>
              </w:rPr>
              <w:fldChar w:fldCharType="separate"/>
            </w:r>
            <w:r w:rsidR="00496260" w:rsidRPr="00FD04E7">
              <w:rPr>
                <w:noProof/>
                <w:webHidden/>
                <w:lang w:val="en-GB"/>
              </w:rPr>
              <w:t>11</w:t>
            </w:r>
            <w:r w:rsidR="00496260" w:rsidRPr="00FD04E7">
              <w:rPr>
                <w:noProof/>
                <w:webHidden/>
                <w:lang w:val="en-GB"/>
              </w:rPr>
              <w:fldChar w:fldCharType="end"/>
            </w:r>
          </w:hyperlink>
        </w:p>
        <w:p w14:paraId="2CCBECFB" w14:textId="4699C760" w:rsidR="00496260" w:rsidRPr="00FD04E7" w:rsidRDefault="0032744F">
          <w:pPr>
            <w:pStyle w:val="TOC3"/>
            <w:tabs>
              <w:tab w:val="right" w:leader="dot" w:pos="9016"/>
            </w:tabs>
            <w:rPr>
              <w:rFonts w:eastAsiaTheme="minorEastAsia"/>
              <w:noProof/>
              <w:lang w:val="en-GB" w:eastAsia="fr-FR"/>
            </w:rPr>
          </w:pPr>
          <w:hyperlink w:anchor="_Toc63089201" w:history="1">
            <w:r w:rsidR="00496260" w:rsidRPr="00FD04E7">
              <w:rPr>
                <w:rStyle w:val="Hyperlink"/>
                <w:noProof/>
                <w:lang w:val="en-GB"/>
              </w:rPr>
              <w:t>2.4.5 Financial sector regulation</w:t>
            </w:r>
            <w:r w:rsidR="00496260" w:rsidRPr="00FD04E7">
              <w:rPr>
                <w:noProof/>
                <w:webHidden/>
                <w:lang w:val="en-GB"/>
              </w:rPr>
              <w:tab/>
            </w:r>
            <w:r w:rsidR="00496260" w:rsidRPr="00FD04E7">
              <w:rPr>
                <w:noProof/>
                <w:webHidden/>
                <w:lang w:val="en-GB"/>
              </w:rPr>
              <w:fldChar w:fldCharType="begin"/>
            </w:r>
            <w:r w:rsidR="00496260" w:rsidRPr="00FD04E7">
              <w:rPr>
                <w:noProof/>
                <w:webHidden/>
                <w:lang w:val="en-GB"/>
              </w:rPr>
              <w:instrText xml:space="preserve"> PAGEREF _Toc63089201 \h </w:instrText>
            </w:r>
            <w:r w:rsidR="00496260" w:rsidRPr="00FD04E7">
              <w:rPr>
                <w:noProof/>
                <w:webHidden/>
                <w:lang w:val="en-GB"/>
              </w:rPr>
            </w:r>
            <w:r w:rsidR="00496260" w:rsidRPr="00FD04E7">
              <w:rPr>
                <w:noProof/>
                <w:webHidden/>
                <w:lang w:val="en-GB"/>
              </w:rPr>
              <w:fldChar w:fldCharType="separate"/>
            </w:r>
            <w:r w:rsidR="00496260" w:rsidRPr="00FD04E7">
              <w:rPr>
                <w:noProof/>
                <w:webHidden/>
                <w:lang w:val="en-GB"/>
              </w:rPr>
              <w:t>11</w:t>
            </w:r>
            <w:r w:rsidR="00496260" w:rsidRPr="00FD04E7">
              <w:rPr>
                <w:noProof/>
                <w:webHidden/>
                <w:lang w:val="en-GB"/>
              </w:rPr>
              <w:fldChar w:fldCharType="end"/>
            </w:r>
          </w:hyperlink>
        </w:p>
        <w:p w14:paraId="264F1D4C" w14:textId="347B774D" w:rsidR="00496260" w:rsidRPr="00FD04E7" w:rsidRDefault="0032744F">
          <w:pPr>
            <w:pStyle w:val="TOC3"/>
            <w:tabs>
              <w:tab w:val="right" w:leader="dot" w:pos="9016"/>
            </w:tabs>
            <w:rPr>
              <w:rFonts w:eastAsiaTheme="minorEastAsia"/>
              <w:noProof/>
              <w:lang w:val="en-GB" w:eastAsia="fr-FR"/>
            </w:rPr>
          </w:pPr>
          <w:hyperlink w:anchor="_Toc63089202" w:history="1">
            <w:r w:rsidR="00496260" w:rsidRPr="00FD04E7">
              <w:rPr>
                <w:rStyle w:val="Hyperlink"/>
                <w:noProof/>
                <w:lang w:val="en-GB"/>
              </w:rPr>
              <w:t>2.4.6 Trade and investment agreements</w:t>
            </w:r>
            <w:r w:rsidR="00496260" w:rsidRPr="00FD04E7">
              <w:rPr>
                <w:noProof/>
                <w:webHidden/>
                <w:lang w:val="en-GB"/>
              </w:rPr>
              <w:tab/>
            </w:r>
            <w:r w:rsidR="00496260" w:rsidRPr="00FD04E7">
              <w:rPr>
                <w:noProof/>
                <w:webHidden/>
                <w:lang w:val="en-GB"/>
              </w:rPr>
              <w:fldChar w:fldCharType="begin"/>
            </w:r>
            <w:r w:rsidR="00496260" w:rsidRPr="00FD04E7">
              <w:rPr>
                <w:noProof/>
                <w:webHidden/>
                <w:lang w:val="en-GB"/>
              </w:rPr>
              <w:instrText xml:space="preserve"> PAGEREF _Toc63089202 \h </w:instrText>
            </w:r>
            <w:r w:rsidR="00496260" w:rsidRPr="00FD04E7">
              <w:rPr>
                <w:noProof/>
                <w:webHidden/>
                <w:lang w:val="en-GB"/>
              </w:rPr>
            </w:r>
            <w:r w:rsidR="00496260" w:rsidRPr="00FD04E7">
              <w:rPr>
                <w:noProof/>
                <w:webHidden/>
                <w:lang w:val="en-GB"/>
              </w:rPr>
              <w:fldChar w:fldCharType="separate"/>
            </w:r>
            <w:r w:rsidR="00496260" w:rsidRPr="00FD04E7">
              <w:rPr>
                <w:noProof/>
                <w:webHidden/>
                <w:lang w:val="en-GB"/>
              </w:rPr>
              <w:t>12</w:t>
            </w:r>
            <w:r w:rsidR="00496260" w:rsidRPr="00FD04E7">
              <w:rPr>
                <w:noProof/>
                <w:webHidden/>
                <w:lang w:val="en-GB"/>
              </w:rPr>
              <w:fldChar w:fldCharType="end"/>
            </w:r>
          </w:hyperlink>
        </w:p>
        <w:p w14:paraId="4423A45B" w14:textId="0181F6CA" w:rsidR="00496260" w:rsidRPr="00FD04E7" w:rsidRDefault="0032744F">
          <w:pPr>
            <w:pStyle w:val="TOC1"/>
            <w:tabs>
              <w:tab w:val="left" w:pos="440"/>
              <w:tab w:val="right" w:leader="dot" w:pos="9016"/>
            </w:tabs>
            <w:rPr>
              <w:rFonts w:eastAsiaTheme="minorEastAsia"/>
              <w:noProof/>
              <w:lang w:val="en-GB" w:eastAsia="fr-FR"/>
            </w:rPr>
          </w:pPr>
          <w:hyperlink w:anchor="_Toc63089203" w:history="1">
            <w:r w:rsidR="00496260" w:rsidRPr="00FD04E7">
              <w:rPr>
                <w:rStyle w:val="Hyperlink"/>
                <w:noProof/>
                <w:lang w:val="en-GB"/>
              </w:rPr>
              <w:t>3.</w:t>
            </w:r>
            <w:r w:rsidR="00496260" w:rsidRPr="00FD04E7">
              <w:rPr>
                <w:rFonts w:eastAsiaTheme="minorEastAsia"/>
                <w:noProof/>
                <w:lang w:val="en-GB" w:eastAsia="fr-FR"/>
              </w:rPr>
              <w:tab/>
            </w:r>
            <w:r w:rsidR="00496260" w:rsidRPr="00FD04E7">
              <w:rPr>
                <w:rStyle w:val="Hyperlink"/>
                <w:noProof/>
                <w:lang w:val="en-GB"/>
              </w:rPr>
              <w:t>Qualitative policy choices</w:t>
            </w:r>
            <w:r w:rsidR="00496260" w:rsidRPr="00FD04E7">
              <w:rPr>
                <w:noProof/>
                <w:webHidden/>
                <w:lang w:val="en-GB"/>
              </w:rPr>
              <w:tab/>
            </w:r>
            <w:r w:rsidR="00496260" w:rsidRPr="00FD04E7">
              <w:rPr>
                <w:noProof/>
                <w:webHidden/>
                <w:lang w:val="en-GB"/>
              </w:rPr>
              <w:fldChar w:fldCharType="begin"/>
            </w:r>
            <w:r w:rsidR="00496260" w:rsidRPr="00FD04E7">
              <w:rPr>
                <w:noProof/>
                <w:webHidden/>
                <w:lang w:val="en-GB"/>
              </w:rPr>
              <w:instrText xml:space="preserve"> PAGEREF _Toc63089203 \h </w:instrText>
            </w:r>
            <w:r w:rsidR="00496260" w:rsidRPr="00FD04E7">
              <w:rPr>
                <w:noProof/>
                <w:webHidden/>
                <w:lang w:val="en-GB"/>
              </w:rPr>
            </w:r>
            <w:r w:rsidR="00496260" w:rsidRPr="00FD04E7">
              <w:rPr>
                <w:noProof/>
                <w:webHidden/>
                <w:lang w:val="en-GB"/>
              </w:rPr>
              <w:fldChar w:fldCharType="separate"/>
            </w:r>
            <w:r w:rsidR="00496260" w:rsidRPr="00FD04E7">
              <w:rPr>
                <w:noProof/>
                <w:webHidden/>
                <w:lang w:val="en-GB"/>
              </w:rPr>
              <w:t>13</w:t>
            </w:r>
            <w:r w:rsidR="00496260" w:rsidRPr="00FD04E7">
              <w:rPr>
                <w:noProof/>
                <w:webHidden/>
                <w:lang w:val="en-GB"/>
              </w:rPr>
              <w:fldChar w:fldCharType="end"/>
            </w:r>
          </w:hyperlink>
        </w:p>
        <w:p w14:paraId="2665164B" w14:textId="6B609C89" w:rsidR="00496260" w:rsidRPr="00FD04E7" w:rsidRDefault="0032744F">
          <w:pPr>
            <w:pStyle w:val="TOC2"/>
            <w:tabs>
              <w:tab w:val="left" w:pos="880"/>
              <w:tab w:val="right" w:leader="dot" w:pos="9016"/>
            </w:tabs>
            <w:rPr>
              <w:rFonts w:eastAsiaTheme="minorEastAsia"/>
              <w:noProof/>
              <w:lang w:val="en-GB" w:eastAsia="fr-FR"/>
            </w:rPr>
          </w:pPr>
          <w:hyperlink w:anchor="_Toc63089204" w:history="1">
            <w:r w:rsidR="00496260" w:rsidRPr="00FD04E7">
              <w:rPr>
                <w:rStyle w:val="Hyperlink"/>
                <w:noProof/>
                <w:lang w:val="en-GB"/>
              </w:rPr>
              <w:t>3.1</w:t>
            </w:r>
            <w:r w:rsidR="00496260" w:rsidRPr="00FD04E7">
              <w:rPr>
                <w:rFonts w:eastAsiaTheme="minorEastAsia"/>
                <w:noProof/>
                <w:lang w:val="en-GB" w:eastAsia="fr-FR"/>
              </w:rPr>
              <w:tab/>
            </w:r>
            <w:r w:rsidR="00496260" w:rsidRPr="00FD04E7">
              <w:rPr>
                <w:rStyle w:val="Hyperlink"/>
                <w:noProof/>
                <w:lang w:val="en-GB"/>
              </w:rPr>
              <w:t>Do no harm – avoiding spending that violates the rights of persons with disabilities</w:t>
            </w:r>
            <w:r w:rsidR="00496260" w:rsidRPr="00FD04E7">
              <w:rPr>
                <w:noProof/>
                <w:webHidden/>
                <w:lang w:val="en-GB"/>
              </w:rPr>
              <w:tab/>
            </w:r>
            <w:r w:rsidR="00496260" w:rsidRPr="00FD04E7">
              <w:rPr>
                <w:noProof/>
                <w:webHidden/>
                <w:lang w:val="en-GB"/>
              </w:rPr>
              <w:fldChar w:fldCharType="begin"/>
            </w:r>
            <w:r w:rsidR="00496260" w:rsidRPr="00FD04E7">
              <w:rPr>
                <w:noProof/>
                <w:webHidden/>
                <w:lang w:val="en-GB"/>
              </w:rPr>
              <w:instrText xml:space="preserve"> PAGEREF _Toc63089204 \h </w:instrText>
            </w:r>
            <w:r w:rsidR="00496260" w:rsidRPr="00FD04E7">
              <w:rPr>
                <w:noProof/>
                <w:webHidden/>
                <w:lang w:val="en-GB"/>
              </w:rPr>
            </w:r>
            <w:r w:rsidR="00496260" w:rsidRPr="00FD04E7">
              <w:rPr>
                <w:noProof/>
                <w:webHidden/>
                <w:lang w:val="en-GB"/>
              </w:rPr>
              <w:fldChar w:fldCharType="separate"/>
            </w:r>
            <w:r w:rsidR="00496260" w:rsidRPr="00FD04E7">
              <w:rPr>
                <w:noProof/>
                <w:webHidden/>
                <w:lang w:val="en-GB"/>
              </w:rPr>
              <w:t>13</w:t>
            </w:r>
            <w:r w:rsidR="00496260" w:rsidRPr="00FD04E7">
              <w:rPr>
                <w:noProof/>
                <w:webHidden/>
                <w:lang w:val="en-GB"/>
              </w:rPr>
              <w:fldChar w:fldCharType="end"/>
            </w:r>
          </w:hyperlink>
        </w:p>
        <w:p w14:paraId="0F150FEB" w14:textId="59D55708" w:rsidR="00496260" w:rsidRPr="00FD04E7" w:rsidRDefault="0032744F">
          <w:pPr>
            <w:pStyle w:val="TOC2"/>
            <w:tabs>
              <w:tab w:val="right" w:leader="dot" w:pos="9016"/>
            </w:tabs>
            <w:rPr>
              <w:rFonts w:eastAsiaTheme="minorEastAsia"/>
              <w:noProof/>
              <w:lang w:val="en-GB" w:eastAsia="fr-FR"/>
            </w:rPr>
          </w:pPr>
          <w:hyperlink w:anchor="_Toc63089205" w:history="1">
            <w:r w:rsidR="00496260" w:rsidRPr="00FD04E7">
              <w:rPr>
                <w:rStyle w:val="Hyperlink"/>
                <w:noProof/>
                <w:lang w:val="en-GB"/>
              </w:rPr>
              <w:t>3.2 Incentivising private sector actors to support human rights and social justice through procurement policy</w:t>
            </w:r>
            <w:r w:rsidR="00496260" w:rsidRPr="00FD04E7">
              <w:rPr>
                <w:noProof/>
                <w:webHidden/>
                <w:lang w:val="en-GB"/>
              </w:rPr>
              <w:tab/>
            </w:r>
            <w:r w:rsidR="00496260" w:rsidRPr="00FD04E7">
              <w:rPr>
                <w:noProof/>
                <w:webHidden/>
                <w:lang w:val="en-GB"/>
              </w:rPr>
              <w:fldChar w:fldCharType="begin"/>
            </w:r>
            <w:r w:rsidR="00496260" w:rsidRPr="00FD04E7">
              <w:rPr>
                <w:noProof/>
                <w:webHidden/>
                <w:lang w:val="en-GB"/>
              </w:rPr>
              <w:instrText xml:space="preserve"> PAGEREF _Toc63089205 \h </w:instrText>
            </w:r>
            <w:r w:rsidR="00496260" w:rsidRPr="00FD04E7">
              <w:rPr>
                <w:noProof/>
                <w:webHidden/>
                <w:lang w:val="en-GB"/>
              </w:rPr>
            </w:r>
            <w:r w:rsidR="00496260" w:rsidRPr="00FD04E7">
              <w:rPr>
                <w:noProof/>
                <w:webHidden/>
                <w:lang w:val="en-GB"/>
              </w:rPr>
              <w:fldChar w:fldCharType="separate"/>
            </w:r>
            <w:r w:rsidR="00496260" w:rsidRPr="00FD04E7">
              <w:rPr>
                <w:noProof/>
                <w:webHidden/>
                <w:lang w:val="en-GB"/>
              </w:rPr>
              <w:t>13</w:t>
            </w:r>
            <w:r w:rsidR="00496260" w:rsidRPr="00FD04E7">
              <w:rPr>
                <w:noProof/>
                <w:webHidden/>
                <w:lang w:val="en-GB"/>
              </w:rPr>
              <w:fldChar w:fldCharType="end"/>
            </w:r>
          </w:hyperlink>
        </w:p>
        <w:p w14:paraId="36106797" w14:textId="71F24D3E" w:rsidR="00496260" w:rsidRPr="00FD04E7" w:rsidRDefault="0032744F">
          <w:pPr>
            <w:pStyle w:val="TOC2"/>
            <w:tabs>
              <w:tab w:val="right" w:leader="dot" w:pos="9016"/>
            </w:tabs>
            <w:rPr>
              <w:rFonts w:eastAsiaTheme="minorEastAsia"/>
              <w:noProof/>
              <w:lang w:val="en-GB" w:eastAsia="fr-FR"/>
            </w:rPr>
          </w:pPr>
          <w:hyperlink w:anchor="_Toc63089206" w:history="1">
            <w:r w:rsidR="00496260" w:rsidRPr="00FD04E7">
              <w:rPr>
                <w:rStyle w:val="Hyperlink"/>
                <w:noProof/>
                <w:lang w:val="en-GB"/>
              </w:rPr>
              <w:t>3.3 Ensuring that private sector actors support human rights and social justice through regulation</w:t>
            </w:r>
            <w:r w:rsidR="00496260" w:rsidRPr="00FD04E7">
              <w:rPr>
                <w:noProof/>
                <w:webHidden/>
                <w:lang w:val="en-GB"/>
              </w:rPr>
              <w:tab/>
            </w:r>
            <w:r w:rsidR="00496260" w:rsidRPr="00FD04E7">
              <w:rPr>
                <w:noProof/>
                <w:webHidden/>
                <w:lang w:val="en-GB"/>
              </w:rPr>
              <w:fldChar w:fldCharType="begin"/>
            </w:r>
            <w:r w:rsidR="00496260" w:rsidRPr="00FD04E7">
              <w:rPr>
                <w:noProof/>
                <w:webHidden/>
                <w:lang w:val="en-GB"/>
              </w:rPr>
              <w:instrText xml:space="preserve"> PAGEREF _Toc63089206 \h </w:instrText>
            </w:r>
            <w:r w:rsidR="00496260" w:rsidRPr="00FD04E7">
              <w:rPr>
                <w:noProof/>
                <w:webHidden/>
                <w:lang w:val="en-GB"/>
              </w:rPr>
            </w:r>
            <w:r w:rsidR="00496260" w:rsidRPr="00FD04E7">
              <w:rPr>
                <w:noProof/>
                <w:webHidden/>
                <w:lang w:val="en-GB"/>
              </w:rPr>
              <w:fldChar w:fldCharType="separate"/>
            </w:r>
            <w:r w:rsidR="00496260" w:rsidRPr="00FD04E7">
              <w:rPr>
                <w:noProof/>
                <w:webHidden/>
                <w:lang w:val="en-GB"/>
              </w:rPr>
              <w:t>14</w:t>
            </w:r>
            <w:r w:rsidR="00496260" w:rsidRPr="00FD04E7">
              <w:rPr>
                <w:noProof/>
                <w:webHidden/>
                <w:lang w:val="en-GB"/>
              </w:rPr>
              <w:fldChar w:fldCharType="end"/>
            </w:r>
          </w:hyperlink>
        </w:p>
        <w:p w14:paraId="2E62CEB1" w14:textId="779271F0" w:rsidR="00496260" w:rsidRPr="00FD04E7" w:rsidRDefault="0032744F">
          <w:pPr>
            <w:pStyle w:val="TOC1"/>
            <w:tabs>
              <w:tab w:val="left" w:pos="440"/>
              <w:tab w:val="right" w:leader="dot" w:pos="9016"/>
            </w:tabs>
            <w:rPr>
              <w:rFonts w:eastAsiaTheme="minorEastAsia"/>
              <w:noProof/>
              <w:lang w:val="en-GB" w:eastAsia="fr-FR"/>
            </w:rPr>
          </w:pPr>
          <w:hyperlink w:anchor="_Toc63089207" w:history="1">
            <w:r w:rsidR="00496260" w:rsidRPr="00FD04E7">
              <w:rPr>
                <w:rStyle w:val="Hyperlink"/>
                <w:noProof/>
                <w:lang w:val="en-GB"/>
              </w:rPr>
              <w:t>4.</w:t>
            </w:r>
            <w:r w:rsidR="00496260" w:rsidRPr="00FD04E7">
              <w:rPr>
                <w:rFonts w:eastAsiaTheme="minorEastAsia"/>
                <w:noProof/>
                <w:lang w:val="en-GB" w:eastAsia="fr-FR"/>
              </w:rPr>
              <w:tab/>
            </w:r>
            <w:r w:rsidR="00496260" w:rsidRPr="00FD04E7">
              <w:rPr>
                <w:rStyle w:val="Hyperlink"/>
                <w:noProof/>
                <w:lang w:val="en-GB"/>
              </w:rPr>
              <w:t>Participation</w:t>
            </w:r>
            <w:r w:rsidR="00496260" w:rsidRPr="00FD04E7">
              <w:rPr>
                <w:noProof/>
                <w:webHidden/>
                <w:lang w:val="en-GB"/>
              </w:rPr>
              <w:tab/>
            </w:r>
            <w:r w:rsidR="00496260" w:rsidRPr="00FD04E7">
              <w:rPr>
                <w:noProof/>
                <w:webHidden/>
                <w:lang w:val="en-GB"/>
              </w:rPr>
              <w:fldChar w:fldCharType="begin"/>
            </w:r>
            <w:r w:rsidR="00496260" w:rsidRPr="00FD04E7">
              <w:rPr>
                <w:noProof/>
                <w:webHidden/>
                <w:lang w:val="en-GB"/>
              </w:rPr>
              <w:instrText xml:space="preserve"> PAGEREF _Toc63089207 \h </w:instrText>
            </w:r>
            <w:r w:rsidR="00496260" w:rsidRPr="00FD04E7">
              <w:rPr>
                <w:noProof/>
                <w:webHidden/>
                <w:lang w:val="en-GB"/>
              </w:rPr>
            </w:r>
            <w:r w:rsidR="00496260" w:rsidRPr="00FD04E7">
              <w:rPr>
                <w:noProof/>
                <w:webHidden/>
                <w:lang w:val="en-GB"/>
              </w:rPr>
              <w:fldChar w:fldCharType="separate"/>
            </w:r>
            <w:r w:rsidR="00496260" w:rsidRPr="00FD04E7">
              <w:rPr>
                <w:noProof/>
                <w:webHidden/>
                <w:lang w:val="en-GB"/>
              </w:rPr>
              <w:t>14</w:t>
            </w:r>
            <w:r w:rsidR="00496260" w:rsidRPr="00FD04E7">
              <w:rPr>
                <w:noProof/>
                <w:webHidden/>
                <w:lang w:val="en-GB"/>
              </w:rPr>
              <w:fldChar w:fldCharType="end"/>
            </w:r>
          </w:hyperlink>
        </w:p>
        <w:p w14:paraId="1FA0370B" w14:textId="654DE287" w:rsidR="00496260" w:rsidRPr="00FD04E7" w:rsidRDefault="0032744F">
          <w:pPr>
            <w:pStyle w:val="TOC1"/>
            <w:tabs>
              <w:tab w:val="right" w:leader="dot" w:pos="9016"/>
            </w:tabs>
            <w:rPr>
              <w:rFonts w:eastAsiaTheme="minorEastAsia"/>
              <w:noProof/>
              <w:lang w:val="en-GB" w:eastAsia="fr-FR"/>
            </w:rPr>
          </w:pPr>
          <w:hyperlink w:anchor="_Toc63089208" w:history="1">
            <w:r w:rsidR="00496260" w:rsidRPr="00FD04E7">
              <w:rPr>
                <w:rStyle w:val="Hyperlink"/>
                <w:noProof/>
                <w:lang w:val="en-GB"/>
              </w:rPr>
              <w:t>Annex – full recommendations from the Stakeholder Group of Persons with Disabilities and the International Disability Alliance on upholding the rights of persons with disabilities in the COVID crisis</w:t>
            </w:r>
            <w:r w:rsidR="00496260" w:rsidRPr="00FD04E7">
              <w:rPr>
                <w:noProof/>
                <w:webHidden/>
                <w:lang w:val="en-GB"/>
              </w:rPr>
              <w:tab/>
            </w:r>
            <w:r w:rsidR="00496260" w:rsidRPr="00FD04E7">
              <w:rPr>
                <w:noProof/>
                <w:webHidden/>
                <w:lang w:val="en-GB"/>
              </w:rPr>
              <w:fldChar w:fldCharType="begin"/>
            </w:r>
            <w:r w:rsidR="00496260" w:rsidRPr="00FD04E7">
              <w:rPr>
                <w:noProof/>
                <w:webHidden/>
                <w:lang w:val="en-GB"/>
              </w:rPr>
              <w:instrText xml:space="preserve"> PAGEREF _Toc63089208 \h </w:instrText>
            </w:r>
            <w:r w:rsidR="00496260" w:rsidRPr="00FD04E7">
              <w:rPr>
                <w:noProof/>
                <w:webHidden/>
                <w:lang w:val="en-GB"/>
              </w:rPr>
            </w:r>
            <w:r w:rsidR="00496260" w:rsidRPr="00FD04E7">
              <w:rPr>
                <w:noProof/>
                <w:webHidden/>
                <w:lang w:val="en-GB"/>
              </w:rPr>
              <w:fldChar w:fldCharType="separate"/>
            </w:r>
            <w:r w:rsidR="00496260" w:rsidRPr="00FD04E7">
              <w:rPr>
                <w:noProof/>
                <w:webHidden/>
                <w:lang w:val="en-GB"/>
              </w:rPr>
              <w:t>15</w:t>
            </w:r>
            <w:r w:rsidR="00496260" w:rsidRPr="00FD04E7">
              <w:rPr>
                <w:noProof/>
                <w:webHidden/>
                <w:lang w:val="en-GB"/>
              </w:rPr>
              <w:fldChar w:fldCharType="end"/>
            </w:r>
          </w:hyperlink>
        </w:p>
        <w:p w14:paraId="61FB9228" w14:textId="606C5332" w:rsidR="00E44D5A" w:rsidRPr="00FD04E7" w:rsidRDefault="00E44D5A">
          <w:pPr>
            <w:rPr>
              <w:lang w:val="en-GB"/>
            </w:rPr>
          </w:pPr>
          <w:r w:rsidRPr="00FD04E7">
            <w:rPr>
              <w:b/>
              <w:bCs/>
              <w:noProof/>
              <w:lang w:val="en-GB"/>
            </w:rPr>
            <w:fldChar w:fldCharType="end"/>
          </w:r>
        </w:p>
      </w:sdtContent>
    </w:sdt>
    <w:p w14:paraId="6654E5F4" w14:textId="77777777" w:rsidR="005926A2" w:rsidRPr="00FD04E7" w:rsidRDefault="005926A2">
      <w:pPr>
        <w:rPr>
          <w:rFonts w:asciiTheme="majorHAnsi" w:eastAsiaTheme="majorEastAsia" w:hAnsiTheme="majorHAnsi" w:cstheme="majorBidi"/>
          <w:color w:val="2F5496" w:themeColor="accent1" w:themeShade="BF"/>
          <w:sz w:val="32"/>
          <w:szCs w:val="32"/>
          <w:lang w:val="en-GB"/>
        </w:rPr>
      </w:pPr>
      <w:r w:rsidRPr="00FD04E7">
        <w:rPr>
          <w:lang w:val="en-GB"/>
        </w:rPr>
        <w:br w:type="page"/>
      </w:r>
    </w:p>
    <w:p w14:paraId="1BF55963" w14:textId="77777777" w:rsidR="00A70086" w:rsidRPr="00FD04E7" w:rsidRDefault="009E46BC" w:rsidP="008E142D">
      <w:pPr>
        <w:pStyle w:val="Heading1"/>
        <w:rPr>
          <w:lang w:val="en-GB"/>
        </w:rPr>
      </w:pPr>
      <w:bookmarkStart w:id="0" w:name="_Toc63089188"/>
      <w:r w:rsidRPr="00FD04E7">
        <w:rPr>
          <w:lang w:val="en-GB"/>
        </w:rPr>
        <w:lastRenderedPageBreak/>
        <w:t>Summary</w:t>
      </w:r>
      <w:bookmarkEnd w:id="0"/>
    </w:p>
    <w:p w14:paraId="03AD966D" w14:textId="0CFFBCAC" w:rsidR="00430BB2" w:rsidRPr="00FD04E7" w:rsidRDefault="00276D17" w:rsidP="00080EA3">
      <w:pPr>
        <w:rPr>
          <w:lang w:val="en-GB"/>
        </w:rPr>
      </w:pPr>
      <w:r w:rsidRPr="00FD04E7">
        <w:rPr>
          <w:lang w:val="en-GB"/>
        </w:rPr>
        <w:t xml:space="preserve">Persons with disabilities make up some 15% of the world’s population, and have been hit particularly hard by COVID-19. Yet </w:t>
      </w:r>
      <w:r w:rsidR="00430BB2" w:rsidRPr="00FD04E7">
        <w:rPr>
          <w:lang w:val="en-GB"/>
        </w:rPr>
        <w:t>proposals</w:t>
      </w:r>
      <w:r w:rsidR="00CA0182" w:rsidRPr="00FD04E7">
        <w:rPr>
          <w:lang w:val="en-GB"/>
        </w:rPr>
        <w:t xml:space="preserve"> for</w:t>
      </w:r>
      <w:r w:rsidR="00430BB2" w:rsidRPr="00FD04E7">
        <w:rPr>
          <w:lang w:val="en-GB"/>
        </w:rPr>
        <w:t xml:space="preserve"> financing the worldwide response to the crisis</w:t>
      </w:r>
      <w:r w:rsidR="008F48B7" w:rsidRPr="00FD04E7">
        <w:rPr>
          <w:lang w:val="en-GB"/>
        </w:rPr>
        <w:t xml:space="preserve"> </w:t>
      </w:r>
      <w:r w:rsidR="00CA0182" w:rsidRPr="00FD04E7">
        <w:rPr>
          <w:lang w:val="en-GB"/>
        </w:rPr>
        <w:t xml:space="preserve">to rarely </w:t>
      </w:r>
      <w:r w:rsidR="00447705" w:rsidRPr="00FD04E7">
        <w:rPr>
          <w:lang w:val="en-GB"/>
        </w:rPr>
        <w:t>refer to</w:t>
      </w:r>
      <w:r w:rsidR="000C4181" w:rsidRPr="00FD04E7">
        <w:rPr>
          <w:lang w:val="en-GB"/>
        </w:rPr>
        <w:t xml:space="preserve"> disability</w:t>
      </w:r>
      <w:r w:rsidR="007615F0" w:rsidRPr="00FD04E7">
        <w:rPr>
          <w:lang w:val="en-GB"/>
        </w:rPr>
        <w:t xml:space="preserve">, and </w:t>
      </w:r>
      <w:r w:rsidR="00CA0182" w:rsidRPr="00FD04E7">
        <w:rPr>
          <w:lang w:val="en-GB"/>
        </w:rPr>
        <w:t xml:space="preserve">it is </w:t>
      </w:r>
      <w:r w:rsidR="005D3E94" w:rsidRPr="00FD04E7">
        <w:rPr>
          <w:lang w:val="en-GB"/>
        </w:rPr>
        <w:t xml:space="preserve">rarer </w:t>
      </w:r>
      <w:r w:rsidR="00CA0182" w:rsidRPr="00FD04E7">
        <w:rPr>
          <w:lang w:val="en-GB"/>
        </w:rPr>
        <w:t>still that</w:t>
      </w:r>
      <w:r w:rsidR="007615F0" w:rsidRPr="00FD04E7">
        <w:rPr>
          <w:lang w:val="en-GB"/>
        </w:rPr>
        <w:t xml:space="preserve"> the voices of persons with disabilities </w:t>
      </w:r>
      <w:r w:rsidR="00CA0182" w:rsidRPr="00FD04E7">
        <w:rPr>
          <w:lang w:val="en-GB"/>
        </w:rPr>
        <w:t>are</w:t>
      </w:r>
      <w:r w:rsidR="007615F0" w:rsidRPr="00FD04E7">
        <w:rPr>
          <w:lang w:val="en-GB"/>
        </w:rPr>
        <w:t xml:space="preserve"> </w:t>
      </w:r>
      <w:r w:rsidR="005D3E94" w:rsidRPr="00FD04E7">
        <w:rPr>
          <w:lang w:val="en-GB"/>
        </w:rPr>
        <w:t>heard directly</w:t>
      </w:r>
      <w:r w:rsidR="007615F0" w:rsidRPr="00FD04E7">
        <w:rPr>
          <w:lang w:val="en-GB"/>
        </w:rPr>
        <w:t xml:space="preserve"> in such debates.</w:t>
      </w:r>
    </w:p>
    <w:p w14:paraId="0F81E9DF" w14:textId="505D6BF7" w:rsidR="00430BB2" w:rsidRPr="00FD04E7" w:rsidRDefault="00430BB2" w:rsidP="00080EA3">
      <w:pPr>
        <w:rPr>
          <w:lang w:val="en-GB"/>
        </w:rPr>
      </w:pPr>
      <w:r w:rsidRPr="00FD04E7">
        <w:rPr>
          <w:lang w:val="en-GB"/>
        </w:rPr>
        <w:t>This briefing sets out some key considerations for ensuring that international economic polic</w:t>
      </w:r>
      <w:r w:rsidR="00F23B72" w:rsidRPr="00FD04E7">
        <w:rPr>
          <w:lang w:val="en-GB"/>
        </w:rPr>
        <w:t>ies to tackle</w:t>
      </w:r>
      <w:r w:rsidRPr="00FD04E7">
        <w:rPr>
          <w:lang w:val="en-GB"/>
        </w:rPr>
        <w:t xml:space="preserve"> the crisis always contribute to the enjoyment of human rights and social justice by persons with disabilities in their diversity, especially those in the Global South. </w:t>
      </w:r>
      <w:r w:rsidR="0070650C" w:rsidRPr="00FD04E7">
        <w:rPr>
          <w:lang w:val="en-GB"/>
        </w:rPr>
        <w:t xml:space="preserve">It </w:t>
      </w:r>
      <w:r w:rsidR="00641D59" w:rsidRPr="00FD04E7">
        <w:rPr>
          <w:lang w:val="en-GB"/>
        </w:rPr>
        <w:t>touches on</w:t>
      </w:r>
      <w:r w:rsidR="0070650C" w:rsidRPr="00FD04E7">
        <w:rPr>
          <w:lang w:val="en-GB"/>
        </w:rPr>
        <w:t xml:space="preserve"> </w:t>
      </w:r>
      <w:r w:rsidR="00412185" w:rsidRPr="00FD04E7">
        <w:rPr>
          <w:lang w:val="en-GB"/>
        </w:rPr>
        <w:t>a wide range of</w:t>
      </w:r>
      <w:r w:rsidR="0070650C" w:rsidRPr="00FD04E7">
        <w:rPr>
          <w:lang w:val="en-GB"/>
        </w:rPr>
        <w:t xml:space="preserve"> economic policy areas – </w:t>
      </w:r>
      <w:r w:rsidR="00217678" w:rsidRPr="00FD04E7">
        <w:rPr>
          <w:lang w:val="en-GB"/>
        </w:rPr>
        <w:t xml:space="preserve">including </w:t>
      </w:r>
      <w:r w:rsidR="009A13D5" w:rsidRPr="00FD04E7">
        <w:rPr>
          <w:lang w:val="en-GB"/>
        </w:rPr>
        <w:t>international public finance</w:t>
      </w:r>
      <w:r w:rsidR="0070650C" w:rsidRPr="00FD04E7">
        <w:rPr>
          <w:lang w:val="en-GB"/>
        </w:rPr>
        <w:t xml:space="preserve">, debt justice, tax justice, financial sector regulation, trade and investment agreements, and business and human rights – and has </w:t>
      </w:r>
      <w:r w:rsidRPr="00FD04E7">
        <w:rPr>
          <w:lang w:val="en-GB"/>
        </w:rPr>
        <w:t xml:space="preserve">two central themes. </w:t>
      </w:r>
    </w:p>
    <w:p w14:paraId="14B3BD2E" w14:textId="7E085AAC" w:rsidR="00E56106" w:rsidRPr="00FD04E7" w:rsidRDefault="00430BB2" w:rsidP="00080EA3">
      <w:pPr>
        <w:rPr>
          <w:lang w:val="en-GB"/>
        </w:rPr>
      </w:pPr>
      <w:r w:rsidRPr="00FD04E7">
        <w:rPr>
          <w:lang w:val="en-GB"/>
        </w:rPr>
        <w:t xml:space="preserve">The first theme is that </w:t>
      </w:r>
      <w:r w:rsidRPr="00FD04E7">
        <w:rPr>
          <w:b/>
          <w:bCs/>
          <w:lang w:val="en-GB"/>
        </w:rPr>
        <w:t xml:space="preserve">global economic solutions to tackle the crisis are a disability rights issue. </w:t>
      </w:r>
      <w:r w:rsidR="005474B8" w:rsidRPr="00FD04E7">
        <w:rPr>
          <w:lang w:val="en-GB"/>
        </w:rPr>
        <w:t xml:space="preserve">Persons with </w:t>
      </w:r>
      <w:r w:rsidR="00FD04E7" w:rsidRPr="00FD04E7">
        <w:rPr>
          <w:lang w:val="en-GB"/>
        </w:rPr>
        <w:t>disabilities</w:t>
      </w:r>
      <w:r w:rsidR="005474B8" w:rsidRPr="00FD04E7">
        <w:rPr>
          <w:lang w:val="en-GB"/>
        </w:rPr>
        <w:t xml:space="preserve"> face </w:t>
      </w:r>
      <w:r w:rsidR="00447705" w:rsidRPr="00FD04E7">
        <w:rPr>
          <w:lang w:val="en-GB"/>
        </w:rPr>
        <w:t xml:space="preserve">compounding inequalities that </w:t>
      </w:r>
      <w:r w:rsidR="005474B8" w:rsidRPr="00FD04E7">
        <w:rPr>
          <w:lang w:val="en-GB"/>
        </w:rPr>
        <w:t xml:space="preserve">leave them </w:t>
      </w:r>
      <w:r w:rsidR="00447705" w:rsidRPr="00FD04E7">
        <w:rPr>
          <w:lang w:val="en-GB"/>
        </w:rPr>
        <w:t xml:space="preserve">particularly exposed to the effects of injustices such as excessive debt burdens or tax </w:t>
      </w:r>
      <w:r w:rsidR="009F2821" w:rsidRPr="00FD04E7">
        <w:rPr>
          <w:lang w:val="en-GB"/>
        </w:rPr>
        <w:t>dodging</w:t>
      </w:r>
      <w:r w:rsidR="00447705" w:rsidRPr="00FD04E7">
        <w:rPr>
          <w:lang w:val="en-GB"/>
        </w:rPr>
        <w:t xml:space="preserve"> by multinational companies. Comprehensive action to address these issues</w:t>
      </w:r>
      <w:r w:rsidR="00E56106" w:rsidRPr="00FD04E7">
        <w:rPr>
          <w:lang w:val="en-GB"/>
        </w:rPr>
        <w:t>, including through fundamental changes to the global economic architecture,</w:t>
      </w:r>
      <w:r w:rsidR="00447705" w:rsidRPr="00FD04E7">
        <w:rPr>
          <w:lang w:val="en-GB"/>
        </w:rPr>
        <w:t xml:space="preserve"> is </w:t>
      </w:r>
      <w:r w:rsidR="005474B8" w:rsidRPr="00FD04E7">
        <w:rPr>
          <w:lang w:val="en-GB"/>
        </w:rPr>
        <w:t xml:space="preserve">therefore </w:t>
      </w:r>
      <w:r w:rsidR="00447705" w:rsidRPr="00FD04E7">
        <w:rPr>
          <w:lang w:val="en-GB"/>
        </w:rPr>
        <w:t>essential to realising the rights of all persons with disabilities across the world.</w:t>
      </w:r>
      <w:r w:rsidR="005474B8" w:rsidRPr="00FD04E7">
        <w:rPr>
          <w:lang w:val="en-GB"/>
        </w:rPr>
        <w:t xml:space="preserve"> </w:t>
      </w:r>
    </w:p>
    <w:p w14:paraId="44964A55" w14:textId="4F1C17F6" w:rsidR="005926A2" w:rsidRPr="00FD04E7" w:rsidRDefault="00E56106" w:rsidP="004F751D">
      <w:pPr>
        <w:rPr>
          <w:lang w:val="en-GB"/>
        </w:rPr>
      </w:pPr>
      <w:r w:rsidRPr="00FD04E7">
        <w:rPr>
          <w:lang w:val="en-GB"/>
        </w:rPr>
        <w:t>The second theme is tha</w:t>
      </w:r>
      <w:r w:rsidR="004F751D" w:rsidRPr="00FD04E7">
        <w:rPr>
          <w:lang w:val="en-GB"/>
        </w:rPr>
        <w:t xml:space="preserve">t </w:t>
      </w:r>
      <w:r w:rsidR="004F751D" w:rsidRPr="00FD04E7">
        <w:rPr>
          <w:b/>
          <w:bCs/>
          <w:lang w:val="en-GB"/>
        </w:rPr>
        <w:t>all proposed economic policies should be assessed for their potential impact on the enjoyment of rights and social justice by persons with disabilities</w:t>
      </w:r>
      <w:r w:rsidR="004F751D" w:rsidRPr="00FD04E7">
        <w:rPr>
          <w:lang w:val="en-GB"/>
        </w:rPr>
        <w:t xml:space="preserve">, taking an intersectional approach. </w:t>
      </w:r>
      <w:r w:rsidR="008D730A" w:rsidRPr="00FD04E7">
        <w:rPr>
          <w:lang w:val="en-GB"/>
        </w:rPr>
        <w:t xml:space="preserve">Sometimes it is assumed that, so long as economic policy seeks to tackle income inequality, this will ensure substantive equality for persons with disabilities. </w:t>
      </w:r>
      <w:r w:rsidR="00E06ED9" w:rsidRPr="00FD04E7">
        <w:rPr>
          <w:lang w:val="en-GB"/>
        </w:rPr>
        <w:t>O</w:t>
      </w:r>
      <w:r w:rsidR="008D730A" w:rsidRPr="00FD04E7">
        <w:rPr>
          <w:lang w:val="en-GB"/>
        </w:rPr>
        <w:t xml:space="preserve">n the contrary, the rights of persons with disabilities have important and specific implications for </w:t>
      </w:r>
      <w:r w:rsidR="00E06ED9" w:rsidRPr="00FD04E7">
        <w:rPr>
          <w:lang w:val="en-GB"/>
        </w:rPr>
        <w:t xml:space="preserve">many areas of </w:t>
      </w:r>
      <w:r w:rsidR="00FD04E7" w:rsidRPr="00FD04E7">
        <w:rPr>
          <w:lang w:val="en-GB"/>
        </w:rPr>
        <w:t>economic</w:t>
      </w:r>
      <w:r w:rsidR="00F0384F" w:rsidRPr="00FD04E7">
        <w:rPr>
          <w:lang w:val="en-GB"/>
        </w:rPr>
        <w:t xml:space="preserve"> policy making</w:t>
      </w:r>
      <w:r w:rsidR="008D730A" w:rsidRPr="00FD04E7">
        <w:rPr>
          <w:lang w:val="en-GB"/>
        </w:rPr>
        <w:t xml:space="preserve"> –</w:t>
      </w:r>
      <w:r w:rsidR="00F35CCF" w:rsidRPr="00FD04E7">
        <w:rPr>
          <w:lang w:val="en-GB"/>
        </w:rPr>
        <w:t xml:space="preserve"> from </w:t>
      </w:r>
      <w:r w:rsidR="005F2BD4" w:rsidRPr="00FD04E7">
        <w:rPr>
          <w:lang w:val="en-GB"/>
        </w:rPr>
        <w:t xml:space="preserve">the financial instruments used in </w:t>
      </w:r>
      <w:r w:rsidR="00AE1B21" w:rsidRPr="00FD04E7">
        <w:rPr>
          <w:lang w:val="en-GB"/>
        </w:rPr>
        <w:t>international public finance</w:t>
      </w:r>
      <w:r w:rsidR="005F2BD4" w:rsidRPr="00FD04E7">
        <w:rPr>
          <w:lang w:val="en-GB"/>
        </w:rPr>
        <w:t xml:space="preserve">, to the regulation of private sector actors. </w:t>
      </w:r>
      <w:r w:rsidR="008D730A" w:rsidRPr="00FD04E7">
        <w:rPr>
          <w:lang w:val="en-GB"/>
        </w:rPr>
        <w:t>Unless these implications are taken into account, there is a risk that economic policies will leav</w:t>
      </w:r>
      <w:r w:rsidR="00530C14" w:rsidRPr="00FD04E7">
        <w:rPr>
          <w:lang w:val="en-GB"/>
        </w:rPr>
        <w:t>e</w:t>
      </w:r>
      <w:r w:rsidR="008D730A" w:rsidRPr="00FD04E7">
        <w:rPr>
          <w:lang w:val="en-GB"/>
        </w:rPr>
        <w:t xml:space="preserve"> some persons with disabilities even further excluded. </w:t>
      </w:r>
    </w:p>
    <w:p w14:paraId="6CC79BC7" w14:textId="550E36F3" w:rsidR="00AD7F22" w:rsidRPr="00FD04E7" w:rsidRDefault="00244F21" w:rsidP="00E44D5A">
      <w:pPr>
        <w:rPr>
          <w:lang w:val="en-GB"/>
        </w:rPr>
      </w:pPr>
      <w:r w:rsidRPr="00FD04E7">
        <w:rPr>
          <w:lang w:val="en-GB"/>
        </w:rPr>
        <w:t>We hope th</w:t>
      </w:r>
      <w:r w:rsidR="003C6DE2" w:rsidRPr="00FD04E7">
        <w:rPr>
          <w:lang w:val="en-GB"/>
        </w:rPr>
        <w:t>at th</w:t>
      </w:r>
      <w:r w:rsidR="00AD7F22" w:rsidRPr="00FD04E7">
        <w:rPr>
          <w:lang w:val="en-GB"/>
        </w:rPr>
        <w:t xml:space="preserve">e considerations set out in this briefing can </w:t>
      </w:r>
      <w:r w:rsidR="00ED76BD" w:rsidRPr="00FD04E7">
        <w:rPr>
          <w:lang w:val="en-GB"/>
        </w:rPr>
        <w:t>be a useful contribution towards the collective effort for a more just global economic system after COVID-19.</w:t>
      </w:r>
    </w:p>
    <w:p w14:paraId="39DAE188" w14:textId="77777777" w:rsidR="00112B1A" w:rsidRPr="00FD04E7" w:rsidRDefault="00112B1A" w:rsidP="00112B1A">
      <w:pPr>
        <w:pStyle w:val="Heading1"/>
        <w:numPr>
          <w:ilvl w:val="0"/>
          <w:numId w:val="2"/>
        </w:numPr>
        <w:rPr>
          <w:lang w:val="en-GB"/>
        </w:rPr>
      </w:pPr>
      <w:bookmarkStart w:id="1" w:name="_Toc63089189"/>
      <w:r w:rsidRPr="00FD04E7">
        <w:rPr>
          <w:lang w:val="en-GB"/>
        </w:rPr>
        <w:t>Introduction</w:t>
      </w:r>
      <w:bookmarkEnd w:id="1"/>
    </w:p>
    <w:p w14:paraId="1D0AFFF7" w14:textId="77777777" w:rsidR="00112B1A" w:rsidRPr="00FD04E7" w:rsidRDefault="00826887" w:rsidP="00826887">
      <w:pPr>
        <w:pStyle w:val="Heading2"/>
        <w:numPr>
          <w:ilvl w:val="1"/>
          <w:numId w:val="2"/>
        </w:numPr>
        <w:rPr>
          <w:lang w:val="en-GB"/>
        </w:rPr>
      </w:pPr>
      <w:bookmarkStart w:id="2" w:name="_Toc63089190"/>
      <w:r w:rsidRPr="00FD04E7">
        <w:rPr>
          <w:lang w:val="en-GB"/>
        </w:rPr>
        <w:t>Purpose of this briefing</w:t>
      </w:r>
      <w:bookmarkEnd w:id="2"/>
    </w:p>
    <w:p w14:paraId="4A0A6D3D" w14:textId="77777777" w:rsidR="0014638F" w:rsidRPr="00FD04E7" w:rsidRDefault="00851D83" w:rsidP="00826887">
      <w:pPr>
        <w:rPr>
          <w:lang w:val="en-GB"/>
        </w:rPr>
      </w:pPr>
      <w:r w:rsidRPr="00FD04E7">
        <w:rPr>
          <w:lang w:val="en-GB"/>
        </w:rPr>
        <w:t>A</w:t>
      </w:r>
      <w:r w:rsidR="0014638F" w:rsidRPr="00FD04E7">
        <w:rPr>
          <w:lang w:val="en-GB"/>
        </w:rPr>
        <w:t xml:space="preserve">s the devastating economic consequences of COVID-19 became clear, multilateral institutions, governments, civil society actors and academics </w:t>
      </w:r>
      <w:r w:rsidR="002C2C16" w:rsidRPr="00FD04E7">
        <w:rPr>
          <w:lang w:val="en-GB"/>
        </w:rPr>
        <w:t>put forward diverse and sometimes far-reaching proposals for financing the worldwide response to the crisis.</w:t>
      </w:r>
      <w:r w:rsidR="00B54BE3" w:rsidRPr="00FD04E7">
        <w:rPr>
          <w:rStyle w:val="FootnoteReference"/>
          <w:lang w:val="en-GB"/>
        </w:rPr>
        <w:footnoteReference w:id="2"/>
      </w:r>
    </w:p>
    <w:p w14:paraId="4BD365B4" w14:textId="698360AE" w:rsidR="006656ED" w:rsidRPr="00FD04E7" w:rsidRDefault="00A04E0F" w:rsidP="008661E3">
      <w:pPr>
        <w:rPr>
          <w:lang w:val="en-GB"/>
        </w:rPr>
      </w:pPr>
      <w:r w:rsidRPr="00FD04E7">
        <w:rPr>
          <w:lang w:val="en-GB"/>
        </w:rPr>
        <w:t xml:space="preserve">Though </w:t>
      </w:r>
      <w:r w:rsidR="00661900" w:rsidRPr="00FD04E7">
        <w:rPr>
          <w:lang w:val="en-GB"/>
        </w:rPr>
        <w:t xml:space="preserve">they are </w:t>
      </w:r>
      <w:r w:rsidR="00020A0A" w:rsidRPr="00FD04E7">
        <w:rPr>
          <w:lang w:val="en-GB"/>
        </w:rPr>
        <w:t>rarely</w:t>
      </w:r>
      <w:r w:rsidRPr="00FD04E7">
        <w:rPr>
          <w:lang w:val="en-GB"/>
        </w:rPr>
        <w:t xml:space="preserve"> stated</w:t>
      </w:r>
      <w:r w:rsidR="00145ABE" w:rsidRPr="00FD04E7">
        <w:rPr>
          <w:lang w:val="en-GB"/>
        </w:rPr>
        <w:t xml:space="preserve"> explicitly</w:t>
      </w:r>
      <w:r w:rsidRPr="00FD04E7">
        <w:rPr>
          <w:lang w:val="en-GB"/>
        </w:rPr>
        <w:t>, such proposals have profound implications for the rights of persons with disabilities, who make up some 15% of the world’s population,</w:t>
      </w:r>
      <w:r w:rsidR="00D57008" w:rsidRPr="00FD04E7">
        <w:rPr>
          <w:rStyle w:val="FootnoteReference"/>
          <w:lang w:val="en-GB"/>
        </w:rPr>
        <w:footnoteReference w:id="3"/>
      </w:r>
      <w:r w:rsidRPr="00FD04E7">
        <w:rPr>
          <w:lang w:val="en-GB"/>
        </w:rPr>
        <w:t xml:space="preserve"> and have been hit particularly hard by COVID-19.</w:t>
      </w:r>
      <w:r w:rsidR="00664162" w:rsidRPr="00FD04E7">
        <w:rPr>
          <w:lang w:val="en-GB"/>
        </w:rPr>
        <w:t xml:space="preserve"> </w:t>
      </w:r>
      <w:r w:rsidR="0010400A" w:rsidRPr="00FD04E7">
        <w:rPr>
          <w:lang w:val="en-GB"/>
        </w:rPr>
        <w:t xml:space="preserve">(For </w:t>
      </w:r>
      <w:r w:rsidR="00764D38" w:rsidRPr="00FD04E7">
        <w:rPr>
          <w:lang w:val="en-GB"/>
        </w:rPr>
        <w:t>more on what we mean by</w:t>
      </w:r>
      <w:r w:rsidR="0010400A" w:rsidRPr="00FD04E7">
        <w:rPr>
          <w:lang w:val="en-GB"/>
        </w:rPr>
        <w:t xml:space="preserve"> </w:t>
      </w:r>
      <w:r w:rsidR="00764D38" w:rsidRPr="00FD04E7">
        <w:rPr>
          <w:lang w:val="en-GB"/>
        </w:rPr>
        <w:t xml:space="preserve">‘persons with </w:t>
      </w:r>
      <w:r w:rsidR="0010400A" w:rsidRPr="00FD04E7">
        <w:rPr>
          <w:lang w:val="en-GB"/>
        </w:rPr>
        <w:t>disabilit</w:t>
      </w:r>
      <w:r w:rsidR="00764D38" w:rsidRPr="00FD04E7">
        <w:rPr>
          <w:lang w:val="en-GB"/>
        </w:rPr>
        <w:t>ies’</w:t>
      </w:r>
      <w:r w:rsidR="0010400A" w:rsidRPr="00FD04E7">
        <w:rPr>
          <w:lang w:val="en-GB"/>
        </w:rPr>
        <w:t>, see Box 1).</w:t>
      </w:r>
    </w:p>
    <w:p w14:paraId="69C5A984" w14:textId="0E0DA7A7" w:rsidR="00480261" w:rsidRPr="00FD04E7" w:rsidRDefault="003E7CA6" w:rsidP="00826887">
      <w:pPr>
        <w:rPr>
          <w:lang w:val="en-GB"/>
        </w:rPr>
      </w:pPr>
      <w:r w:rsidRPr="00FD04E7">
        <w:rPr>
          <w:lang w:val="en-GB"/>
        </w:rPr>
        <w:t xml:space="preserve">Taking a broad understanding of social justice that encompasses </w:t>
      </w:r>
      <w:r w:rsidR="00D674EF" w:rsidRPr="00FD04E7">
        <w:rPr>
          <w:lang w:val="en-GB"/>
        </w:rPr>
        <w:t>environmental</w:t>
      </w:r>
      <w:r w:rsidR="00611BEE" w:rsidRPr="00FD04E7">
        <w:rPr>
          <w:lang w:val="en-GB"/>
        </w:rPr>
        <w:t xml:space="preserve"> </w:t>
      </w:r>
      <w:r w:rsidR="00142D2B" w:rsidRPr="00FD04E7">
        <w:rPr>
          <w:lang w:val="en-GB"/>
        </w:rPr>
        <w:t>as well as societal</w:t>
      </w:r>
      <w:r w:rsidRPr="00FD04E7">
        <w:rPr>
          <w:lang w:val="en-GB"/>
        </w:rPr>
        <w:t xml:space="preserve"> </w:t>
      </w:r>
      <w:r w:rsidR="008B5A08" w:rsidRPr="00FD04E7">
        <w:rPr>
          <w:lang w:val="en-GB"/>
        </w:rPr>
        <w:t>d</w:t>
      </w:r>
      <w:r w:rsidR="00985A4F" w:rsidRPr="00FD04E7">
        <w:rPr>
          <w:lang w:val="en-GB"/>
        </w:rPr>
        <w:t>eterminants of just outcomes</w:t>
      </w:r>
      <w:r w:rsidRPr="00FD04E7">
        <w:rPr>
          <w:lang w:val="en-GB"/>
        </w:rPr>
        <w:t xml:space="preserve">, </w:t>
      </w:r>
      <w:r w:rsidR="00D07FD3" w:rsidRPr="00FD04E7">
        <w:rPr>
          <w:lang w:val="en-GB"/>
        </w:rPr>
        <w:t>t</w:t>
      </w:r>
      <w:r w:rsidR="00664162" w:rsidRPr="00FD04E7">
        <w:rPr>
          <w:lang w:val="en-GB"/>
        </w:rPr>
        <w:t>his brie</w:t>
      </w:r>
      <w:r w:rsidR="00DE01AE" w:rsidRPr="00FD04E7">
        <w:rPr>
          <w:lang w:val="en-GB"/>
        </w:rPr>
        <w:t xml:space="preserve">fing </w:t>
      </w:r>
      <w:r w:rsidR="00664162" w:rsidRPr="00FD04E7">
        <w:rPr>
          <w:lang w:val="en-GB"/>
        </w:rPr>
        <w:t xml:space="preserve">sets out some key considerations for ensuring that </w:t>
      </w:r>
      <w:r w:rsidR="00312875" w:rsidRPr="00FD04E7">
        <w:rPr>
          <w:lang w:val="en-GB"/>
        </w:rPr>
        <w:lastRenderedPageBreak/>
        <w:t xml:space="preserve">international </w:t>
      </w:r>
      <w:r w:rsidR="00664162" w:rsidRPr="00FD04E7">
        <w:rPr>
          <w:lang w:val="en-GB"/>
        </w:rPr>
        <w:t xml:space="preserve">economic policy responses to the crisis always </w:t>
      </w:r>
      <w:r w:rsidR="00357620" w:rsidRPr="00FD04E7">
        <w:rPr>
          <w:lang w:val="en-GB"/>
        </w:rPr>
        <w:t xml:space="preserve">contribute to the enjoyment of </w:t>
      </w:r>
      <w:r w:rsidR="002A3C65" w:rsidRPr="00FD04E7">
        <w:rPr>
          <w:lang w:val="en-GB"/>
        </w:rPr>
        <w:t xml:space="preserve">human </w:t>
      </w:r>
      <w:r w:rsidR="00357620" w:rsidRPr="00FD04E7">
        <w:rPr>
          <w:lang w:val="en-GB"/>
        </w:rPr>
        <w:t xml:space="preserve">rights and </w:t>
      </w:r>
      <w:r w:rsidR="005E698A" w:rsidRPr="00FD04E7">
        <w:rPr>
          <w:lang w:val="en-GB"/>
        </w:rPr>
        <w:t>social justice</w:t>
      </w:r>
      <w:r w:rsidR="00F170AA" w:rsidRPr="00FD04E7">
        <w:rPr>
          <w:lang w:val="en-GB"/>
        </w:rPr>
        <w:t xml:space="preserve"> </w:t>
      </w:r>
      <w:r w:rsidR="00357620" w:rsidRPr="00FD04E7">
        <w:rPr>
          <w:lang w:val="en-GB"/>
        </w:rPr>
        <w:t>by</w:t>
      </w:r>
      <w:r w:rsidR="00664162" w:rsidRPr="00FD04E7">
        <w:rPr>
          <w:lang w:val="en-GB"/>
        </w:rPr>
        <w:t xml:space="preserve"> persons with disabilities</w:t>
      </w:r>
      <w:r w:rsidR="00115188" w:rsidRPr="00FD04E7">
        <w:rPr>
          <w:lang w:val="en-GB"/>
        </w:rPr>
        <w:t xml:space="preserve"> in their diversit</w:t>
      </w:r>
      <w:r w:rsidR="00312875" w:rsidRPr="00FD04E7">
        <w:rPr>
          <w:lang w:val="en-GB"/>
        </w:rPr>
        <w:t>y</w:t>
      </w:r>
      <w:r w:rsidR="00C668FF" w:rsidRPr="00FD04E7">
        <w:rPr>
          <w:lang w:val="en-GB"/>
        </w:rPr>
        <w:t>, especially those in the Global South</w:t>
      </w:r>
      <w:r w:rsidRPr="00FD04E7">
        <w:rPr>
          <w:lang w:val="en-GB"/>
        </w:rPr>
        <w:t xml:space="preserve">.  </w:t>
      </w:r>
    </w:p>
    <w:p w14:paraId="5CF691B7" w14:textId="5F7A16B3" w:rsidR="00115188" w:rsidRPr="00FD04E7" w:rsidRDefault="00D26EDB" w:rsidP="00826887">
      <w:pPr>
        <w:rPr>
          <w:lang w:val="en-GB"/>
        </w:rPr>
      </w:pPr>
      <w:r w:rsidRPr="00FD04E7">
        <w:rPr>
          <w:lang w:val="en-GB"/>
        </w:rPr>
        <w:t>Looking at a variety of economic policy areas, the briefing expands on two basic themes</w:t>
      </w:r>
      <w:r w:rsidR="00115188" w:rsidRPr="00FD04E7">
        <w:rPr>
          <w:lang w:val="en-GB"/>
        </w:rPr>
        <w:t>:</w:t>
      </w:r>
    </w:p>
    <w:p w14:paraId="7A40FA22" w14:textId="74661E64" w:rsidR="00D26EDB" w:rsidRPr="00FD04E7" w:rsidRDefault="00EA1AD5" w:rsidP="00C34A5A">
      <w:pPr>
        <w:pStyle w:val="ListParagraph"/>
        <w:numPr>
          <w:ilvl w:val="0"/>
          <w:numId w:val="4"/>
        </w:numPr>
        <w:rPr>
          <w:lang w:val="en-GB"/>
        </w:rPr>
      </w:pPr>
      <w:r w:rsidRPr="00FD04E7">
        <w:rPr>
          <w:b/>
          <w:bCs/>
          <w:lang w:val="en-GB"/>
        </w:rPr>
        <w:t>G</w:t>
      </w:r>
      <w:r w:rsidR="00527E75" w:rsidRPr="00FD04E7">
        <w:rPr>
          <w:b/>
          <w:bCs/>
          <w:lang w:val="en-GB"/>
        </w:rPr>
        <w:t>lobal</w:t>
      </w:r>
      <w:r w:rsidR="005B73F1" w:rsidRPr="00FD04E7">
        <w:rPr>
          <w:b/>
          <w:bCs/>
          <w:lang w:val="en-GB"/>
        </w:rPr>
        <w:t xml:space="preserve"> </w:t>
      </w:r>
      <w:r w:rsidR="0074253E" w:rsidRPr="00FD04E7">
        <w:rPr>
          <w:b/>
          <w:bCs/>
          <w:lang w:val="en-GB"/>
        </w:rPr>
        <w:t xml:space="preserve">economic </w:t>
      </w:r>
      <w:r w:rsidR="005B73F1" w:rsidRPr="00FD04E7">
        <w:rPr>
          <w:b/>
          <w:bCs/>
          <w:lang w:val="en-GB"/>
        </w:rPr>
        <w:t xml:space="preserve">solutions </w:t>
      </w:r>
      <w:r w:rsidR="00527E75" w:rsidRPr="00FD04E7">
        <w:rPr>
          <w:b/>
          <w:bCs/>
          <w:lang w:val="en-GB"/>
        </w:rPr>
        <w:t xml:space="preserve">to </w:t>
      </w:r>
      <w:r w:rsidR="0074253E" w:rsidRPr="00FD04E7">
        <w:rPr>
          <w:b/>
          <w:bCs/>
          <w:lang w:val="en-GB"/>
        </w:rPr>
        <w:t xml:space="preserve">tackle the </w:t>
      </w:r>
      <w:r w:rsidR="00527E75" w:rsidRPr="00FD04E7">
        <w:rPr>
          <w:b/>
          <w:bCs/>
          <w:lang w:val="en-GB"/>
        </w:rPr>
        <w:t>crisis</w:t>
      </w:r>
      <w:r w:rsidR="005B73F1" w:rsidRPr="00FD04E7">
        <w:rPr>
          <w:b/>
          <w:bCs/>
          <w:lang w:val="en-GB"/>
        </w:rPr>
        <w:t xml:space="preserve"> </w:t>
      </w:r>
      <w:r w:rsidRPr="00FD04E7">
        <w:rPr>
          <w:b/>
          <w:bCs/>
          <w:lang w:val="en-GB"/>
        </w:rPr>
        <w:t>are</w:t>
      </w:r>
      <w:r w:rsidR="005B73F1" w:rsidRPr="00FD04E7">
        <w:rPr>
          <w:b/>
          <w:bCs/>
          <w:lang w:val="en-GB"/>
        </w:rPr>
        <w:t xml:space="preserve"> a disability rights </w:t>
      </w:r>
      <w:r w:rsidR="002A25DF" w:rsidRPr="00FD04E7">
        <w:rPr>
          <w:b/>
          <w:bCs/>
          <w:lang w:val="en-GB"/>
        </w:rPr>
        <w:t>issue</w:t>
      </w:r>
      <w:r w:rsidR="002A25DF" w:rsidRPr="00FD04E7">
        <w:rPr>
          <w:lang w:val="en-GB"/>
        </w:rPr>
        <w:t xml:space="preserve">. </w:t>
      </w:r>
      <w:r w:rsidR="00D26EDB" w:rsidRPr="00FD04E7">
        <w:rPr>
          <w:lang w:val="en-GB"/>
        </w:rPr>
        <w:t xml:space="preserve">Because of the compounding inequalities that they face, persons with disabilities are particularly exposed to the effects of </w:t>
      </w:r>
      <w:r w:rsidR="00447705" w:rsidRPr="00FD04E7">
        <w:rPr>
          <w:lang w:val="en-GB"/>
        </w:rPr>
        <w:t>injustices</w:t>
      </w:r>
      <w:r w:rsidR="0065386F" w:rsidRPr="00FD04E7">
        <w:rPr>
          <w:lang w:val="en-GB"/>
        </w:rPr>
        <w:t xml:space="preserve"> </w:t>
      </w:r>
      <w:r w:rsidR="00D26EDB" w:rsidRPr="00FD04E7">
        <w:rPr>
          <w:lang w:val="en-GB"/>
        </w:rPr>
        <w:t xml:space="preserve">such as excessive debt burdens or </w:t>
      </w:r>
      <w:r w:rsidR="00532EE7" w:rsidRPr="00FD04E7">
        <w:rPr>
          <w:lang w:val="en-GB"/>
        </w:rPr>
        <w:t xml:space="preserve">tax </w:t>
      </w:r>
      <w:r w:rsidR="009F2821" w:rsidRPr="00FD04E7">
        <w:rPr>
          <w:lang w:val="en-GB"/>
        </w:rPr>
        <w:t>dodging</w:t>
      </w:r>
      <w:r w:rsidR="00532EE7" w:rsidRPr="00FD04E7">
        <w:rPr>
          <w:lang w:val="en-GB"/>
        </w:rPr>
        <w:t xml:space="preserve"> by multinational companies. </w:t>
      </w:r>
      <w:r w:rsidR="00C668FF" w:rsidRPr="00FD04E7">
        <w:rPr>
          <w:lang w:val="en-GB"/>
        </w:rPr>
        <w:t xml:space="preserve">Comprehensive action to </w:t>
      </w:r>
      <w:r w:rsidR="000859BA" w:rsidRPr="00FD04E7">
        <w:rPr>
          <w:lang w:val="en-GB"/>
        </w:rPr>
        <w:t>address</w:t>
      </w:r>
      <w:r w:rsidR="00C668FF" w:rsidRPr="00FD04E7">
        <w:rPr>
          <w:lang w:val="en-GB"/>
        </w:rPr>
        <w:t xml:space="preserve"> these </w:t>
      </w:r>
      <w:r w:rsidRPr="00FD04E7">
        <w:rPr>
          <w:lang w:val="en-GB"/>
        </w:rPr>
        <w:t>issues</w:t>
      </w:r>
      <w:r w:rsidR="00C668FF" w:rsidRPr="00FD04E7">
        <w:rPr>
          <w:lang w:val="en-GB"/>
        </w:rPr>
        <w:t>, including through</w:t>
      </w:r>
      <w:r w:rsidR="00AE3CDF" w:rsidRPr="00FD04E7">
        <w:rPr>
          <w:lang w:val="en-GB"/>
        </w:rPr>
        <w:t xml:space="preserve"> </w:t>
      </w:r>
      <w:r w:rsidR="00D8221B" w:rsidRPr="00FD04E7">
        <w:rPr>
          <w:lang w:val="en-GB"/>
        </w:rPr>
        <w:t xml:space="preserve">fundamental changes to </w:t>
      </w:r>
      <w:r w:rsidR="00EA1D4B" w:rsidRPr="00FD04E7">
        <w:rPr>
          <w:lang w:val="en-GB"/>
        </w:rPr>
        <w:t xml:space="preserve">the global economic architecture, </w:t>
      </w:r>
      <w:r w:rsidR="00D8221B" w:rsidRPr="00FD04E7">
        <w:rPr>
          <w:lang w:val="en-GB"/>
        </w:rPr>
        <w:t>is essential</w:t>
      </w:r>
      <w:r w:rsidR="00AE3CDF" w:rsidRPr="00FD04E7">
        <w:rPr>
          <w:lang w:val="en-GB"/>
        </w:rPr>
        <w:t xml:space="preserve"> to realising the rights of </w:t>
      </w:r>
      <w:r w:rsidR="00D8221B" w:rsidRPr="00FD04E7">
        <w:rPr>
          <w:lang w:val="en-GB"/>
        </w:rPr>
        <w:t xml:space="preserve">all </w:t>
      </w:r>
      <w:r w:rsidR="00AE3CDF" w:rsidRPr="00FD04E7">
        <w:rPr>
          <w:lang w:val="en-GB"/>
        </w:rPr>
        <w:t xml:space="preserve">persons with disabilities across the </w:t>
      </w:r>
      <w:r w:rsidR="00FA78DA" w:rsidRPr="00FD04E7">
        <w:rPr>
          <w:lang w:val="en-GB"/>
        </w:rPr>
        <w:t>world</w:t>
      </w:r>
      <w:r w:rsidR="00AE3CDF" w:rsidRPr="00FD04E7">
        <w:rPr>
          <w:lang w:val="en-GB"/>
        </w:rPr>
        <w:t>.</w:t>
      </w:r>
    </w:p>
    <w:p w14:paraId="29C8F6B2" w14:textId="77777777" w:rsidR="00786AAD" w:rsidRPr="00FD04E7" w:rsidRDefault="00786AAD" w:rsidP="00786AAD">
      <w:pPr>
        <w:pStyle w:val="ListParagraph"/>
        <w:ind w:left="360"/>
        <w:rPr>
          <w:lang w:val="en-GB"/>
        </w:rPr>
      </w:pPr>
    </w:p>
    <w:p w14:paraId="185FFB9E" w14:textId="6126439D" w:rsidR="000966B6" w:rsidRPr="00FD04E7" w:rsidRDefault="00B174F8" w:rsidP="00FF48A9">
      <w:pPr>
        <w:pStyle w:val="ListParagraph"/>
        <w:numPr>
          <w:ilvl w:val="0"/>
          <w:numId w:val="4"/>
        </w:numPr>
        <w:rPr>
          <w:lang w:val="en-GB"/>
        </w:rPr>
      </w:pPr>
      <w:r w:rsidRPr="00FD04E7">
        <w:rPr>
          <w:b/>
          <w:bCs/>
          <w:lang w:val="en-GB"/>
        </w:rPr>
        <w:t>All proposed</w:t>
      </w:r>
      <w:r w:rsidR="001A7547" w:rsidRPr="00FD04E7">
        <w:rPr>
          <w:b/>
          <w:bCs/>
          <w:lang w:val="en-GB"/>
        </w:rPr>
        <w:t xml:space="preserve"> economic policies </w:t>
      </w:r>
      <w:r w:rsidRPr="00FD04E7">
        <w:rPr>
          <w:b/>
          <w:bCs/>
          <w:lang w:val="en-GB"/>
        </w:rPr>
        <w:t>should be assessed for their potential impact on the enjoyment of rights and social justice by persons with disabilities</w:t>
      </w:r>
      <w:r w:rsidRPr="00FD04E7">
        <w:rPr>
          <w:lang w:val="en-GB"/>
        </w:rPr>
        <w:t>, taking an intersectional approach. Sometimes it is assumed that, so long as economic policy seeks</w:t>
      </w:r>
      <w:r w:rsidR="0051783D" w:rsidRPr="00FD04E7">
        <w:rPr>
          <w:b/>
          <w:bCs/>
          <w:lang w:val="en-GB"/>
        </w:rPr>
        <w:t xml:space="preserve"> to</w:t>
      </w:r>
      <w:r w:rsidR="0027248F" w:rsidRPr="00FD04E7">
        <w:rPr>
          <w:b/>
          <w:bCs/>
          <w:lang w:val="en-GB"/>
        </w:rPr>
        <w:t xml:space="preserve"> </w:t>
      </w:r>
      <w:r w:rsidRPr="00FD04E7">
        <w:rPr>
          <w:lang w:val="en-GB"/>
        </w:rPr>
        <w:t>tackle income inequality, this will ensure substantive</w:t>
      </w:r>
      <w:r w:rsidR="0027248F" w:rsidRPr="00FD04E7">
        <w:rPr>
          <w:b/>
          <w:bCs/>
          <w:lang w:val="en-GB"/>
        </w:rPr>
        <w:t xml:space="preserve"> </w:t>
      </w:r>
      <w:r w:rsidR="0051783D" w:rsidRPr="00FD04E7">
        <w:rPr>
          <w:b/>
          <w:bCs/>
          <w:lang w:val="en-GB"/>
        </w:rPr>
        <w:t>equality</w:t>
      </w:r>
      <w:r w:rsidR="0027248F" w:rsidRPr="00FD04E7">
        <w:rPr>
          <w:b/>
          <w:bCs/>
          <w:lang w:val="en-GB"/>
        </w:rPr>
        <w:t xml:space="preserve"> for persons with disabilities.</w:t>
      </w:r>
      <w:r w:rsidR="00C75A1D" w:rsidRPr="00FD04E7">
        <w:rPr>
          <w:b/>
          <w:bCs/>
          <w:lang w:val="en-GB"/>
        </w:rPr>
        <w:t xml:space="preserve"> </w:t>
      </w:r>
      <w:r w:rsidRPr="00FD04E7">
        <w:rPr>
          <w:lang w:val="en-GB"/>
        </w:rPr>
        <w:t xml:space="preserve">On the contrary, the rights of </w:t>
      </w:r>
      <w:r w:rsidR="000966B6" w:rsidRPr="00FD04E7">
        <w:rPr>
          <w:lang w:val="en-GB"/>
        </w:rPr>
        <w:t>persons with disabilities</w:t>
      </w:r>
      <w:r w:rsidRPr="00FD04E7">
        <w:rPr>
          <w:lang w:val="en-GB"/>
        </w:rPr>
        <w:t xml:space="preserve"> have important and specific implications for many areas of </w:t>
      </w:r>
      <w:r w:rsidR="00FD04E7" w:rsidRPr="00FD04E7">
        <w:rPr>
          <w:lang w:val="en-GB"/>
        </w:rPr>
        <w:t>economic</w:t>
      </w:r>
      <w:r w:rsidRPr="00FD04E7">
        <w:rPr>
          <w:lang w:val="en-GB"/>
        </w:rPr>
        <w:t xml:space="preserve"> policy making – from the financial instruments used in international public finance, to the regulation of private sector actors. Unless these implications are taken </w:t>
      </w:r>
      <w:r w:rsidR="000966B6" w:rsidRPr="00FD04E7">
        <w:rPr>
          <w:lang w:val="en-GB"/>
        </w:rPr>
        <w:t>into account</w:t>
      </w:r>
      <w:r w:rsidRPr="00FD04E7">
        <w:rPr>
          <w:lang w:val="en-GB"/>
        </w:rPr>
        <w:t>, there is a risk that economic policies will leave</w:t>
      </w:r>
      <w:r w:rsidR="00F05AD1" w:rsidRPr="00FD04E7">
        <w:rPr>
          <w:lang w:val="en-GB"/>
        </w:rPr>
        <w:t xml:space="preserve"> some persons with disabilities even further </w:t>
      </w:r>
      <w:r w:rsidR="00224530" w:rsidRPr="00FD04E7">
        <w:rPr>
          <w:lang w:val="en-GB"/>
        </w:rPr>
        <w:t>exclud</w:t>
      </w:r>
      <w:r w:rsidR="00F05AD1" w:rsidRPr="00FD04E7">
        <w:rPr>
          <w:lang w:val="en-GB"/>
        </w:rPr>
        <w:t>ed</w:t>
      </w:r>
      <w:r w:rsidR="000966B6" w:rsidRPr="00FD04E7">
        <w:rPr>
          <w:lang w:val="en-GB"/>
        </w:rPr>
        <w:t xml:space="preserve">. </w:t>
      </w:r>
    </w:p>
    <w:p w14:paraId="38732288" w14:textId="5650EC9F" w:rsidR="008661E3" w:rsidRPr="00FD04E7" w:rsidRDefault="00E33731" w:rsidP="008661E3">
      <w:pPr>
        <w:rPr>
          <w:lang w:val="en-GB"/>
        </w:rPr>
      </w:pPr>
      <w:r w:rsidRPr="00FD04E7">
        <w:rPr>
          <w:lang w:val="en-GB"/>
        </w:rPr>
        <w:t>In view of the Stakeholder Group of Persons with Disabilities’ mandate and experience, the briefing focuses on decisions being made</w:t>
      </w:r>
      <w:r w:rsidR="00591541" w:rsidRPr="00FD04E7">
        <w:rPr>
          <w:lang w:val="en-GB"/>
        </w:rPr>
        <w:t xml:space="preserve"> by governments</w:t>
      </w:r>
      <w:r w:rsidRPr="00FD04E7">
        <w:rPr>
          <w:lang w:val="en-GB"/>
        </w:rPr>
        <w:t xml:space="preserve"> in international forums – primarily the United Nations (UN) – and on the rights of persons with disabilities. </w:t>
      </w:r>
      <w:r w:rsidR="00C608B6" w:rsidRPr="00FD04E7">
        <w:rPr>
          <w:lang w:val="en-GB"/>
        </w:rPr>
        <w:t>However, we hope</w:t>
      </w:r>
      <w:r w:rsidRPr="00FD04E7">
        <w:rPr>
          <w:lang w:val="en-GB"/>
        </w:rPr>
        <w:t xml:space="preserve"> </w:t>
      </w:r>
      <w:r w:rsidR="00BD4DF4" w:rsidRPr="00FD04E7">
        <w:rPr>
          <w:lang w:val="en-GB"/>
        </w:rPr>
        <w:t xml:space="preserve">the briefing will be a contribution and a complement to the wider literature calling for power and resources to </w:t>
      </w:r>
      <w:r w:rsidR="00696345" w:rsidRPr="00FD04E7">
        <w:rPr>
          <w:lang w:val="en-GB"/>
        </w:rPr>
        <w:t xml:space="preserve">be returned to </w:t>
      </w:r>
      <w:r w:rsidR="00A5695F" w:rsidRPr="00FD04E7">
        <w:rPr>
          <w:lang w:val="en-GB"/>
        </w:rPr>
        <w:t>marginalised and exploited people in all their diversity</w:t>
      </w:r>
      <w:r w:rsidR="00696345" w:rsidRPr="00FD04E7">
        <w:rPr>
          <w:lang w:val="en-GB"/>
        </w:rPr>
        <w:t>, at all levels of economic decision making.</w:t>
      </w:r>
    </w:p>
    <w:tbl>
      <w:tblPr>
        <w:tblStyle w:val="TableGrid"/>
        <w:tblW w:w="0" w:type="auto"/>
        <w:tblLook w:val="04A0" w:firstRow="1" w:lastRow="0" w:firstColumn="1" w:lastColumn="0" w:noHBand="0" w:noVBand="1"/>
      </w:tblPr>
      <w:tblGrid>
        <w:gridCol w:w="9016"/>
      </w:tblGrid>
      <w:tr w:rsidR="008661E3" w:rsidRPr="0035530B" w14:paraId="73DA6832" w14:textId="77777777" w:rsidTr="008661E3">
        <w:tc>
          <w:tcPr>
            <w:tcW w:w="9016" w:type="dxa"/>
          </w:tcPr>
          <w:p w14:paraId="34009DCA" w14:textId="77777777" w:rsidR="008661E3" w:rsidRPr="00FD04E7" w:rsidRDefault="008661E3" w:rsidP="008661E3">
            <w:pPr>
              <w:rPr>
                <w:b/>
                <w:bCs/>
                <w:lang w:val="en-GB"/>
              </w:rPr>
            </w:pPr>
            <w:r w:rsidRPr="00FD04E7">
              <w:rPr>
                <w:b/>
                <w:bCs/>
                <w:lang w:val="en-GB"/>
              </w:rPr>
              <w:t>Box 1: persons with disabilities</w:t>
            </w:r>
          </w:p>
          <w:p w14:paraId="16B214D1" w14:textId="77777777" w:rsidR="008661E3" w:rsidRPr="00FD04E7" w:rsidRDefault="008661E3" w:rsidP="008661E3">
            <w:pPr>
              <w:rPr>
                <w:lang w:val="en-GB"/>
              </w:rPr>
            </w:pPr>
            <w:r w:rsidRPr="00FD04E7">
              <w:rPr>
                <w:lang w:val="en-GB"/>
              </w:rPr>
              <w:t>In line with the definition of the UN Convention on the Rights of Persons with Disabilities,</w:t>
            </w:r>
            <w:r w:rsidRPr="00FD04E7">
              <w:rPr>
                <w:rStyle w:val="FootnoteReference"/>
                <w:lang w:val="en-GB"/>
              </w:rPr>
              <w:footnoteReference w:id="4"/>
            </w:r>
            <w:r w:rsidRPr="00FD04E7">
              <w:rPr>
                <w:lang w:val="en-GB"/>
              </w:rPr>
              <w:t xml:space="preserve"> persons with disabilities include those who have long-term physical, mental, intellectual, or sensory impairments, which in interaction with various barriers may hinder their full and effective participation in society on an equal basis with others.</w:t>
            </w:r>
          </w:p>
          <w:p w14:paraId="48D565E0" w14:textId="77777777" w:rsidR="008661E3" w:rsidRPr="00FD04E7" w:rsidRDefault="008661E3" w:rsidP="008661E3">
            <w:pPr>
              <w:rPr>
                <w:lang w:val="en-GB"/>
              </w:rPr>
            </w:pPr>
          </w:p>
          <w:p w14:paraId="3DB214F2" w14:textId="05607958" w:rsidR="008661E3" w:rsidRPr="00FD04E7" w:rsidRDefault="008661E3" w:rsidP="008661E3">
            <w:pPr>
              <w:rPr>
                <w:lang w:val="en-GB"/>
              </w:rPr>
            </w:pPr>
            <w:r w:rsidRPr="00FD04E7">
              <w:rPr>
                <w:lang w:val="en-GB"/>
              </w:rPr>
              <w:t>Defining disability this way means seeing disability not primarily as a medical issue, but rather as an equality issue: achieving the full enjoyment of rights and social justice for persons with disabilities requires the compounding social, economic and political barriers and inequalities that persons with disabilities face to be dismantled.</w:t>
            </w:r>
          </w:p>
        </w:tc>
      </w:tr>
    </w:tbl>
    <w:p w14:paraId="1CDC2FAA" w14:textId="77777777" w:rsidR="008661E3" w:rsidRPr="00FD04E7" w:rsidRDefault="008661E3" w:rsidP="008661E3">
      <w:pPr>
        <w:rPr>
          <w:lang w:val="en-GB"/>
        </w:rPr>
      </w:pPr>
    </w:p>
    <w:p w14:paraId="43E92B87" w14:textId="77777777" w:rsidR="00826887" w:rsidRPr="00FD04E7" w:rsidRDefault="00072269" w:rsidP="00952D80">
      <w:pPr>
        <w:pStyle w:val="Heading2"/>
        <w:numPr>
          <w:ilvl w:val="1"/>
          <w:numId w:val="2"/>
        </w:numPr>
        <w:rPr>
          <w:lang w:val="en-GB"/>
        </w:rPr>
      </w:pPr>
      <w:bookmarkStart w:id="3" w:name="_Toc63089191"/>
      <w:r w:rsidRPr="00FD04E7">
        <w:rPr>
          <w:lang w:val="en-GB"/>
        </w:rPr>
        <w:t>Persons with disabilities are among the hardest hit by COVID-19</w:t>
      </w:r>
      <w:bookmarkEnd w:id="3"/>
    </w:p>
    <w:p w14:paraId="6337BCDF" w14:textId="607171A0" w:rsidR="003E235E" w:rsidRPr="00FD04E7" w:rsidRDefault="00B543EA" w:rsidP="00AE3885">
      <w:pPr>
        <w:rPr>
          <w:lang w:val="en-GB"/>
        </w:rPr>
      </w:pPr>
      <w:r w:rsidRPr="00FD04E7">
        <w:rPr>
          <w:lang w:val="en-GB"/>
        </w:rPr>
        <w:t xml:space="preserve">The COVID-19 pandemic </w:t>
      </w:r>
      <w:r w:rsidR="002C4B8F" w:rsidRPr="00FD04E7">
        <w:rPr>
          <w:lang w:val="en-GB"/>
        </w:rPr>
        <w:t xml:space="preserve">and </w:t>
      </w:r>
      <w:r w:rsidRPr="00FD04E7">
        <w:rPr>
          <w:lang w:val="en-GB"/>
        </w:rPr>
        <w:t>subsequent policies and recovery efforts are affecting many persons with disabilities around the world in grave ways. Recent research indicates that persons with disabilities around the world have been adversely affected by the pandemic in one way or another with additional or new barriers, including new barriers in the re-opening phase.</w:t>
      </w:r>
      <w:r w:rsidR="003E235E" w:rsidRPr="00FD04E7">
        <w:rPr>
          <w:vertAlign w:val="superscript"/>
          <w:lang w:val="en-GB"/>
        </w:rPr>
        <w:footnoteReference w:id="5"/>
      </w:r>
      <w:r w:rsidR="003E235E" w:rsidRPr="00FD04E7">
        <w:rPr>
          <w:lang w:val="en-GB"/>
        </w:rPr>
        <w:t xml:space="preserve"> </w:t>
      </w:r>
    </w:p>
    <w:p w14:paraId="23D3FD8C" w14:textId="4543EF45" w:rsidR="00D43333" w:rsidRPr="00FD04E7" w:rsidRDefault="003E235E" w:rsidP="00AE3885">
      <w:pPr>
        <w:rPr>
          <w:lang w:val="en-GB"/>
        </w:rPr>
      </w:pPr>
      <w:r w:rsidRPr="00FD04E7">
        <w:rPr>
          <w:lang w:val="en-GB"/>
        </w:rPr>
        <w:lastRenderedPageBreak/>
        <w:t xml:space="preserve">Persons with disabilities have greater risk of contracting COVID-19, increased barriers in accessing healthcare services, disruptions in needed services, lack of access </w:t>
      </w:r>
      <w:r w:rsidR="00C2558A" w:rsidRPr="00FD04E7">
        <w:rPr>
          <w:lang w:val="en-GB"/>
        </w:rPr>
        <w:t xml:space="preserve">to </w:t>
      </w:r>
      <w:r w:rsidRPr="00FD04E7">
        <w:rPr>
          <w:lang w:val="en-GB"/>
        </w:rPr>
        <w:t xml:space="preserve">public information and healthcare communication messages. </w:t>
      </w:r>
      <w:r w:rsidR="00D43333" w:rsidRPr="00FD04E7">
        <w:rPr>
          <w:lang w:val="en-GB"/>
        </w:rPr>
        <w:t>Available data suggest that persons with disabil</w:t>
      </w:r>
      <w:r w:rsidR="00341737" w:rsidRPr="00FD04E7">
        <w:rPr>
          <w:lang w:val="en-GB"/>
        </w:rPr>
        <w:t>i</w:t>
      </w:r>
      <w:r w:rsidR="00D43333" w:rsidRPr="00FD04E7">
        <w:rPr>
          <w:lang w:val="en-GB"/>
        </w:rPr>
        <w:t>ties have died at a</w:t>
      </w:r>
      <w:r w:rsidR="0083611A" w:rsidRPr="00FD04E7">
        <w:rPr>
          <w:lang w:val="en-GB"/>
        </w:rPr>
        <w:t xml:space="preserve"> substanti</w:t>
      </w:r>
      <w:r w:rsidR="00D43333" w:rsidRPr="00FD04E7">
        <w:rPr>
          <w:lang w:val="en-GB"/>
        </w:rPr>
        <w:t>ally higher rate than others</w:t>
      </w:r>
      <w:r w:rsidR="00FA1F08" w:rsidRPr="00FD04E7">
        <w:rPr>
          <w:lang w:val="en-GB"/>
        </w:rPr>
        <w:t>. F</w:t>
      </w:r>
      <w:r w:rsidR="00D43333" w:rsidRPr="00FD04E7">
        <w:rPr>
          <w:lang w:val="en-GB"/>
        </w:rPr>
        <w:t xml:space="preserve">or example, </w:t>
      </w:r>
      <w:r w:rsidR="00FA1F08" w:rsidRPr="00FD04E7">
        <w:rPr>
          <w:lang w:val="en-GB"/>
        </w:rPr>
        <w:t xml:space="preserve">data from </w:t>
      </w:r>
      <w:r w:rsidR="00100236" w:rsidRPr="00FD04E7">
        <w:rPr>
          <w:lang w:val="en-GB"/>
        </w:rPr>
        <w:t xml:space="preserve">parts of </w:t>
      </w:r>
      <w:r w:rsidR="00FA1F08" w:rsidRPr="00FD04E7">
        <w:rPr>
          <w:lang w:val="en-GB"/>
        </w:rPr>
        <w:t xml:space="preserve">the United Kingdom (England and Wales) in the early months of the pandemic showed that, after controlling for certain contextual characteristics, women who </w:t>
      </w:r>
      <w:r w:rsidR="00025630" w:rsidRPr="00FD04E7">
        <w:rPr>
          <w:lang w:val="en-GB"/>
        </w:rPr>
        <w:t xml:space="preserve">had previously </w:t>
      </w:r>
      <w:r w:rsidR="00FA1F08" w:rsidRPr="00FD04E7">
        <w:rPr>
          <w:lang w:val="en-GB"/>
        </w:rPr>
        <w:t>reported that their daily activities were ‘limited a lot’ by a health problem or disability were 2.4 times more likely to die than other women, and for men the ratio is 2.0 times.</w:t>
      </w:r>
      <w:r w:rsidR="00FA1F08" w:rsidRPr="00FD04E7">
        <w:rPr>
          <w:rStyle w:val="FootnoteReference"/>
          <w:lang w:val="en-GB"/>
        </w:rPr>
        <w:footnoteReference w:id="6"/>
      </w:r>
      <w:r w:rsidR="00FA1F08" w:rsidRPr="00FD04E7">
        <w:rPr>
          <w:lang w:val="en-GB"/>
        </w:rPr>
        <w:t xml:space="preserve"> </w:t>
      </w:r>
    </w:p>
    <w:p w14:paraId="073B6454" w14:textId="518AC7C6" w:rsidR="008661E3" w:rsidRPr="00FD04E7" w:rsidRDefault="008661E3" w:rsidP="008661E3">
      <w:pPr>
        <w:rPr>
          <w:lang w:val="en-GB"/>
        </w:rPr>
      </w:pPr>
      <w:r w:rsidRPr="00FD04E7">
        <w:rPr>
          <w:lang w:val="en-GB"/>
        </w:rPr>
        <w:t>What is more</w:t>
      </w:r>
      <w:r w:rsidRPr="00FD04E7">
        <w:rPr>
          <w:rFonts w:cstheme="minorHAnsi"/>
          <w:lang w:val="en-GB"/>
        </w:rPr>
        <w:t xml:space="preserve">, </w:t>
      </w:r>
      <w:r w:rsidRPr="00FD04E7">
        <w:rPr>
          <w:rFonts w:cstheme="minorHAnsi"/>
          <w:color w:val="222222"/>
          <w:shd w:val="clear" w:color="auto" w:fill="FFFFFF"/>
          <w:lang w:val="en-GB"/>
        </w:rPr>
        <w:t xml:space="preserve">a recent </w:t>
      </w:r>
      <w:r w:rsidRPr="00FD04E7">
        <w:rPr>
          <w:rFonts w:cstheme="minorHAnsi"/>
          <w:shd w:val="clear" w:color="auto" w:fill="FFFFFF"/>
          <w:lang w:val="en-GB"/>
        </w:rPr>
        <w:t>report from a survey</w:t>
      </w:r>
      <w:r w:rsidRPr="00FD04E7">
        <w:rPr>
          <w:rFonts w:cstheme="minorHAnsi"/>
          <w:color w:val="222222"/>
          <w:shd w:val="clear" w:color="auto" w:fill="FFFFFF"/>
          <w:lang w:val="en-GB"/>
        </w:rPr>
        <w:t xml:space="preserve"> of over 2,000 persons with disabilities and their allies across the globe received testimonies of people being denied life-saving COVID-19 treatment on the basis of disability, leading to </w:t>
      </w:r>
      <w:r w:rsidR="00643B7B">
        <w:rPr>
          <w:rFonts w:cstheme="minorHAnsi"/>
          <w:color w:val="222222"/>
          <w:shd w:val="clear" w:color="auto" w:fill="FFFFFF"/>
          <w:lang w:val="en-GB"/>
        </w:rPr>
        <w:t>‘</w:t>
      </w:r>
      <w:r w:rsidRPr="00FD04E7">
        <w:rPr>
          <w:rFonts w:cstheme="minorHAnsi"/>
          <w:shd w:val="clear" w:color="auto" w:fill="FFFFFF"/>
          <w:lang w:val="en-GB"/>
        </w:rPr>
        <w:t>many preventable deaths</w:t>
      </w:r>
      <w:r w:rsidR="00643B7B">
        <w:rPr>
          <w:rFonts w:cstheme="minorHAnsi"/>
          <w:shd w:val="clear" w:color="auto" w:fill="FFFFFF"/>
          <w:lang w:val="en-GB"/>
        </w:rPr>
        <w:t>’</w:t>
      </w:r>
      <w:r w:rsidRPr="00FD04E7">
        <w:rPr>
          <w:rFonts w:cstheme="minorHAnsi"/>
          <w:color w:val="222222"/>
          <w:shd w:val="clear" w:color="auto" w:fill="FFFFFF"/>
          <w:lang w:val="en-GB"/>
        </w:rPr>
        <w:t>.</w:t>
      </w:r>
      <w:r w:rsidRPr="00FD04E7">
        <w:rPr>
          <w:rStyle w:val="FootnoteReference"/>
          <w:rFonts w:cstheme="minorHAnsi"/>
          <w:color w:val="222222"/>
          <w:shd w:val="clear" w:color="auto" w:fill="FFFFFF"/>
          <w:lang w:val="en-GB"/>
        </w:rPr>
        <w:footnoteReference w:id="7"/>
      </w:r>
      <w:r w:rsidRPr="00FD04E7">
        <w:rPr>
          <w:rFonts w:cstheme="minorHAnsi"/>
          <w:color w:val="222222"/>
          <w:shd w:val="clear" w:color="auto" w:fill="FFFFFF"/>
          <w:lang w:val="en-GB"/>
        </w:rPr>
        <w:t xml:space="preserve"> The report also highlighted failures to protect the lives and safety of persons with disabilities living in institutions, resulting in shocking cases of neglect against older persons with disabilities, some of whom have been left to die in appalling conditions.</w:t>
      </w:r>
      <w:r w:rsidRPr="00FD04E7">
        <w:rPr>
          <w:rStyle w:val="FootnoteReference"/>
          <w:rFonts w:cstheme="minorHAnsi"/>
          <w:color w:val="222222"/>
          <w:shd w:val="clear" w:color="auto" w:fill="FFFFFF"/>
          <w:lang w:val="en-GB"/>
        </w:rPr>
        <w:footnoteReference w:id="8"/>
      </w:r>
      <w:r w:rsidRPr="00FD04E7">
        <w:rPr>
          <w:rFonts w:ascii="Arial" w:hAnsi="Arial" w:cs="Arial"/>
          <w:color w:val="222222"/>
          <w:shd w:val="clear" w:color="auto" w:fill="FFFFFF"/>
          <w:lang w:val="en-GB"/>
        </w:rPr>
        <w:t xml:space="preserve"> </w:t>
      </w:r>
    </w:p>
    <w:p w14:paraId="78250942" w14:textId="77777777" w:rsidR="00632519" w:rsidRPr="00FD04E7" w:rsidRDefault="003E235E" w:rsidP="00AE3885">
      <w:pPr>
        <w:rPr>
          <w:lang w:val="en-GB"/>
        </w:rPr>
      </w:pPr>
      <w:r w:rsidRPr="00FD04E7">
        <w:rPr>
          <w:lang w:val="en-GB"/>
        </w:rPr>
        <w:t>Women with disabilities can be particularly at risk. Women with disabilities are up to 10 times more likely to experience sexual violence than women without disabilities and this violence can be exacerbated during mandated lockdowns, shelter-in-place orders, and other periods of isolation. Additionally, most shelters and</w:t>
      </w:r>
      <w:r w:rsidRPr="00FD04E7">
        <w:rPr>
          <w:rFonts w:ascii="Verdana" w:hAnsi="Verdana"/>
          <w:lang w:val="en-GB"/>
        </w:rPr>
        <w:t xml:space="preserve"> </w:t>
      </w:r>
      <w:r w:rsidRPr="00FD04E7">
        <w:rPr>
          <w:lang w:val="en-GB"/>
        </w:rPr>
        <w:t>other programs are inaccessible to women with disabilities.</w:t>
      </w:r>
      <w:r w:rsidRPr="00FD04E7">
        <w:rPr>
          <w:vertAlign w:val="superscript"/>
          <w:lang w:val="en-GB"/>
        </w:rPr>
        <w:footnoteReference w:id="9"/>
      </w:r>
      <w:r w:rsidRPr="00FD04E7">
        <w:rPr>
          <w:lang w:val="en-GB"/>
        </w:rPr>
        <w:t xml:space="preserve"> </w:t>
      </w:r>
    </w:p>
    <w:p w14:paraId="6C55A740" w14:textId="3FE111F4" w:rsidR="003E235E" w:rsidRPr="00FD04E7" w:rsidRDefault="003E235E" w:rsidP="00AE3885">
      <w:pPr>
        <w:rPr>
          <w:lang w:val="en-GB"/>
        </w:rPr>
      </w:pPr>
      <w:r w:rsidRPr="00FD04E7">
        <w:rPr>
          <w:lang w:val="en-GB"/>
        </w:rPr>
        <w:t xml:space="preserve">Further compounding the issue, persons with disabilities are being left out of the recovery phase and are disproportionately impacted by the socioeconomic impacts due to the pandemic. Moreover, there is </w:t>
      </w:r>
      <w:r w:rsidR="00D43333" w:rsidRPr="00FD04E7">
        <w:rPr>
          <w:lang w:val="en-GB"/>
        </w:rPr>
        <w:t xml:space="preserve">a widespread </w:t>
      </w:r>
      <w:r w:rsidRPr="00FD04E7">
        <w:rPr>
          <w:lang w:val="en-GB"/>
        </w:rPr>
        <w:t>lack of COVID-19 and disability data to measure the impact on the lives of persons with disabilities.</w:t>
      </w:r>
    </w:p>
    <w:p w14:paraId="52D9B0AE" w14:textId="5FE459DF" w:rsidR="00B65A0E" w:rsidRPr="00FD04E7" w:rsidRDefault="003E235E" w:rsidP="00B65A0E">
      <w:pPr>
        <w:rPr>
          <w:rFonts w:cstheme="minorHAnsi"/>
          <w:lang w:val="en-GB"/>
        </w:rPr>
      </w:pPr>
      <w:r w:rsidRPr="00FD04E7">
        <w:rPr>
          <w:lang w:val="en-GB"/>
        </w:rPr>
        <w:t xml:space="preserve">Many organizations of persons with disabilities and international NGOs have carried out qualitative research to gather data to better understand the situation of persons with disabilities in the pandemic. Findings indicate that myriad barriers exist for persons with disabilities as a result of the pandemic, including additional and new ones. </w:t>
      </w:r>
      <w:r w:rsidR="00B65A0E" w:rsidRPr="00FD04E7">
        <w:rPr>
          <w:rFonts w:cstheme="minorHAnsi"/>
          <w:lang w:val="en-GB"/>
        </w:rPr>
        <w:t>For example, the major survey cited above</w:t>
      </w:r>
      <w:r w:rsidR="00B65A0E" w:rsidRPr="00FD04E7">
        <w:rPr>
          <w:rFonts w:cstheme="minorHAnsi"/>
          <w:color w:val="222222"/>
          <w:shd w:val="clear" w:color="auto" w:fill="FFFFFF"/>
          <w:lang w:val="en-GB"/>
        </w:rPr>
        <w:t xml:space="preserve"> </w:t>
      </w:r>
      <w:r w:rsidR="007F392C" w:rsidRPr="00FD04E7">
        <w:rPr>
          <w:rFonts w:cstheme="minorHAnsi"/>
          <w:color w:val="222222"/>
          <w:shd w:val="clear" w:color="auto" w:fill="FFFFFF"/>
          <w:lang w:val="en-GB"/>
        </w:rPr>
        <w:t>identified</w:t>
      </w:r>
      <w:r w:rsidR="00B65A0E" w:rsidRPr="00FD04E7">
        <w:rPr>
          <w:rFonts w:cstheme="minorHAnsi"/>
          <w:color w:val="222222"/>
          <w:shd w:val="clear" w:color="auto" w:fill="FFFFFF"/>
          <w:lang w:val="en-GB"/>
        </w:rPr>
        <w:t xml:space="preserve"> that many governments have not adequately ensured persons with disabilities could access essential commodities like food and medicine.</w:t>
      </w:r>
      <w:r w:rsidR="007F392C" w:rsidRPr="00FD04E7">
        <w:rPr>
          <w:rStyle w:val="FootnoteReference"/>
          <w:rFonts w:cstheme="minorHAnsi"/>
          <w:color w:val="222222"/>
          <w:shd w:val="clear" w:color="auto" w:fill="FFFFFF"/>
          <w:lang w:val="en-GB"/>
        </w:rPr>
        <w:footnoteReference w:id="10"/>
      </w:r>
    </w:p>
    <w:p w14:paraId="2CFE4633" w14:textId="77777777" w:rsidR="003E235E" w:rsidRPr="00FD04E7" w:rsidRDefault="003E235E" w:rsidP="00AE3885">
      <w:pPr>
        <w:rPr>
          <w:lang w:val="en-GB"/>
        </w:rPr>
      </w:pPr>
      <w:r w:rsidRPr="00FD04E7">
        <w:rPr>
          <w:lang w:val="en-GB"/>
        </w:rPr>
        <w:lastRenderedPageBreak/>
        <w:t>Moreover, in the Covid-19 pandemic, some persons with disabilities experience double jeopardy—not only are persons with disabilities disproportionately impacted by the pandemic, but they are also disproportionately excluded from protection and survival support.</w:t>
      </w:r>
      <w:r w:rsidRPr="00FD04E7">
        <w:rPr>
          <w:vertAlign w:val="superscript"/>
          <w:lang w:val="en-GB"/>
        </w:rPr>
        <w:footnoteReference w:id="11"/>
      </w:r>
      <w:r w:rsidRPr="00FD04E7">
        <w:rPr>
          <w:lang w:val="en-GB"/>
        </w:rPr>
        <w:t xml:space="preserve"> </w:t>
      </w:r>
    </w:p>
    <w:p w14:paraId="5029F50A" w14:textId="518B6DEA" w:rsidR="00230ECD" w:rsidRPr="00FD04E7" w:rsidRDefault="00ED421A" w:rsidP="00052DC6">
      <w:pPr>
        <w:pStyle w:val="Default"/>
        <w:spacing w:after="160" w:line="259" w:lineRule="auto"/>
        <w:rPr>
          <w:rFonts w:asciiTheme="minorHAnsi" w:hAnsiTheme="minorHAnsi" w:cstheme="minorBidi"/>
          <w:color w:val="auto"/>
          <w:sz w:val="22"/>
          <w:szCs w:val="22"/>
          <w:lang w:val="en-GB"/>
        </w:rPr>
      </w:pPr>
      <w:r w:rsidRPr="00FD04E7">
        <w:rPr>
          <w:rFonts w:asciiTheme="minorHAnsi" w:hAnsiTheme="minorHAnsi" w:cstheme="minorBidi"/>
          <w:color w:val="auto"/>
          <w:sz w:val="22"/>
          <w:szCs w:val="22"/>
          <w:lang w:val="en-GB"/>
        </w:rPr>
        <w:t>Such grossly unequal outcomes for persons with disabilities have</w:t>
      </w:r>
      <w:r w:rsidR="009373DB" w:rsidRPr="00FD04E7">
        <w:rPr>
          <w:rFonts w:asciiTheme="minorHAnsi" w:hAnsiTheme="minorHAnsi" w:cstheme="minorBidi"/>
          <w:color w:val="auto"/>
          <w:sz w:val="22"/>
          <w:szCs w:val="22"/>
          <w:lang w:val="en-GB"/>
        </w:rPr>
        <w:t xml:space="preserve"> a complex mix of root causes, </w:t>
      </w:r>
      <w:r w:rsidR="003E7DCB" w:rsidRPr="00FD04E7">
        <w:rPr>
          <w:rFonts w:asciiTheme="minorHAnsi" w:hAnsiTheme="minorHAnsi" w:cstheme="minorBidi"/>
          <w:color w:val="auto"/>
          <w:sz w:val="22"/>
          <w:szCs w:val="22"/>
          <w:lang w:val="en-GB"/>
        </w:rPr>
        <w:t>but</w:t>
      </w:r>
      <w:r w:rsidR="00230ECD" w:rsidRPr="00FD04E7">
        <w:rPr>
          <w:rFonts w:asciiTheme="minorHAnsi" w:hAnsiTheme="minorHAnsi" w:cstheme="minorBidi"/>
          <w:color w:val="auto"/>
          <w:sz w:val="22"/>
          <w:szCs w:val="22"/>
          <w:lang w:val="en-GB"/>
        </w:rPr>
        <w:t xml:space="preserve"> among them is</w:t>
      </w:r>
      <w:r w:rsidR="00E56F51" w:rsidRPr="00FD04E7">
        <w:rPr>
          <w:rFonts w:asciiTheme="minorHAnsi" w:hAnsiTheme="minorHAnsi" w:cstheme="minorBidi"/>
          <w:color w:val="auto"/>
          <w:sz w:val="22"/>
          <w:szCs w:val="22"/>
          <w:lang w:val="en-GB"/>
        </w:rPr>
        <w:t xml:space="preserve"> </w:t>
      </w:r>
      <w:r w:rsidR="001A34FF" w:rsidRPr="00FD04E7">
        <w:rPr>
          <w:rFonts w:asciiTheme="minorHAnsi" w:hAnsiTheme="minorHAnsi" w:cstheme="minorBidi"/>
          <w:color w:val="auto"/>
          <w:sz w:val="22"/>
          <w:szCs w:val="22"/>
          <w:lang w:val="en-GB"/>
        </w:rPr>
        <w:t>a</w:t>
      </w:r>
      <w:r w:rsidR="00230ECD" w:rsidRPr="00FD04E7">
        <w:rPr>
          <w:rFonts w:asciiTheme="minorHAnsi" w:hAnsiTheme="minorHAnsi" w:cstheme="minorBidi"/>
          <w:color w:val="auto"/>
          <w:sz w:val="22"/>
          <w:szCs w:val="22"/>
          <w:lang w:val="en-GB"/>
        </w:rPr>
        <w:t xml:space="preserve"> longstanding lack of </w:t>
      </w:r>
      <w:r w:rsidR="001A34FF" w:rsidRPr="00FD04E7">
        <w:rPr>
          <w:rFonts w:asciiTheme="minorHAnsi" w:hAnsiTheme="minorHAnsi" w:cstheme="minorBidi"/>
          <w:color w:val="auto"/>
          <w:sz w:val="22"/>
          <w:szCs w:val="22"/>
          <w:lang w:val="en-GB"/>
        </w:rPr>
        <w:t>priority attached</w:t>
      </w:r>
      <w:r w:rsidR="00230ECD" w:rsidRPr="00FD04E7">
        <w:rPr>
          <w:rFonts w:asciiTheme="minorHAnsi" w:hAnsiTheme="minorHAnsi" w:cstheme="minorBidi"/>
          <w:color w:val="auto"/>
          <w:sz w:val="22"/>
          <w:szCs w:val="22"/>
          <w:lang w:val="en-GB"/>
        </w:rPr>
        <w:t xml:space="preserve"> to the rights of persons with disabilities in </w:t>
      </w:r>
      <w:r w:rsidR="00E56F51" w:rsidRPr="00FD04E7">
        <w:rPr>
          <w:rFonts w:asciiTheme="minorHAnsi" w:hAnsiTheme="minorHAnsi" w:cstheme="minorBidi"/>
          <w:color w:val="auto"/>
          <w:sz w:val="22"/>
          <w:szCs w:val="22"/>
          <w:lang w:val="en-GB"/>
        </w:rPr>
        <w:t>much economic policymaking</w:t>
      </w:r>
      <w:r w:rsidR="00230ECD" w:rsidRPr="00FD04E7">
        <w:rPr>
          <w:rFonts w:asciiTheme="minorHAnsi" w:hAnsiTheme="minorHAnsi" w:cstheme="minorBidi"/>
          <w:color w:val="auto"/>
          <w:sz w:val="22"/>
          <w:szCs w:val="22"/>
          <w:lang w:val="en-GB"/>
        </w:rPr>
        <w:t xml:space="preserve">, meaning that in many </w:t>
      </w:r>
      <w:r w:rsidR="00B136B9" w:rsidRPr="00FD04E7">
        <w:rPr>
          <w:rFonts w:asciiTheme="minorHAnsi" w:hAnsiTheme="minorHAnsi" w:cstheme="minorBidi"/>
          <w:color w:val="auto"/>
          <w:sz w:val="22"/>
          <w:szCs w:val="22"/>
          <w:lang w:val="en-GB"/>
        </w:rPr>
        <w:t>countries</w:t>
      </w:r>
      <w:r w:rsidR="00230ECD" w:rsidRPr="00FD04E7">
        <w:rPr>
          <w:rFonts w:asciiTheme="minorHAnsi" w:hAnsiTheme="minorHAnsi" w:cstheme="minorBidi"/>
          <w:color w:val="auto"/>
          <w:sz w:val="22"/>
          <w:szCs w:val="22"/>
          <w:lang w:val="en-GB"/>
        </w:rPr>
        <w:t xml:space="preserve"> inclusive and accessible social protection and other </w:t>
      </w:r>
      <w:r w:rsidR="00057F30" w:rsidRPr="00FD04E7">
        <w:rPr>
          <w:rFonts w:asciiTheme="minorHAnsi" w:hAnsiTheme="minorHAnsi" w:cstheme="minorBidi"/>
          <w:color w:val="auto"/>
          <w:sz w:val="22"/>
          <w:szCs w:val="22"/>
          <w:lang w:val="en-GB"/>
        </w:rPr>
        <w:t xml:space="preserve">social </w:t>
      </w:r>
      <w:r w:rsidR="00230ECD" w:rsidRPr="00FD04E7">
        <w:rPr>
          <w:rFonts w:asciiTheme="minorHAnsi" w:hAnsiTheme="minorHAnsi" w:cstheme="minorBidi"/>
          <w:color w:val="auto"/>
          <w:sz w:val="22"/>
          <w:szCs w:val="22"/>
          <w:lang w:val="en-GB"/>
        </w:rPr>
        <w:t>infrastructure was not in place when the crisis struck.</w:t>
      </w:r>
      <w:r w:rsidR="00230ECD" w:rsidRPr="00FD04E7">
        <w:rPr>
          <w:rStyle w:val="FootnoteReference"/>
          <w:rFonts w:asciiTheme="minorHAnsi" w:hAnsiTheme="minorHAnsi" w:cstheme="minorBidi"/>
          <w:color w:val="auto"/>
          <w:sz w:val="22"/>
          <w:szCs w:val="22"/>
          <w:lang w:val="en-GB"/>
        </w:rPr>
        <w:footnoteReference w:id="12"/>
      </w:r>
      <w:r w:rsidR="00230ECD" w:rsidRPr="00FD04E7">
        <w:rPr>
          <w:rFonts w:asciiTheme="minorHAnsi" w:hAnsiTheme="minorHAnsi" w:cstheme="minorBidi"/>
          <w:color w:val="auto"/>
          <w:sz w:val="22"/>
          <w:szCs w:val="22"/>
          <w:lang w:val="en-GB"/>
        </w:rPr>
        <w:t xml:space="preserve"> </w:t>
      </w:r>
      <w:r w:rsidR="005E08C7" w:rsidRPr="00FD04E7">
        <w:rPr>
          <w:rFonts w:asciiTheme="minorHAnsi" w:hAnsiTheme="minorHAnsi" w:cstheme="minorBidi"/>
          <w:color w:val="auto"/>
          <w:sz w:val="22"/>
          <w:szCs w:val="22"/>
          <w:lang w:val="en-GB"/>
        </w:rPr>
        <w:t xml:space="preserve">For many countries in the Global South, </w:t>
      </w:r>
      <w:r w:rsidR="001A34FF" w:rsidRPr="00FD04E7">
        <w:rPr>
          <w:rFonts w:asciiTheme="minorHAnsi" w:hAnsiTheme="minorHAnsi" w:cstheme="minorBidi"/>
          <w:color w:val="auto"/>
          <w:sz w:val="22"/>
          <w:szCs w:val="22"/>
          <w:lang w:val="en-GB"/>
        </w:rPr>
        <w:t xml:space="preserve">this is not just a reflection of domestic policy choices, but also of </w:t>
      </w:r>
      <w:r w:rsidR="005E08C7" w:rsidRPr="00FD04E7">
        <w:rPr>
          <w:rFonts w:asciiTheme="minorHAnsi" w:hAnsiTheme="minorHAnsi" w:cstheme="minorBidi"/>
          <w:color w:val="auto"/>
          <w:sz w:val="22"/>
          <w:szCs w:val="22"/>
          <w:lang w:val="en-GB"/>
        </w:rPr>
        <w:t xml:space="preserve">international actors’ </w:t>
      </w:r>
      <w:r w:rsidR="001A34FF" w:rsidRPr="00FD04E7">
        <w:rPr>
          <w:rFonts w:asciiTheme="minorHAnsi" w:hAnsiTheme="minorHAnsi" w:cstheme="minorBidi"/>
          <w:color w:val="auto"/>
          <w:sz w:val="22"/>
          <w:szCs w:val="22"/>
          <w:lang w:val="en-GB"/>
        </w:rPr>
        <w:t xml:space="preserve">economic </w:t>
      </w:r>
      <w:r w:rsidR="0088215A" w:rsidRPr="00FD04E7">
        <w:rPr>
          <w:rFonts w:asciiTheme="minorHAnsi" w:hAnsiTheme="minorHAnsi" w:cstheme="minorBidi"/>
          <w:color w:val="auto"/>
          <w:sz w:val="22"/>
          <w:szCs w:val="22"/>
          <w:lang w:val="en-GB"/>
        </w:rPr>
        <w:t>decisions</w:t>
      </w:r>
      <w:r w:rsidR="001A34FF" w:rsidRPr="00FD04E7">
        <w:rPr>
          <w:rFonts w:asciiTheme="minorHAnsi" w:hAnsiTheme="minorHAnsi" w:cstheme="minorBidi"/>
          <w:color w:val="auto"/>
          <w:sz w:val="22"/>
          <w:szCs w:val="22"/>
          <w:lang w:val="en-GB"/>
        </w:rPr>
        <w:t xml:space="preserve">. </w:t>
      </w:r>
      <w:r w:rsidR="005E08C7" w:rsidRPr="00FD04E7">
        <w:rPr>
          <w:rFonts w:asciiTheme="minorHAnsi" w:hAnsiTheme="minorHAnsi" w:cstheme="minorBidi"/>
          <w:color w:val="auto"/>
          <w:sz w:val="22"/>
          <w:szCs w:val="22"/>
          <w:lang w:val="en-GB"/>
        </w:rPr>
        <w:t xml:space="preserve">For example, </w:t>
      </w:r>
      <w:r w:rsidR="00B74CB5" w:rsidRPr="00FD04E7">
        <w:rPr>
          <w:rFonts w:asciiTheme="minorHAnsi" w:hAnsiTheme="minorHAnsi" w:cstheme="minorBidi"/>
          <w:color w:val="auto"/>
          <w:sz w:val="22"/>
          <w:szCs w:val="22"/>
          <w:lang w:val="en-GB"/>
        </w:rPr>
        <w:t xml:space="preserve">policy conditions attached to finance from </w:t>
      </w:r>
      <w:r w:rsidR="00D754B3" w:rsidRPr="00FD04E7">
        <w:rPr>
          <w:rFonts w:asciiTheme="minorHAnsi" w:hAnsiTheme="minorHAnsi" w:cstheme="minorBidi"/>
          <w:color w:val="auto"/>
          <w:sz w:val="22"/>
          <w:szCs w:val="22"/>
          <w:lang w:val="en-GB"/>
        </w:rPr>
        <w:t xml:space="preserve">international financial </w:t>
      </w:r>
      <w:r w:rsidR="00B74CB5" w:rsidRPr="00FD04E7">
        <w:rPr>
          <w:rFonts w:asciiTheme="minorHAnsi" w:hAnsiTheme="minorHAnsi" w:cstheme="minorBidi"/>
          <w:color w:val="auto"/>
          <w:sz w:val="22"/>
          <w:szCs w:val="22"/>
          <w:lang w:val="en-GB"/>
        </w:rPr>
        <w:t>institutions such as the International Monetary Fund have put many governments in the Global South under pressure to cut public spending</w:t>
      </w:r>
      <w:r w:rsidR="0088215A" w:rsidRPr="00FD04E7">
        <w:rPr>
          <w:rFonts w:asciiTheme="minorHAnsi" w:hAnsiTheme="minorHAnsi" w:cstheme="minorBidi"/>
          <w:color w:val="auto"/>
          <w:sz w:val="22"/>
          <w:szCs w:val="22"/>
          <w:lang w:val="en-GB"/>
        </w:rPr>
        <w:t>.</w:t>
      </w:r>
      <w:r w:rsidR="006A4BCA" w:rsidRPr="00FD04E7">
        <w:rPr>
          <w:rStyle w:val="FootnoteReference"/>
          <w:rFonts w:asciiTheme="minorHAnsi" w:hAnsiTheme="minorHAnsi" w:cstheme="minorBidi"/>
          <w:color w:val="auto"/>
          <w:sz w:val="22"/>
          <w:szCs w:val="22"/>
          <w:lang w:val="en-GB"/>
        </w:rPr>
        <w:footnoteReference w:id="13"/>
      </w:r>
      <w:r w:rsidR="0017128D" w:rsidRPr="00FD04E7">
        <w:rPr>
          <w:rFonts w:asciiTheme="minorHAnsi" w:hAnsiTheme="minorHAnsi" w:cstheme="minorBidi"/>
          <w:color w:val="auto"/>
          <w:sz w:val="22"/>
          <w:szCs w:val="22"/>
          <w:lang w:val="en-GB"/>
        </w:rPr>
        <w:t xml:space="preserve"> </w:t>
      </w:r>
      <w:r w:rsidR="004435B2" w:rsidRPr="00FD04E7">
        <w:rPr>
          <w:rFonts w:asciiTheme="minorHAnsi" w:hAnsiTheme="minorHAnsi" w:cstheme="minorBidi"/>
          <w:color w:val="auto"/>
          <w:sz w:val="22"/>
          <w:szCs w:val="22"/>
          <w:lang w:val="en-GB"/>
        </w:rPr>
        <w:t xml:space="preserve">Moreover, </w:t>
      </w:r>
      <w:r w:rsidR="00AE516D" w:rsidRPr="00FD04E7">
        <w:rPr>
          <w:rFonts w:asciiTheme="minorHAnsi" w:hAnsiTheme="minorHAnsi" w:cstheme="minorBidi"/>
          <w:color w:val="auto"/>
          <w:sz w:val="22"/>
          <w:szCs w:val="22"/>
          <w:lang w:val="en-GB"/>
        </w:rPr>
        <w:t>the rights of persons with disabilities have historically received little attention in Official Development Assistance allocations, with one recent analysis f</w:t>
      </w:r>
      <w:r w:rsidR="002E2AAC" w:rsidRPr="00FD04E7">
        <w:rPr>
          <w:rFonts w:asciiTheme="minorHAnsi" w:hAnsiTheme="minorHAnsi" w:cstheme="minorBidi"/>
          <w:color w:val="auto"/>
          <w:sz w:val="22"/>
          <w:szCs w:val="22"/>
          <w:lang w:val="en-GB"/>
        </w:rPr>
        <w:t>inding</w:t>
      </w:r>
      <w:r w:rsidR="006C7F20" w:rsidRPr="00FD04E7">
        <w:rPr>
          <w:rFonts w:asciiTheme="minorHAnsi" w:hAnsiTheme="minorHAnsi" w:cstheme="minorBidi"/>
          <w:color w:val="auto"/>
          <w:sz w:val="22"/>
          <w:szCs w:val="22"/>
          <w:lang w:val="en-GB"/>
        </w:rPr>
        <w:t xml:space="preserve"> that between 2014 and 2018, less than 2% of international aid </w:t>
      </w:r>
      <w:r w:rsidR="00CE23FF" w:rsidRPr="00FD04E7">
        <w:rPr>
          <w:rFonts w:asciiTheme="minorHAnsi" w:hAnsiTheme="minorHAnsi" w:cstheme="minorBidi"/>
          <w:color w:val="auto"/>
          <w:sz w:val="22"/>
          <w:szCs w:val="22"/>
          <w:lang w:val="en-GB"/>
        </w:rPr>
        <w:t>was ‘disability-relevant’.</w:t>
      </w:r>
      <w:r w:rsidR="00CE23FF" w:rsidRPr="00FD04E7">
        <w:rPr>
          <w:rStyle w:val="FootnoteReference"/>
          <w:rFonts w:asciiTheme="minorHAnsi" w:hAnsiTheme="minorHAnsi" w:cstheme="minorBidi"/>
          <w:color w:val="auto"/>
          <w:sz w:val="22"/>
          <w:szCs w:val="22"/>
          <w:lang w:val="en-GB"/>
        </w:rPr>
        <w:footnoteReference w:id="14"/>
      </w:r>
    </w:p>
    <w:p w14:paraId="03A878A7" w14:textId="0C2867B4" w:rsidR="006C7F20" w:rsidRPr="00FD04E7" w:rsidRDefault="00E63A51" w:rsidP="00052DC6">
      <w:pPr>
        <w:pStyle w:val="Default"/>
        <w:spacing w:after="160" w:line="259" w:lineRule="auto"/>
        <w:rPr>
          <w:rFonts w:asciiTheme="minorHAnsi" w:hAnsiTheme="minorHAnsi" w:cstheme="minorBidi"/>
          <w:color w:val="auto"/>
          <w:sz w:val="22"/>
          <w:szCs w:val="22"/>
          <w:lang w:val="en-GB"/>
        </w:rPr>
      </w:pPr>
      <w:r w:rsidRPr="00FD04E7">
        <w:rPr>
          <w:rFonts w:asciiTheme="minorHAnsi" w:hAnsiTheme="minorHAnsi" w:cstheme="minorBidi"/>
          <w:color w:val="auto"/>
          <w:sz w:val="22"/>
          <w:szCs w:val="22"/>
          <w:lang w:val="en-GB"/>
        </w:rPr>
        <w:t xml:space="preserve">The rest of this paper focuses on key </w:t>
      </w:r>
      <w:r w:rsidR="00DF1EA0" w:rsidRPr="00FD04E7">
        <w:rPr>
          <w:rFonts w:asciiTheme="minorHAnsi" w:hAnsiTheme="minorHAnsi" w:cstheme="minorBidi"/>
          <w:color w:val="auto"/>
          <w:sz w:val="22"/>
          <w:szCs w:val="22"/>
          <w:lang w:val="en-GB"/>
        </w:rPr>
        <w:t xml:space="preserve">considerations to ensure that from now on, international economic policy responses to the crisis consistently </w:t>
      </w:r>
      <w:r w:rsidR="00B0423F" w:rsidRPr="00FD04E7">
        <w:rPr>
          <w:rFonts w:asciiTheme="minorHAnsi" w:hAnsiTheme="minorHAnsi" w:cstheme="minorBidi"/>
          <w:color w:val="auto"/>
          <w:sz w:val="22"/>
          <w:szCs w:val="22"/>
          <w:lang w:val="en-GB"/>
        </w:rPr>
        <w:t>foster</w:t>
      </w:r>
      <w:r w:rsidR="00DF1EA0" w:rsidRPr="00FD04E7">
        <w:rPr>
          <w:rFonts w:asciiTheme="minorHAnsi" w:hAnsiTheme="minorHAnsi" w:cstheme="minorBidi"/>
          <w:color w:val="auto"/>
          <w:sz w:val="22"/>
          <w:szCs w:val="22"/>
          <w:lang w:val="en-GB"/>
        </w:rPr>
        <w:t xml:space="preserve"> and never undermine</w:t>
      </w:r>
      <w:r w:rsidR="008F1BB7" w:rsidRPr="00FD04E7">
        <w:rPr>
          <w:rFonts w:asciiTheme="minorHAnsi" w:hAnsiTheme="minorHAnsi" w:cstheme="minorBidi"/>
          <w:color w:val="auto"/>
          <w:sz w:val="22"/>
          <w:szCs w:val="22"/>
          <w:lang w:val="en-GB"/>
        </w:rPr>
        <w:t xml:space="preserve"> the enjoyment of</w:t>
      </w:r>
      <w:r w:rsidR="00DF1EA0" w:rsidRPr="00FD04E7">
        <w:rPr>
          <w:rFonts w:asciiTheme="minorHAnsi" w:hAnsiTheme="minorHAnsi" w:cstheme="minorBidi"/>
          <w:color w:val="auto"/>
          <w:sz w:val="22"/>
          <w:szCs w:val="22"/>
          <w:lang w:val="en-GB"/>
        </w:rPr>
        <w:t xml:space="preserve"> rights </w:t>
      </w:r>
      <w:r w:rsidR="00A020C3" w:rsidRPr="00FD04E7">
        <w:rPr>
          <w:rFonts w:asciiTheme="minorHAnsi" w:hAnsiTheme="minorHAnsi" w:cstheme="minorBidi"/>
          <w:color w:val="auto"/>
          <w:sz w:val="22"/>
          <w:szCs w:val="22"/>
          <w:lang w:val="en-GB"/>
        </w:rPr>
        <w:t>and s</w:t>
      </w:r>
      <w:r w:rsidR="008F1BB7" w:rsidRPr="00FD04E7">
        <w:rPr>
          <w:rFonts w:asciiTheme="minorHAnsi" w:hAnsiTheme="minorHAnsi" w:cstheme="minorBidi"/>
          <w:color w:val="auto"/>
          <w:sz w:val="22"/>
          <w:szCs w:val="22"/>
          <w:lang w:val="en-GB"/>
        </w:rPr>
        <w:t>ocial justice by</w:t>
      </w:r>
      <w:r w:rsidR="00DF1EA0" w:rsidRPr="00FD04E7">
        <w:rPr>
          <w:rFonts w:asciiTheme="minorHAnsi" w:hAnsiTheme="minorHAnsi" w:cstheme="minorBidi"/>
          <w:color w:val="auto"/>
          <w:sz w:val="22"/>
          <w:szCs w:val="22"/>
          <w:lang w:val="en-GB"/>
        </w:rPr>
        <w:t xml:space="preserve"> persons with disabilities. </w:t>
      </w:r>
      <w:r w:rsidR="007F79D2" w:rsidRPr="00FD04E7">
        <w:rPr>
          <w:rFonts w:asciiTheme="minorHAnsi" w:hAnsiTheme="minorHAnsi" w:cstheme="minorBidi"/>
          <w:color w:val="auto"/>
          <w:sz w:val="22"/>
          <w:szCs w:val="22"/>
          <w:lang w:val="en-GB"/>
        </w:rPr>
        <w:t xml:space="preserve">For simplicity, we split this into three </w:t>
      </w:r>
      <w:r w:rsidR="006C122F" w:rsidRPr="00FD04E7">
        <w:rPr>
          <w:rFonts w:asciiTheme="minorHAnsi" w:hAnsiTheme="minorHAnsi" w:cstheme="minorBidi"/>
          <w:color w:val="auto"/>
          <w:sz w:val="22"/>
          <w:szCs w:val="22"/>
          <w:lang w:val="en-GB"/>
        </w:rPr>
        <w:t>themes</w:t>
      </w:r>
      <w:r w:rsidR="00822B5E" w:rsidRPr="00FD04E7">
        <w:rPr>
          <w:rFonts w:asciiTheme="minorHAnsi" w:hAnsiTheme="minorHAnsi" w:cstheme="minorBidi"/>
          <w:color w:val="auto"/>
          <w:sz w:val="22"/>
          <w:szCs w:val="22"/>
          <w:lang w:val="en-GB"/>
        </w:rPr>
        <w:t xml:space="preserve">: </w:t>
      </w:r>
      <w:r w:rsidR="00AA0940" w:rsidRPr="00FD04E7">
        <w:rPr>
          <w:rFonts w:asciiTheme="minorHAnsi" w:hAnsiTheme="minorHAnsi" w:cstheme="minorBidi"/>
          <w:color w:val="auto"/>
          <w:sz w:val="22"/>
          <w:szCs w:val="22"/>
          <w:lang w:val="en-GB"/>
        </w:rPr>
        <w:t>quantity of spending</w:t>
      </w:r>
      <w:r w:rsidR="006C122F" w:rsidRPr="00FD04E7">
        <w:rPr>
          <w:rFonts w:asciiTheme="minorHAnsi" w:hAnsiTheme="minorHAnsi" w:cstheme="minorBidi"/>
          <w:color w:val="auto"/>
          <w:sz w:val="22"/>
          <w:szCs w:val="22"/>
          <w:lang w:val="en-GB"/>
        </w:rPr>
        <w:t xml:space="preserve">; </w:t>
      </w:r>
      <w:r w:rsidR="00F944AC" w:rsidRPr="00FD04E7">
        <w:rPr>
          <w:rFonts w:asciiTheme="minorHAnsi" w:hAnsiTheme="minorHAnsi" w:cstheme="minorBidi"/>
          <w:color w:val="auto"/>
          <w:sz w:val="22"/>
          <w:szCs w:val="22"/>
          <w:lang w:val="en-GB"/>
        </w:rPr>
        <w:t>qualitative</w:t>
      </w:r>
      <w:r w:rsidR="00A2068B" w:rsidRPr="00FD04E7">
        <w:rPr>
          <w:rFonts w:asciiTheme="minorHAnsi" w:hAnsiTheme="minorHAnsi" w:cstheme="minorBidi"/>
          <w:color w:val="auto"/>
          <w:sz w:val="22"/>
          <w:szCs w:val="22"/>
          <w:lang w:val="en-GB"/>
        </w:rPr>
        <w:t xml:space="preserve"> policy choices</w:t>
      </w:r>
      <w:r w:rsidR="006C122F" w:rsidRPr="00FD04E7">
        <w:rPr>
          <w:rFonts w:asciiTheme="minorHAnsi" w:hAnsiTheme="minorHAnsi" w:cstheme="minorBidi"/>
          <w:color w:val="auto"/>
          <w:sz w:val="22"/>
          <w:szCs w:val="22"/>
          <w:lang w:val="en-GB"/>
        </w:rPr>
        <w:t xml:space="preserve">; and participation – although we recognise all three themes are </w:t>
      </w:r>
      <w:r w:rsidR="00593620" w:rsidRPr="00FD04E7">
        <w:rPr>
          <w:rFonts w:asciiTheme="minorHAnsi" w:hAnsiTheme="minorHAnsi" w:cstheme="minorBidi"/>
          <w:color w:val="auto"/>
          <w:sz w:val="22"/>
          <w:szCs w:val="22"/>
          <w:lang w:val="en-GB"/>
        </w:rPr>
        <w:t xml:space="preserve">in reality </w:t>
      </w:r>
      <w:r w:rsidR="006C122F" w:rsidRPr="00FD04E7">
        <w:rPr>
          <w:rFonts w:asciiTheme="minorHAnsi" w:hAnsiTheme="minorHAnsi" w:cstheme="minorBidi"/>
          <w:color w:val="auto"/>
          <w:sz w:val="22"/>
          <w:szCs w:val="22"/>
          <w:lang w:val="en-GB"/>
        </w:rPr>
        <w:t>tightly interwoven.</w:t>
      </w:r>
      <w:r w:rsidR="00A567C1" w:rsidRPr="00FD04E7">
        <w:rPr>
          <w:rFonts w:asciiTheme="minorHAnsi" w:hAnsiTheme="minorHAnsi" w:cstheme="minorBidi"/>
          <w:color w:val="auto"/>
          <w:sz w:val="22"/>
          <w:szCs w:val="22"/>
          <w:lang w:val="en-GB"/>
        </w:rPr>
        <w:t xml:space="preserve"> In compiling these considerations, we have referred closely to the Office of the High Commissioner for Human Rights’ checklist for a human-rights based approach to socio-economic country responses to COVID-19;</w:t>
      </w:r>
      <w:r w:rsidR="00DC192A" w:rsidRPr="00FD04E7">
        <w:rPr>
          <w:rStyle w:val="FootnoteReference"/>
          <w:rFonts w:asciiTheme="minorHAnsi" w:hAnsiTheme="minorHAnsi" w:cstheme="minorBidi"/>
          <w:color w:val="auto"/>
          <w:sz w:val="22"/>
          <w:szCs w:val="22"/>
          <w:lang w:val="en-GB"/>
        </w:rPr>
        <w:footnoteReference w:id="15"/>
      </w:r>
      <w:r w:rsidR="00A567C1" w:rsidRPr="00FD04E7">
        <w:rPr>
          <w:rFonts w:asciiTheme="minorHAnsi" w:hAnsiTheme="minorHAnsi" w:cstheme="minorBidi"/>
          <w:color w:val="auto"/>
          <w:sz w:val="22"/>
          <w:szCs w:val="22"/>
          <w:lang w:val="en-GB"/>
        </w:rPr>
        <w:t xml:space="preserve"> to the global civil society financing for development group’s demands on global economic solutions;</w:t>
      </w:r>
      <w:r w:rsidR="00DC192A" w:rsidRPr="00FD04E7">
        <w:rPr>
          <w:rStyle w:val="FootnoteReference"/>
          <w:rFonts w:asciiTheme="minorHAnsi" w:hAnsiTheme="minorHAnsi" w:cstheme="minorBidi"/>
          <w:color w:val="auto"/>
          <w:sz w:val="22"/>
          <w:szCs w:val="22"/>
          <w:lang w:val="en-GB"/>
        </w:rPr>
        <w:footnoteReference w:id="16"/>
      </w:r>
      <w:r w:rsidR="00A567C1" w:rsidRPr="00FD04E7">
        <w:rPr>
          <w:rFonts w:asciiTheme="minorHAnsi" w:hAnsiTheme="minorHAnsi" w:cstheme="minorBidi"/>
          <w:color w:val="auto"/>
          <w:sz w:val="22"/>
          <w:szCs w:val="22"/>
          <w:lang w:val="en-GB"/>
        </w:rPr>
        <w:t xml:space="preserve"> and the </w:t>
      </w:r>
      <w:r w:rsidR="006D7A23" w:rsidRPr="00FD04E7">
        <w:rPr>
          <w:rFonts w:asciiTheme="minorHAnsi" w:hAnsiTheme="minorHAnsi" w:cstheme="minorBidi"/>
          <w:color w:val="auto"/>
          <w:sz w:val="22"/>
          <w:szCs w:val="22"/>
          <w:lang w:val="en-GB"/>
        </w:rPr>
        <w:t xml:space="preserve">‘feminist response to COVID-19’ group’s </w:t>
      </w:r>
      <w:r w:rsidR="00A567C1" w:rsidRPr="00FD04E7">
        <w:rPr>
          <w:rFonts w:asciiTheme="minorHAnsi" w:hAnsiTheme="minorHAnsi" w:cstheme="minorBidi"/>
          <w:color w:val="auto"/>
          <w:sz w:val="22"/>
          <w:szCs w:val="22"/>
          <w:lang w:val="en-GB"/>
        </w:rPr>
        <w:t>principles.</w:t>
      </w:r>
      <w:r w:rsidR="00DC192A" w:rsidRPr="00FD04E7">
        <w:rPr>
          <w:rStyle w:val="FootnoteReference"/>
          <w:rFonts w:asciiTheme="minorHAnsi" w:hAnsiTheme="minorHAnsi" w:cstheme="minorBidi"/>
          <w:color w:val="auto"/>
          <w:sz w:val="22"/>
          <w:szCs w:val="22"/>
          <w:lang w:val="en-GB"/>
        </w:rPr>
        <w:footnoteReference w:id="17"/>
      </w:r>
    </w:p>
    <w:p w14:paraId="450D2109" w14:textId="7A235390" w:rsidR="003E235E" w:rsidRPr="00FD04E7" w:rsidRDefault="006D7FDC" w:rsidP="006D7FDC">
      <w:pPr>
        <w:pStyle w:val="Heading1"/>
        <w:numPr>
          <w:ilvl w:val="0"/>
          <w:numId w:val="2"/>
        </w:numPr>
        <w:rPr>
          <w:lang w:val="en-GB"/>
        </w:rPr>
      </w:pPr>
      <w:bookmarkStart w:id="4" w:name="_Toc63089192"/>
      <w:r w:rsidRPr="00FD04E7">
        <w:rPr>
          <w:lang w:val="en-GB"/>
        </w:rPr>
        <w:t>Quantity of spending</w:t>
      </w:r>
      <w:bookmarkEnd w:id="4"/>
    </w:p>
    <w:p w14:paraId="6009675A" w14:textId="4BEBA305" w:rsidR="00C470EA" w:rsidRPr="00FD04E7" w:rsidRDefault="00C470EA" w:rsidP="00C470EA">
      <w:pPr>
        <w:pStyle w:val="Heading2"/>
        <w:rPr>
          <w:lang w:val="en-GB"/>
        </w:rPr>
      </w:pPr>
      <w:bookmarkStart w:id="5" w:name="_Toc63089193"/>
      <w:r w:rsidRPr="00FD04E7">
        <w:rPr>
          <w:lang w:val="en-GB"/>
        </w:rPr>
        <w:t xml:space="preserve">2.1 The need for dedicated resources to </w:t>
      </w:r>
      <w:r w:rsidR="00315125" w:rsidRPr="00FD04E7">
        <w:rPr>
          <w:lang w:val="en-GB"/>
        </w:rPr>
        <w:t>realise rights and social justice</w:t>
      </w:r>
      <w:r w:rsidR="00BF0857" w:rsidRPr="00FD04E7">
        <w:rPr>
          <w:lang w:val="en-GB"/>
        </w:rPr>
        <w:t xml:space="preserve"> for </w:t>
      </w:r>
      <w:r w:rsidRPr="00FD04E7">
        <w:rPr>
          <w:lang w:val="en-GB"/>
        </w:rPr>
        <w:t>persons with disabilities</w:t>
      </w:r>
      <w:bookmarkEnd w:id="5"/>
    </w:p>
    <w:p w14:paraId="4D634194" w14:textId="168B00AD" w:rsidR="00355850" w:rsidRPr="00FD04E7" w:rsidRDefault="0002330B" w:rsidP="00C470EA">
      <w:pPr>
        <w:rPr>
          <w:lang w:val="en-GB"/>
        </w:rPr>
      </w:pPr>
      <w:r w:rsidRPr="00FD04E7">
        <w:rPr>
          <w:lang w:val="en-GB"/>
        </w:rPr>
        <w:t>Ensurin</w:t>
      </w:r>
      <w:r w:rsidR="006F597C" w:rsidRPr="00FD04E7">
        <w:rPr>
          <w:lang w:val="en-GB"/>
        </w:rPr>
        <w:t xml:space="preserve">g </w:t>
      </w:r>
      <w:r w:rsidRPr="00FD04E7">
        <w:rPr>
          <w:lang w:val="en-GB"/>
        </w:rPr>
        <w:t>rights-compliant</w:t>
      </w:r>
      <w:r w:rsidR="006E5E5F" w:rsidRPr="00FD04E7">
        <w:rPr>
          <w:lang w:val="en-GB"/>
        </w:rPr>
        <w:t xml:space="preserve"> and</w:t>
      </w:r>
      <w:r w:rsidR="006F597C" w:rsidRPr="00FD04E7">
        <w:rPr>
          <w:lang w:val="en-GB"/>
        </w:rPr>
        <w:t xml:space="preserve"> just</w:t>
      </w:r>
      <w:r w:rsidRPr="00FD04E7">
        <w:rPr>
          <w:lang w:val="en-GB"/>
        </w:rPr>
        <w:t xml:space="preserve"> outcomes for persons with disabilities</w:t>
      </w:r>
      <w:r w:rsidR="00760EDE" w:rsidRPr="00FD04E7">
        <w:rPr>
          <w:lang w:val="en-GB"/>
        </w:rPr>
        <w:t>,</w:t>
      </w:r>
      <w:r w:rsidR="00355850" w:rsidRPr="00FD04E7">
        <w:rPr>
          <w:lang w:val="en-GB"/>
        </w:rPr>
        <w:t xml:space="preserve"> through the crisis and beyond</w:t>
      </w:r>
      <w:r w:rsidR="00760EDE" w:rsidRPr="00FD04E7">
        <w:rPr>
          <w:lang w:val="en-GB"/>
        </w:rPr>
        <w:t>,</w:t>
      </w:r>
      <w:r w:rsidR="00355850" w:rsidRPr="00FD04E7">
        <w:rPr>
          <w:lang w:val="en-GB"/>
        </w:rPr>
        <w:t xml:space="preserve"> requires dedicated resources. </w:t>
      </w:r>
    </w:p>
    <w:p w14:paraId="2F8C5AA0" w14:textId="205D053C" w:rsidR="00CF483A" w:rsidRPr="00FD04E7" w:rsidRDefault="00CF483A" w:rsidP="00CF483A">
      <w:pPr>
        <w:rPr>
          <w:lang w:val="en-GB"/>
        </w:rPr>
      </w:pPr>
      <w:r w:rsidRPr="00FD04E7">
        <w:rPr>
          <w:lang w:val="en-GB"/>
        </w:rPr>
        <w:lastRenderedPageBreak/>
        <w:t>The International Disability Alliance has set out 10 recommendations to ensure that the rights of persons with disabilities are upheld in responses to the crisis (elaborated in further detail in the annex to this briefing):</w:t>
      </w:r>
      <w:r w:rsidR="006801F5" w:rsidRPr="00FD04E7">
        <w:rPr>
          <w:rStyle w:val="FootnoteReference"/>
          <w:lang w:val="en-GB"/>
        </w:rPr>
        <w:footnoteReference w:id="18"/>
      </w:r>
    </w:p>
    <w:p w14:paraId="367D78B4" w14:textId="77777777" w:rsidR="00CF483A" w:rsidRPr="00FD04E7" w:rsidRDefault="00CF483A" w:rsidP="00CF483A">
      <w:pPr>
        <w:pStyle w:val="ListParagraph"/>
        <w:numPr>
          <w:ilvl w:val="0"/>
          <w:numId w:val="5"/>
        </w:numPr>
        <w:rPr>
          <w:lang w:val="en-GB"/>
        </w:rPr>
      </w:pPr>
      <w:r w:rsidRPr="00FD04E7">
        <w:rPr>
          <w:lang w:val="en-GB"/>
        </w:rPr>
        <w:t>Persons with disabilities must receive information about infection mitigating tips, public restriction plans, and the services offered, in a diversity of accessible formats</w:t>
      </w:r>
    </w:p>
    <w:p w14:paraId="068C5D4C" w14:textId="5C3AEC51" w:rsidR="00CF483A" w:rsidRPr="00FD04E7" w:rsidRDefault="00CF483A" w:rsidP="00CF483A">
      <w:pPr>
        <w:pStyle w:val="ListParagraph"/>
        <w:numPr>
          <w:ilvl w:val="0"/>
          <w:numId w:val="5"/>
        </w:numPr>
        <w:rPr>
          <w:lang w:val="en-GB"/>
        </w:rPr>
      </w:pPr>
      <w:r w:rsidRPr="00FD04E7">
        <w:rPr>
          <w:lang w:val="en-GB"/>
        </w:rPr>
        <w:t xml:space="preserve">Additional protective measures must be taken for people with certain types of impairment </w:t>
      </w:r>
    </w:p>
    <w:p w14:paraId="51E3E029" w14:textId="77777777" w:rsidR="00CF483A" w:rsidRPr="00FD04E7" w:rsidRDefault="00CF483A" w:rsidP="00CF483A">
      <w:pPr>
        <w:pStyle w:val="ListParagraph"/>
        <w:numPr>
          <w:ilvl w:val="0"/>
          <w:numId w:val="5"/>
        </w:numPr>
        <w:rPr>
          <w:lang w:val="en-GB"/>
        </w:rPr>
      </w:pPr>
      <w:r w:rsidRPr="00FD04E7">
        <w:rPr>
          <w:lang w:val="en-GB"/>
        </w:rPr>
        <w:t>Rapid awareness raising and training of personnel involved in the response are essential</w:t>
      </w:r>
    </w:p>
    <w:p w14:paraId="2E1B5D89" w14:textId="77777777" w:rsidR="00CF483A" w:rsidRPr="00FD04E7" w:rsidRDefault="00CF483A" w:rsidP="00CF483A">
      <w:pPr>
        <w:pStyle w:val="ListParagraph"/>
        <w:numPr>
          <w:ilvl w:val="0"/>
          <w:numId w:val="5"/>
        </w:numPr>
        <w:rPr>
          <w:lang w:val="en-GB"/>
        </w:rPr>
      </w:pPr>
      <w:r w:rsidRPr="00FD04E7">
        <w:rPr>
          <w:lang w:val="en-GB"/>
        </w:rPr>
        <w:t>All preparedness and response plans must be inclusive of and accessible to women with disabilities</w:t>
      </w:r>
    </w:p>
    <w:p w14:paraId="6AE02609" w14:textId="77777777" w:rsidR="00CF483A" w:rsidRPr="00FD04E7" w:rsidRDefault="00CF483A" w:rsidP="00CF483A">
      <w:pPr>
        <w:pStyle w:val="ListParagraph"/>
        <w:numPr>
          <w:ilvl w:val="0"/>
          <w:numId w:val="5"/>
        </w:numPr>
        <w:rPr>
          <w:lang w:val="en-GB"/>
        </w:rPr>
      </w:pPr>
      <w:r w:rsidRPr="00FD04E7">
        <w:rPr>
          <w:lang w:val="en-GB"/>
        </w:rPr>
        <w:t>No disability-based institutionalization and abandonment is acceptable</w:t>
      </w:r>
    </w:p>
    <w:p w14:paraId="34201C3C" w14:textId="77777777" w:rsidR="00CF483A" w:rsidRPr="00FD04E7" w:rsidRDefault="00CF483A" w:rsidP="00CF483A">
      <w:pPr>
        <w:pStyle w:val="ListParagraph"/>
        <w:numPr>
          <w:ilvl w:val="0"/>
          <w:numId w:val="5"/>
        </w:numPr>
        <w:rPr>
          <w:lang w:val="en-GB"/>
        </w:rPr>
      </w:pPr>
      <w:r w:rsidRPr="00FD04E7">
        <w:rPr>
          <w:lang w:val="en-GB"/>
        </w:rPr>
        <w:t>During quarantine, support services, personal assistance, physical and communication accessibility must be ensured</w:t>
      </w:r>
    </w:p>
    <w:p w14:paraId="4EE7F21A" w14:textId="77777777" w:rsidR="00CF483A" w:rsidRPr="00FD04E7" w:rsidRDefault="00CF483A" w:rsidP="00CF483A">
      <w:pPr>
        <w:pStyle w:val="ListParagraph"/>
        <w:numPr>
          <w:ilvl w:val="0"/>
          <w:numId w:val="5"/>
        </w:numPr>
        <w:rPr>
          <w:lang w:val="en-GB"/>
        </w:rPr>
      </w:pPr>
      <w:r w:rsidRPr="00FD04E7">
        <w:rPr>
          <w:lang w:val="en-GB"/>
        </w:rPr>
        <w:t>Measures of public restrictions must consider persons with disabilities on an equal basis with others</w:t>
      </w:r>
    </w:p>
    <w:p w14:paraId="333FB426" w14:textId="77777777" w:rsidR="00CF483A" w:rsidRPr="00FD04E7" w:rsidRDefault="00CF483A" w:rsidP="00CF483A">
      <w:pPr>
        <w:pStyle w:val="ListParagraph"/>
        <w:numPr>
          <w:ilvl w:val="0"/>
          <w:numId w:val="5"/>
        </w:numPr>
        <w:tabs>
          <w:tab w:val="left" w:pos="708"/>
        </w:tabs>
        <w:rPr>
          <w:lang w:val="en-GB"/>
        </w:rPr>
      </w:pPr>
      <w:r w:rsidRPr="00FD04E7">
        <w:rPr>
          <w:lang w:val="en-GB"/>
        </w:rPr>
        <w:t>Persons with disabilities in need of health services due to COVID-19 cannot be deprioritized on the ground of their disability</w:t>
      </w:r>
    </w:p>
    <w:p w14:paraId="2DEEF471" w14:textId="585FEA60" w:rsidR="00CF483A" w:rsidRPr="00FD04E7" w:rsidRDefault="00CF483A" w:rsidP="00CF483A">
      <w:pPr>
        <w:pStyle w:val="ListParagraph"/>
        <w:numPr>
          <w:ilvl w:val="0"/>
          <w:numId w:val="5"/>
        </w:numPr>
        <w:tabs>
          <w:tab w:val="left" w:pos="708"/>
        </w:tabs>
        <w:rPr>
          <w:lang w:val="en-GB"/>
        </w:rPr>
      </w:pPr>
      <w:r w:rsidRPr="00FD04E7">
        <w:rPr>
          <w:lang w:val="en-GB"/>
        </w:rPr>
        <w:t xml:space="preserve">Organisations of </w:t>
      </w:r>
      <w:r w:rsidR="00C37CD7" w:rsidRPr="00FD04E7">
        <w:rPr>
          <w:lang w:val="en-GB"/>
        </w:rPr>
        <w:t>p</w:t>
      </w:r>
      <w:r w:rsidRPr="00FD04E7">
        <w:rPr>
          <w:lang w:val="en-GB"/>
        </w:rPr>
        <w:t xml:space="preserve">ersons with </w:t>
      </w:r>
      <w:r w:rsidR="00C37CD7" w:rsidRPr="00FD04E7">
        <w:rPr>
          <w:lang w:val="en-GB"/>
        </w:rPr>
        <w:t>d</w:t>
      </w:r>
      <w:r w:rsidRPr="00FD04E7">
        <w:rPr>
          <w:lang w:val="en-GB"/>
        </w:rPr>
        <w:t xml:space="preserve">isabilities can and should play a key role in raising awareness of persons with disabilities and their families. </w:t>
      </w:r>
    </w:p>
    <w:p w14:paraId="43245656" w14:textId="5056FCEA" w:rsidR="00CF483A" w:rsidRPr="00FD04E7" w:rsidRDefault="00CF483A" w:rsidP="00CF483A">
      <w:pPr>
        <w:pStyle w:val="ListParagraph"/>
        <w:numPr>
          <w:ilvl w:val="0"/>
          <w:numId w:val="5"/>
        </w:numPr>
        <w:rPr>
          <w:lang w:val="en-GB"/>
        </w:rPr>
      </w:pPr>
      <w:r w:rsidRPr="00FD04E7">
        <w:rPr>
          <w:lang w:val="en-GB"/>
        </w:rPr>
        <w:t xml:space="preserve">Organisations of </w:t>
      </w:r>
      <w:r w:rsidR="00C37CD7" w:rsidRPr="00FD04E7">
        <w:rPr>
          <w:lang w:val="en-GB"/>
        </w:rPr>
        <w:t>p</w:t>
      </w:r>
      <w:r w:rsidRPr="00FD04E7">
        <w:rPr>
          <w:lang w:val="en-GB"/>
        </w:rPr>
        <w:t xml:space="preserve">ersons with </w:t>
      </w:r>
      <w:r w:rsidR="00C37CD7" w:rsidRPr="00FD04E7">
        <w:rPr>
          <w:lang w:val="en-GB"/>
        </w:rPr>
        <w:t>d</w:t>
      </w:r>
      <w:r w:rsidRPr="00FD04E7">
        <w:rPr>
          <w:lang w:val="en-GB"/>
        </w:rPr>
        <w:t>isabilities can and should play a key role in advocating for disability-inclusive response to the COVID-19 crisis</w:t>
      </w:r>
    </w:p>
    <w:p w14:paraId="0CCA691E" w14:textId="55026C48" w:rsidR="00CF483A" w:rsidRPr="00FD04E7" w:rsidRDefault="00CF483A" w:rsidP="00CF483A">
      <w:pPr>
        <w:rPr>
          <w:lang w:val="en-GB"/>
        </w:rPr>
      </w:pPr>
      <w:bookmarkStart w:id="6" w:name="_Hlk60511704"/>
      <w:r w:rsidRPr="00FD04E7">
        <w:rPr>
          <w:lang w:val="en-GB"/>
        </w:rPr>
        <w:t>The International Disability Alliance has also made specific recommendations on</w:t>
      </w:r>
      <w:r w:rsidR="003C5F65" w:rsidRPr="00FD04E7">
        <w:rPr>
          <w:lang w:val="en-GB"/>
        </w:rPr>
        <w:t xml:space="preserve"> the need to prioritise persons with disabilities in accessing COVID-19 vaccinations, and to ensure that vaccinations and related information and decision making processes are fully accessible.</w:t>
      </w:r>
      <w:r w:rsidR="003C5F65" w:rsidRPr="00FD04E7">
        <w:rPr>
          <w:rStyle w:val="FootnoteReference"/>
          <w:lang w:val="en-GB"/>
        </w:rPr>
        <w:footnoteReference w:id="19"/>
      </w:r>
      <w:bookmarkEnd w:id="6"/>
    </w:p>
    <w:p w14:paraId="37489AD7" w14:textId="7BEA1C02" w:rsidR="00593F16" w:rsidRPr="00FD04E7" w:rsidRDefault="00CF483A" w:rsidP="00CF483A">
      <w:pPr>
        <w:rPr>
          <w:lang w:val="en-GB"/>
        </w:rPr>
      </w:pPr>
      <w:r w:rsidRPr="00FD04E7">
        <w:rPr>
          <w:lang w:val="en-GB"/>
        </w:rPr>
        <w:t xml:space="preserve">At the same time, </w:t>
      </w:r>
      <w:r w:rsidR="0090564A" w:rsidRPr="00FD04E7">
        <w:rPr>
          <w:lang w:val="en-GB"/>
        </w:rPr>
        <w:t xml:space="preserve">work </w:t>
      </w:r>
      <w:r w:rsidR="009C6C92" w:rsidRPr="00FD04E7">
        <w:rPr>
          <w:lang w:val="en-GB"/>
        </w:rPr>
        <w:t>for</w:t>
      </w:r>
      <w:r w:rsidR="0090564A" w:rsidRPr="00FD04E7">
        <w:rPr>
          <w:lang w:val="en-GB"/>
        </w:rPr>
        <w:t xml:space="preserve"> the UN Partnership on the Rights of Persons with Disabilities </w:t>
      </w:r>
      <w:r w:rsidR="00D00275" w:rsidRPr="00FD04E7">
        <w:rPr>
          <w:lang w:val="en-GB"/>
        </w:rPr>
        <w:t xml:space="preserve">and allied organisations </w:t>
      </w:r>
      <w:r w:rsidR="0090564A" w:rsidRPr="00FD04E7">
        <w:rPr>
          <w:lang w:val="en-GB"/>
        </w:rPr>
        <w:t>has highlighted the criticality of</w:t>
      </w:r>
      <w:r w:rsidR="00B24EF6" w:rsidRPr="00FD04E7">
        <w:rPr>
          <w:lang w:val="en-GB"/>
        </w:rPr>
        <w:t xml:space="preserve"> responding to COVID-19 with</w:t>
      </w:r>
      <w:r w:rsidR="0090564A" w:rsidRPr="00FD04E7">
        <w:rPr>
          <w:lang w:val="en-GB"/>
        </w:rPr>
        <w:t xml:space="preserve"> ‘collectively financed, comprehensive, inclusive and permanent social protection systems’ that consider the specific costs, safety issues and support needs associated with disability </w:t>
      </w:r>
      <w:r w:rsidR="00593F16" w:rsidRPr="00FD04E7">
        <w:rPr>
          <w:lang w:val="en-GB"/>
        </w:rPr>
        <w:t>in its diversity;</w:t>
      </w:r>
      <w:r w:rsidR="0090564A" w:rsidRPr="00FD04E7">
        <w:rPr>
          <w:lang w:val="en-GB"/>
        </w:rPr>
        <w:t xml:space="preserve"> that are administered in an inclusive and safe way</w:t>
      </w:r>
      <w:r w:rsidR="00593F16" w:rsidRPr="00FD04E7">
        <w:rPr>
          <w:lang w:val="en-GB"/>
        </w:rPr>
        <w:t>;</w:t>
      </w:r>
      <w:r w:rsidR="0090564A" w:rsidRPr="00FD04E7">
        <w:rPr>
          <w:lang w:val="en-GB"/>
        </w:rPr>
        <w:t xml:space="preserve"> and that provide sustained support into the </w:t>
      </w:r>
      <w:r w:rsidR="00C24A9B" w:rsidRPr="00FD04E7">
        <w:rPr>
          <w:lang w:val="en-GB"/>
        </w:rPr>
        <w:t>long-term</w:t>
      </w:r>
      <w:r w:rsidR="0090564A" w:rsidRPr="00FD04E7">
        <w:rPr>
          <w:lang w:val="en-GB"/>
        </w:rPr>
        <w:t>.</w:t>
      </w:r>
      <w:r w:rsidR="0090564A" w:rsidRPr="00FD04E7">
        <w:rPr>
          <w:rStyle w:val="FootnoteReference"/>
          <w:lang w:val="en-GB"/>
        </w:rPr>
        <w:footnoteReference w:id="20"/>
      </w:r>
      <w:r w:rsidR="0090564A" w:rsidRPr="00FD04E7">
        <w:rPr>
          <w:lang w:val="en-GB"/>
        </w:rPr>
        <w:t xml:space="preserve"> </w:t>
      </w:r>
    </w:p>
    <w:p w14:paraId="4554D4B1" w14:textId="4F5FDB73" w:rsidR="001E7332" w:rsidRPr="00FD04E7" w:rsidRDefault="007C1C27" w:rsidP="00CF483A">
      <w:pPr>
        <w:rPr>
          <w:lang w:val="en-GB"/>
        </w:rPr>
      </w:pPr>
      <w:r w:rsidRPr="00FD04E7">
        <w:rPr>
          <w:lang w:val="en-GB"/>
        </w:rPr>
        <w:t xml:space="preserve">These recommendations can only be fully implemented if sufficient resources are available. </w:t>
      </w:r>
      <w:r w:rsidR="0021716F" w:rsidRPr="00FD04E7">
        <w:rPr>
          <w:lang w:val="en-GB"/>
        </w:rPr>
        <w:t>The need for dedicated resources is all the more pressing when i</w:t>
      </w:r>
      <w:r w:rsidR="00083E12" w:rsidRPr="00FD04E7">
        <w:rPr>
          <w:lang w:val="en-GB"/>
        </w:rPr>
        <w:t>ntersectional considerations – for example, the</w:t>
      </w:r>
      <w:r w:rsidR="0077479C" w:rsidRPr="00FD04E7">
        <w:rPr>
          <w:lang w:val="en-GB"/>
        </w:rPr>
        <w:t xml:space="preserve"> particular importance of support services beyond the household for women with disabilities </w:t>
      </w:r>
      <w:r w:rsidR="00CC74B0" w:rsidRPr="00FD04E7">
        <w:rPr>
          <w:lang w:val="en-GB"/>
        </w:rPr>
        <w:t xml:space="preserve">who are </w:t>
      </w:r>
      <w:r w:rsidR="0077479C" w:rsidRPr="00FD04E7">
        <w:rPr>
          <w:lang w:val="en-GB"/>
        </w:rPr>
        <w:t>at risk of violence,</w:t>
      </w:r>
      <w:r w:rsidR="0077479C" w:rsidRPr="00FD04E7">
        <w:rPr>
          <w:rStyle w:val="FootnoteReference"/>
          <w:lang w:val="en-GB"/>
        </w:rPr>
        <w:footnoteReference w:id="21"/>
      </w:r>
      <w:r w:rsidR="0077479C" w:rsidRPr="00FD04E7">
        <w:rPr>
          <w:lang w:val="en-GB"/>
        </w:rPr>
        <w:t xml:space="preserve"> or the need for </w:t>
      </w:r>
      <w:r w:rsidR="00083E12" w:rsidRPr="00FD04E7">
        <w:rPr>
          <w:lang w:val="en-GB"/>
        </w:rPr>
        <w:t xml:space="preserve">information to be accessible to indigenous persons with disabilities – </w:t>
      </w:r>
      <w:r w:rsidR="0021716F" w:rsidRPr="00FD04E7">
        <w:rPr>
          <w:lang w:val="en-GB"/>
        </w:rPr>
        <w:t>are taken into account</w:t>
      </w:r>
      <w:r w:rsidR="00083E12" w:rsidRPr="00FD04E7">
        <w:rPr>
          <w:lang w:val="en-GB"/>
        </w:rPr>
        <w:t xml:space="preserve">. </w:t>
      </w:r>
    </w:p>
    <w:p w14:paraId="2B72AA3D" w14:textId="3C4600B7" w:rsidR="00FC0E26" w:rsidRPr="00FD04E7" w:rsidRDefault="00FC0E26" w:rsidP="00CF483A">
      <w:pPr>
        <w:rPr>
          <w:lang w:val="en-GB"/>
        </w:rPr>
      </w:pPr>
      <w:r w:rsidRPr="00FD04E7">
        <w:rPr>
          <w:lang w:val="en-GB"/>
        </w:rPr>
        <w:t xml:space="preserve">Moreover, achieving full substantive equality for persons with disabilities in the post-COVID world will require further </w:t>
      </w:r>
      <w:r w:rsidR="00763FE2" w:rsidRPr="00FD04E7">
        <w:rPr>
          <w:lang w:val="en-GB"/>
        </w:rPr>
        <w:t>resources</w:t>
      </w:r>
      <w:r w:rsidRPr="00FD04E7">
        <w:rPr>
          <w:lang w:val="en-GB"/>
        </w:rPr>
        <w:t xml:space="preserve"> across all areas of public spending – from inclusive education to non-</w:t>
      </w:r>
      <w:r w:rsidRPr="00FD04E7">
        <w:rPr>
          <w:lang w:val="en-GB"/>
        </w:rPr>
        <w:lastRenderedPageBreak/>
        <w:t>COVID related health services</w:t>
      </w:r>
      <w:r w:rsidR="003F1103" w:rsidRPr="00FD04E7">
        <w:rPr>
          <w:lang w:val="en-GB"/>
        </w:rPr>
        <w:t xml:space="preserve"> – to redress </w:t>
      </w:r>
      <w:r w:rsidR="00952757" w:rsidRPr="00FD04E7">
        <w:rPr>
          <w:lang w:val="en-GB"/>
        </w:rPr>
        <w:t xml:space="preserve">the cumulative effect of years of </w:t>
      </w:r>
      <w:r w:rsidR="00763FE2" w:rsidRPr="00FD04E7">
        <w:rPr>
          <w:lang w:val="en-GB"/>
        </w:rPr>
        <w:t xml:space="preserve">under-investment in </w:t>
      </w:r>
      <w:r w:rsidR="003F1103" w:rsidRPr="00FD04E7">
        <w:rPr>
          <w:lang w:val="en-GB"/>
        </w:rPr>
        <w:t>the rights of persons with disabilities</w:t>
      </w:r>
      <w:r w:rsidR="00B00325" w:rsidRPr="00FD04E7">
        <w:rPr>
          <w:lang w:val="en-GB"/>
        </w:rPr>
        <w:t xml:space="preserve"> even before the crisis struck</w:t>
      </w:r>
      <w:r w:rsidR="00D677DB" w:rsidRPr="00FD04E7">
        <w:rPr>
          <w:lang w:val="en-GB"/>
        </w:rPr>
        <w:t>.</w:t>
      </w:r>
      <w:r w:rsidR="00C36138" w:rsidRPr="00FD04E7">
        <w:rPr>
          <w:rStyle w:val="FootnoteReference"/>
          <w:lang w:val="en-GB"/>
        </w:rPr>
        <w:footnoteReference w:id="22"/>
      </w:r>
      <w:r w:rsidRPr="00FD04E7">
        <w:rPr>
          <w:lang w:val="en-GB"/>
        </w:rPr>
        <w:t xml:space="preserve"> </w:t>
      </w:r>
    </w:p>
    <w:p w14:paraId="1108C0C4" w14:textId="7647593D" w:rsidR="00593F16" w:rsidRPr="00FD04E7" w:rsidRDefault="00A93AB3" w:rsidP="00CF483A">
      <w:pPr>
        <w:rPr>
          <w:lang w:val="en-GB"/>
        </w:rPr>
      </w:pPr>
      <w:r w:rsidRPr="00FD04E7">
        <w:rPr>
          <w:lang w:val="en-GB"/>
        </w:rPr>
        <w:t xml:space="preserve">The UN Committee on Economic, Social and Cultural Rights </w:t>
      </w:r>
      <w:r w:rsidR="00ED0DD9" w:rsidRPr="00FD04E7">
        <w:rPr>
          <w:lang w:val="en-GB"/>
        </w:rPr>
        <w:t xml:space="preserve">has said that in combating COVID, ‘allocation of resources should </w:t>
      </w:r>
      <w:r w:rsidR="00643B7B" w:rsidRPr="00FD04E7">
        <w:rPr>
          <w:lang w:val="en-GB"/>
        </w:rPr>
        <w:t>prioritize</w:t>
      </w:r>
      <w:r w:rsidR="00ED0DD9" w:rsidRPr="00FD04E7">
        <w:rPr>
          <w:lang w:val="en-GB"/>
        </w:rPr>
        <w:t xml:space="preserve"> the special needs of … [marginalised] groups’ and that ‘All States parties should, as a matter of urgency, adopt special, targeted measures, including through international cooperation, to protect and mitigate the impact of the pandemic on vulnerable groups such as … persons with disabilities’.</w:t>
      </w:r>
      <w:r w:rsidR="002746B7" w:rsidRPr="00FD04E7">
        <w:rPr>
          <w:rStyle w:val="FootnoteReference"/>
          <w:lang w:val="en-GB"/>
        </w:rPr>
        <w:footnoteReference w:id="23"/>
      </w:r>
      <w:r w:rsidR="00ED0DD9" w:rsidRPr="00FD04E7">
        <w:rPr>
          <w:lang w:val="en-GB"/>
        </w:rPr>
        <w:t xml:space="preserve"> </w:t>
      </w:r>
    </w:p>
    <w:p w14:paraId="508B4E37" w14:textId="54FDCD22" w:rsidR="00146547" w:rsidRPr="00FD04E7" w:rsidRDefault="00E01561" w:rsidP="00CF483A">
      <w:pPr>
        <w:rPr>
          <w:lang w:val="en-GB"/>
        </w:rPr>
      </w:pPr>
      <w:r w:rsidRPr="00FD04E7">
        <w:rPr>
          <w:lang w:val="en-GB"/>
        </w:rPr>
        <w:t xml:space="preserve">So while resource allocations to </w:t>
      </w:r>
      <w:r w:rsidR="00E6663F" w:rsidRPr="00FD04E7">
        <w:rPr>
          <w:lang w:val="en-GB"/>
        </w:rPr>
        <w:t>ensure rights-compliant and socially just outcomes for</w:t>
      </w:r>
      <w:r w:rsidRPr="00FD04E7">
        <w:rPr>
          <w:lang w:val="en-GB"/>
        </w:rPr>
        <w:t xml:space="preserve"> persons with disabilities are primarily the responsibility of national governments, </w:t>
      </w:r>
      <w:r w:rsidR="00146547" w:rsidRPr="00FD04E7">
        <w:rPr>
          <w:lang w:val="en-GB"/>
        </w:rPr>
        <w:t>governments</w:t>
      </w:r>
      <w:r w:rsidRPr="00FD04E7">
        <w:rPr>
          <w:lang w:val="en-GB"/>
        </w:rPr>
        <w:t xml:space="preserve"> h</w:t>
      </w:r>
      <w:r w:rsidR="00AE0BC9" w:rsidRPr="00FD04E7">
        <w:rPr>
          <w:lang w:val="en-GB"/>
        </w:rPr>
        <w:t xml:space="preserve">ave </w:t>
      </w:r>
      <w:r w:rsidR="00D3099E" w:rsidRPr="00FD04E7">
        <w:rPr>
          <w:lang w:val="en-GB"/>
        </w:rPr>
        <w:t>obligations beyond their borders too</w:t>
      </w:r>
      <w:r w:rsidR="00AE0BC9" w:rsidRPr="00FD04E7">
        <w:rPr>
          <w:lang w:val="en-GB"/>
        </w:rPr>
        <w:t xml:space="preserve">. We call </w:t>
      </w:r>
      <w:r w:rsidR="00B2781A" w:rsidRPr="00FD04E7">
        <w:rPr>
          <w:lang w:val="en-GB"/>
        </w:rPr>
        <w:t>on</w:t>
      </w:r>
      <w:r w:rsidR="00C408E0" w:rsidRPr="00FD04E7">
        <w:rPr>
          <w:lang w:val="en-GB"/>
        </w:rPr>
        <w:t xml:space="preserve"> all</w:t>
      </w:r>
      <w:r w:rsidRPr="00FD04E7">
        <w:rPr>
          <w:lang w:val="en-GB"/>
        </w:rPr>
        <w:t xml:space="preserve"> governments engaged in the international response to COVID-19</w:t>
      </w:r>
      <w:r w:rsidR="001C674E" w:rsidRPr="00FD04E7">
        <w:rPr>
          <w:lang w:val="en-GB"/>
        </w:rPr>
        <w:t xml:space="preserve"> to take t</w:t>
      </w:r>
      <w:r w:rsidR="00146547" w:rsidRPr="00FD04E7">
        <w:rPr>
          <w:lang w:val="en-GB"/>
        </w:rPr>
        <w:t xml:space="preserve">he following three steps to ensure </w:t>
      </w:r>
      <w:r w:rsidR="00A036AC" w:rsidRPr="00FD04E7">
        <w:rPr>
          <w:lang w:val="en-GB"/>
        </w:rPr>
        <w:t xml:space="preserve">that </w:t>
      </w:r>
      <w:r w:rsidR="00146547" w:rsidRPr="00FD04E7">
        <w:rPr>
          <w:lang w:val="en-GB"/>
        </w:rPr>
        <w:t xml:space="preserve">maximum resources are </w:t>
      </w:r>
      <w:r w:rsidR="00763FE2" w:rsidRPr="00FD04E7">
        <w:rPr>
          <w:lang w:val="en-GB"/>
        </w:rPr>
        <w:t>devoted</w:t>
      </w:r>
      <w:r w:rsidR="00146547" w:rsidRPr="00FD04E7">
        <w:rPr>
          <w:lang w:val="en-GB"/>
        </w:rPr>
        <w:t xml:space="preserve"> to mitigat</w:t>
      </w:r>
      <w:r w:rsidR="00763FE2" w:rsidRPr="00FD04E7">
        <w:rPr>
          <w:lang w:val="en-GB"/>
        </w:rPr>
        <w:t>ing</w:t>
      </w:r>
      <w:r w:rsidR="00146547" w:rsidRPr="00FD04E7">
        <w:rPr>
          <w:lang w:val="en-GB"/>
        </w:rPr>
        <w:t xml:space="preserve"> the </w:t>
      </w:r>
      <w:r w:rsidR="00647204" w:rsidRPr="00FD04E7">
        <w:rPr>
          <w:lang w:val="en-GB"/>
        </w:rPr>
        <w:t xml:space="preserve">pandemic’s </w:t>
      </w:r>
      <w:r w:rsidR="00146547" w:rsidRPr="00FD04E7">
        <w:rPr>
          <w:lang w:val="en-GB"/>
        </w:rPr>
        <w:t>impact on persons with disabilities.</w:t>
      </w:r>
    </w:p>
    <w:p w14:paraId="5DD62633" w14:textId="773D13EC" w:rsidR="00512635" w:rsidRPr="00FD04E7" w:rsidRDefault="00EA065E" w:rsidP="00C35F5D">
      <w:pPr>
        <w:pStyle w:val="Heading2"/>
        <w:rPr>
          <w:lang w:val="en-GB"/>
        </w:rPr>
      </w:pPr>
      <w:bookmarkStart w:id="7" w:name="_Toc63089194"/>
      <w:r w:rsidRPr="00FD04E7">
        <w:rPr>
          <w:lang w:val="en-GB"/>
        </w:rPr>
        <w:t>2.</w:t>
      </w:r>
      <w:r w:rsidR="00014D7E" w:rsidRPr="00FD04E7">
        <w:rPr>
          <w:lang w:val="en-GB"/>
        </w:rPr>
        <w:t>2</w:t>
      </w:r>
      <w:r w:rsidRPr="00FD04E7">
        <w:rPr>
          <w:lang w:val="en-GB"/>
        </w:rPr>
        <w:t xml:space="preserve"> </w:t>
      </w:r>
      <w:r w:rsidR="00B70CB2" w:rsidRPr="00FD04E7">
        <w:rPr>
          <w:lang w:val="en-GB"/>
        </w:rPr>
        <w:t xml:space="preserve">Allocating resources to </w:t>
      </w:r>
      <w:r w:rsidR="00303D94" w:rsidRPr="00FD04E7">
        <w:rPr>
          <w:lang w:val="en-GB"/>
        </w:rPr>
        <w:t>realise rights and social justice</w:t>
      </w:r>
      <w:r w:rsidR="00E931EC" w:rsidRPr="00FD04E7">
        <w:rPr>
          <w:lang w:val="en-GB"/>
        </w:rPr>
        <w:t xml:space="preserve"> for</w:t>
      </w:r>
      <w:r w:rsidR="00B70CB2" w:rsidRPr="00FD04E7">
        <w:rPr>
          <w:lang w:val="en-GB"/>
        </w:rPr>
        <w:t xml:space="preserve"> persons with disabilities</w:t>
      </w:r>
      <w:bookmarkEnd w:id="7"/>
      <w:r w:rsidR="001A0AB4" w:rsidRPr="00FD04E7">
        <w:rPr>
          <w:lang w:val="en-GB"/>
        </w:rPr>
        <w:t xml:space="preserve"> </w:t>
      </w:r>
    </w:p>
    <w:p w14:paraId="21831502" w14:textId="596A298D" w:rsidR="00512635" w:rsidRPr="00FD04E7" w:rsidRDefault="006F60F7" w:rsidP="00EA065E">
      <w:pPr>
        <w:rPr>
          <w:lang w:val="en-GB"/>
        </w:rPr>
      </w:pPr>
      <w:r w:rsidRPr="00FD04E7">
        <w:rPr>
          <w:lang w:val="en-GB"/>
        </w:rPr>
        <w:t xml:space="preserve">Official Development Assistance </w:t>
      </w:r>
      <w:r w:rsidR="001C674E" w:rsidRPr="00FD04E7">
        <w:rPr>
          <w:lang w:val="en-GB"/>
        </w:rPr>
        <w:t xml:space="preserve">and other international public finance are critical resources for </w:t>
      </w:r>
      <w:r w:rsidR="00E931EC" w:rsidRPr="00FD04E7">
        <w:rPr>
          <w:lang w:val="en-GB"/>
        </w:rPr>
        <w:t xml:space="preserve">supporting </w:t>
      </w:r>
      <w:r w:rsidR="001C674E" w:rsidRPr="00FD04E7">
        <w:rPr>
          <w:lang w:val="en-GB"/>
        </w:rPr>
        <w:t xml:space="preserve">rights </w:t>
      </w:r>
      <w:r w:rsidR="00E931EC" w:rsidRPr="00FD04E7">
        <w:rPr>
          <w:lang w:val="en-GB"/>
        </w:rPr>
        <w:t>and equality for</w:t>
      </w:r>
      <w:r w:rsidR="001C674E" w:rsidRPr="00FD04E7">
        <w:rPr>
          <w:lang w:val="en-GB"/>
        </w:rPr>
        <w:t xml:space="preserve"> persons with disabilities in the Global South through the crisis and beyond. We call for </w:t>
      </w:r>
      <w:r w:rsidR="00A30C0B" w:rsidRPr="00FD04E7">
        <w:rPr>
          <w:lang w:val="en-GB"/>
        </w:rPr>
        <w:t>governments to make</w:t>
      </w:r>
      <w:r w:rsidR="001C674E" w:rsidRPr="00FD04E7">
        <w:rPr>
          <w:lang w:val="en-GB"/>
        </w:rPr>
        <w:t xml:space="preserve"> </w:t>
      </w:r>
      <w:r w:rsidR="001C674E" w:rsidRPr="00FD04E7">
        <w:rPr>
          <w:b/>
          <w:bCs/>
          <w:lang w:val="en-GB"/>
        </w:rPr>
        <w:t>Official Development Assistance and other international cooperation resources to be inclusive of and accessible to persons with disabilities</w:t>
      </w:r>
      <w:r w:rsidR="00C37CD7" w:rsidRPr="00FD04E7">
        <w:rPr>
          <w:b/>
          <w:bCs/>
          <w:lang w:val="en-GB"/>
        </w:rPr>
        <w:t xml:space="preserve"> in all their diversity</w:t>
      </w:r>
      <w:r w:rsidR="001C674E" w:rsidRPr="00FD04E7">
        <w:rPr>
          <w:lang w:val="en-GB"/>
        </w:rPr>
        <w:t xml:space="preserve">, </w:t>
      </w:r>
      <w:r w:rsidR="00C66FFD" w:rsidRPr="00FD04E7">
        <w:rPr>
          <w:lang w:val="en-GB"/>
        </w:rPr>
        <w:t xml:space="preserve">in line with </w:t>
      </w:r>
      <w:r w:rsidR="00A30C0B" w:rsidRPr="00FD04E7">
        <w:rPr>
          <w:lang w:val="en-GB"/>
        </w:rPr>
        <w:t xml:space="preserve">their </w:t>
      </w:r>
      <w:r w:rsidR="00C66FFD" w:rsidRPr="00FD04E7">
        <w:rPr>
          <w:lang w:val="en-GB"/>
        </w:rPr>
        <w:t xml:space="preserve">obligations under Article 32 of the UN Convention on the Rights of Persons with Disabilities. They should </w:t>
      </w:r>
      <w:r w:rsidR="00D3099E" w:rsidRPr="00FD04E7">
        <w:rPr>
          <w:lang w:val="en-GB"/>
        </w:rPr>
        <w:t>ensure that all their mainstream programmes are fully inclusive of all persons with disabilities, complementing this also with specific</w:t>
      </w:r>
      <w:r w:rsidR="00C37CD7" w:rsidRPr="00FD04E7">
        <w:rPr>
          <w:lang w:val="en-GB"/>
        </w:rPr>
        <w:t xml:space="preserve"> disability-targeted programmes such as support</w:t>
      </w:r>
      <w:r w:rsidR="00D3099E" w:rsidRPr="00FD04E7">
        <w:rPr>
          <w:lang w:val="en-GB"/>
        </w:rPr>
        <w:t>ing</w:t>
      </w:r>
      <w:r w:rsidR="00C37CD7" w:rsidRPr="00FD04E7">
        <w:rPr>
          <w:lang w:val="en-GB"/>
        </w:rPr>
        <w:t xml:space="preserve"> organisations of persons with disabilities to carry out awareness raising work.</w:t>
      </w:r>
      <w:r w:rsidR="009702CB" w:rsidRPr="00FD04E7">
        <w:rPr>
          <w:lang w:val="en-GB"/>
        </w:rPr>
        <w:t xml:space="preserve"> All actors who report data through the Organisation for Economic Cooperation and Development’s Creditor Reporting System should </w:t>
      </w:r>
      <w:r w:rsidR="009702CB" w:rsidRPr="00FD04E7">
        <w:rPr>
          <w:b/>
          <w:bCs/>
          <w:lang w:val="en-GB"/>
        </w:rPr>
        <w:t xml:space="preserve">use the </w:t>
      </w:r>
      <w:r w:rsidR="00C66FFD" w:rsidRPr="00FD04E7">
        <w:rPr>
          <w:b/>
          <w:bCs/>
          <w:lang w:val="en-GB"/>
        </w:rPr>
        <w:t xml:space="preserve">policy marker on the inclusion and empowerment of persons with disabilities to track </w:t>
      </w:r>
      <w:r w:rsidR="0063123A" w:rsidRPr="00FD04E7">
        <w:rPr>
          <w:b/>
          <w:bCs/>
          <w:lang w:val="en-GB"/>
        </w:rPr>
        <w:t xml:space="preserve">support for the rights of persons with </w:t>
      </w:r>
      <w:r w:rsidR="00643B7B" w:rsidRPr="00FD04E7">
        <w:rPr>
          <w:b/>
          <w:bCs/>
          <w:lang w:val="en-GB"/>
        </w:rPr>
        <w:t>disabilities</w:t>
      </w:r>
      <w:r w:rsidR="0063123A" w:rsidRPr="00FD04E7">
        <w:rPr>
          <w:b/>
          <w:bCs/>
          <w:lang w:val="en-GB"/>
        </w:rPr>
        <w:t xml:space="preserve"> across their spending</w:t>
      </w:r>
      <w:r w:rsidR="0063123A" w:rsidRPr="00FD04E7">
        <w:rPr>
          <w:lang w:val="en-GB"/>
        </w:rPr>
        <w:t>.</w:t>
      </w:r>
      <w:r w:rsidR="009063C1" w:rsidRPr="00FD04E7">
        <w:rPr>
          <w:rStyle w:val="FootnoteReference"/>
          <w:lang w:val="en-GB"/>
        </w:rPr>
        <w:footnoteReference w:id="24"/>
      </w:r>
    </w:p>
    <w:p w14:paraId="20ECA6C3" w14:textId="78ED79D6" w:rsidR="00EA065E" w:rsidRPr="00FD04E7" w:rsidRDefault="004216BE" w:rsidP="00C741AD">
      <w:pPr>
        <w:pStyle w:val="Heading2"/>
        <w:rPr>
          <w:lang w:val="en-GB"/>
        </w:rPr>
      </w:pPr>
      <w:bookmarkStart w:id="8" w:name="_Toc63089195"/>
      <w:r w:rsidRPr="00FD04E7">
        <w:rPr>
          <w:lang w:val="en-GB"/>
        </w:rPr>
        <w:t>2.</w:t>
      </w:r>
      <w:r w:rsidR="00014D7E" w:rsidRPr="00FD04E7">
        <w:rPr>
          <w:lang w:val="en-GB"/>
        </w:rPr>
        <w:t>3</w:t>
      </w:r>
      <w:r w:rsidRPr="00FD04E7">
        <w:rPr>
          <w:lang w:val="en-GB"/>
        </w:rPr>
        <w:t xml:space="preserve"> Applying </w:t>
      </w:r>
      <w:r w:rsidR="00102F6F" w:rsidRPr="00FD04E7">
        <w:rPr>
          <w:lang w:val="en-GB"/>
        </w:rPr>
        <w:t>a</w:t>
      </w:r>
      <w:r w:rsidR="00B73BC4" w:rsidRPr="00FD04E7">
        <w:rPr>
          <w:lang w:val="en-GB"/>
        </w:rPr>
        <w:t>n intersectiona</w:t>
      </w:r>
      <w:r w:rsidR="00C47F3F" w:rsidRPr="00FD04E7">
        <w:rPr>
          <w:lang w:val="en-GB"/>
        </w:rPr>
        <w:t>l</w:t>
      </w:r>
      <w:r w:rsidR="00102F6F" w:rsidRPr="00FD04E7">
        <w:rPr>
          <w:lang w:val="en-GB"/>
        </w:rPr>
        <w:t xml:space="preserve"> </w:t>
      </w:r>
      <w:r w:rsidRPr="00FD04E7">
        <w:rPr>
          <w:lang w:val="en-GB"/>
        </w:rPr>
        <w:t>disability lens to wider resource allocation decisions</w:t>
      </w:r>
      <w:bookmarkEnd w:id="8"/>
    </w:p>
    <w:p w14:paraId="3CC8EBBA" w14:textId="68DA3B75" w:rsidR="00A34524" w:rsidRPr="00FD04E7" w:rsidRDefault="00E95E97" w:rsidP="00C741AD">
      <w:pPr>
        <w:rPr>
          <w:lang w:val="en-GB"/>
        </w:rPr>
      </w:pPr>
      <w:r w:rsidRPr="00FD04E7">
        <w:rPr>
          <w:lang w:val="en-GB"/>
        </w:rPr>
        <w:t xml:space="preserve">The imperative to </w:t>
      </w:r>
      <w:r w:rsidR="005A075C" w:rsidRPr="00FD04E7">
        <w:rPr>
          <w:lang w:val="en-GB"/>
        </w:rPr>
        <w:t>realise</w:t>
      </w:r>
      <w:r w:rsidR="00365A2D" w:rsidRPr="00FD04E7">
        <w:rPr>
          <w:lang w:val="en-GB"/>
        </w:rPr>
        <w:t xml:space="preserve"> rights</w:t>
      </w:r>
      <w:r w:rsidR="005A075C" w:rsidRPr="00FD04E7">
        <w:rPr>
          <w:lang w:val="en-GB"/>
        </w:rPr>
        <w:t xml:space="preserve"> and </w:t>
      </w:r>
      <w:r w:rsidR="005F57C3" w:rsidRPr="00FD04E7">
        <w:rPr>
          <w:lang w:val="en-GB"/>
        </w:rPr>
        <w:t>social justice</w:t>
      </w:r>
      <w:r w:rsidR="00365A2D" w:rsidRPr="00FD04E7">
        <w:rPr>
          <w:lang w:val="en-GB"/>
        </w:rPr>
        <w:t xml:space="preserve"> </w:t>
      </w:r>
      <w:r w:rsidR="005A075C" w:rsidRPr="00FD04E7">
        <w:rPr>
          <w:lang w:val="en-GB"/>
        </w:rPr>
        <w:t>for</w:t>
      </w:r>
      <w:r w:rsidR="00365A2D" w:rsidRPr="00FD04E7">
        <w:rPr>
          <w:lang w:val="en-GB"/>
        </w:rPr>
        <w:t xml:space="preserve"> persons with disabilities in the allocation of international public finance</w:t>
      </w:r>
      <w:r w:rsidRPr="00FD04E7">
        <w:rPr>
          <w:lang w:val="en-GB"/>
        </w:rPr>
        <w:t xml:space="preserve"> goes beyond </w:t>
      </w:r>
      <w:r w:rsidR="000219C7" w:rsidRPr="00FD04E7">
        <w:rPr>
          <w:lang w:val="en-GB"/>
        </w:rPr>
        <w:t>making</w:t>
      </w:r>
      <w:r w:rsidRPr="00FD04E7">
        <w:rPr>
          <w:lang w:val="en-GB"/>
        </w:rPr>
        <w:t xml:space="preserve"> cooperation programmes</w:t>
      </w:r>
      <w:r w:rsidR="000219C7" w:rsidRPr="00FD04E7">
        <w:rPr>
          <w:lang w:val="en-GB"/>
        </w:rPr>
        <w:t xml:space="preserve"> inclusive and accessible – </w:t>
      </w:r>
      <w:r w:rsidRPr="00FD04E7">
        <w:rPr>
          <w:lang w:val="en-GB"/>
        </w:rPr>
        <w:t xml:space="preserve">vital though that is. </w:t>
      </w:r>
      <w:r w:rsidR="00BC0399" w:rsidRPr="00FD04E7">
        <w:rPr>
          <w:lang w:val="en-GB"/>
        </w:rPr>
        <w:t>We also call for</w:t>
      </w:r>
      <w:r w:rsidR="005B71E3" w:rsidRPr="00FD04E7">
        <w:rPr>
          <w:lang w:val="en-GB"/>
        </w:rPr>
        <w:t xml:space="preserve"> </w:t>
      </w:r>
      <w:r w:rsidR="005B71E3" w:rsidRPr="00FD04E7">
        <w:rPr>
          <w:b/>
          <w:bCs/>
          <w:lang w:val="en-GB"/>
        </w:rPr>
        <w:t>decisions taken further upstream – decisions about the type of finance used and the overall objectives that such finance will support –</w:t>
      </w:r>
      <w:r w:rsidR="00206DCC" w:rsidRPr="00FD04E7">
        <w:rPr>
          <w:b/>
          <w:bCs/>
          <w:lang w:val="en-GB"/>
        </w:rPr>
        <w:t xml:space="preserve"> </w:t>
      </w:r>
      <w:r w:rsidR="00BC0399" w:rsidRPr="00FD04E7">
        <w:rPr>
          <w:b/>
          <w:bCs/>
          <w:lang w:val="en-GB"/>
        </w:rPr>
        <w:t xml:space="preserve">to </w:t>
      </w:r>
      <w:r w:rsidR="00992AB8" w:rsidRPr="00FD04E7">
        <w:rPr>
          <w:b/>
          <w:bCs/>
          <w:lang w:val="en-GB"/>
        </w:rPr>
        <w:t xml:space="preserve">be </w:t>
      </w:r>
      <w:r w:rsidR="005F57C3" w:rsidRPr="00FD04E7">
        <w:rPr>
          <w:b/>
          <w:bCs/>
          <w:lang w:val="en-GB"/>
        </w:rPr>
        <w:t>assess</w:t>
      </w:r>
      <w:r w:rsidR="00992AB8" w:rsidRPr="00FD04E7">
        <w:rPr>
          <w:b/>
          <w:bCs/>
          <w:lang w:val="en-GB"/>
        </w:rPr>
        <w:t>ed</w:t>
      </w:r>
      <w:r w:rsidR="005F57C3" w:rsidRPr="00FD04E7">
        <w:rPr>
          <w:b/>
          <w:bCs/>
          <w:lang w:val="en-GB"/>
        </w:rPr>
        <w:t xml:space="preserve"> </w:t>
      </w:r>
      <w:r w:rsidR="00992AB8" w:rsidRPr="00FD04E7">
        <w:rPr>
          <w:b/>
          <w:bCs/>
          <w:lang w:val="en-GB"/>
        </w:rPr>
        <w:t xml:space="preserve">in terms of their </w:t>
      </w:r>
      <w:r w:rsidR="005F57C3" w:rsidRPr="00FD04E7">
        <w:rPr>
          <w:b/>
          <w:bCs/>
          <w:lang w:val="en-GB"/>
        </w:rPr>
        <w:t xml:space="preserve">implications for the full enjoyment of rights and social justice </w:t>
      </w:r>
      <w:r w:rsidR="0075209C" w:rsidRPr="00FD04E7">
        <w:rPr>
          <w:b/>
          <w:bCs/>
          <w:lang w:val="en-GB"/>
        </w:rPr>
        <w:t>by</w:t>
      </w:r>
      <w:r w:rsidR="005F57C3" w:rsidRPr="00FD04E7">
        <w:rPr>
          <w:b/>
          <w:bCs/>
          <w:lang w:val="en-GB"/>
        </w:rPr>
        <w:t xml:space="preserve"> person</w:t>
      </w:r>
      <w:r w:rsidR="00206DCC" w:rsidRPr="00FD04E7">
        <w:rPr>
          <w:b/>
          <w:bCs/>
          <w:lang w:val="en-GB"/>
        </w:rPr>
        <w:t>s with disabilities</w:t>
      </w:r>
      <w:r w:rsidR="00365A2D" w:rsidRPr="00FD04E7">
        <w:rPr>
          <w:lang w:val="en-GB"/>
        </w:rPr>
        <w:t xml:space="preserve">. </w:t>
      </w:r>
      <w:r w:rsidR="00BC0399" w:rsidRPr="00FD04E7">
        <w:rPr>
          <w:b/>
          <w:bCs/>
          <w:lang w:val="en-GB"/>
        </w:rPr>
        <w:t xml:space="preserve">It is particularly important that such an assessment </w:t>
      </w:r>
      <w:r w:rsidR="005D407E" w:rsidRPr="00FD04E7">
        <w:rPr>
          <w:b/>
          <w:bCs/>
          <w:lang w:val="en-GB"/>
        </w:rPr>
        <w:t xml:space="preserve">should </w:t>
      </w:r>
      <w:r w:rsidR="00BC0399" w:rsidRPr="00FD04E7">
        <w:rPr>
          <w:b/>
          <w:bCs/>
          <w:lang w:val="en-GB"/>
        </w:rPr>
        <w:t xml:space="preserve">take an intersectional approach and </w:t>
      </w:r>
      <w:r w:rsidR="005D407E" w:rsidRPr="00FD04E7">
        <w:rPr>
          <w:b/>
          <w:bCs/>
          <w:lang w:val="en-GB"/>
        </w:rPr>
        <w:t xml:space="preserve">should </w:t>
      </w:r>
      <w:r w:rsidR="007E66A1" w:rsidRPr="00FD04E7">
        <w:rPr>
          <w:b/>
          <w:bCs/>
          <w:lang w:val="en-GB"/>
        </w:rPr>
        <w:t xml:space="preserve">also </w:t>
      </w:r>
      <w:r w:rsidR="00BC0399" w:rsidRPr="00FD04E7">
        <w:rPr>
          <w:b/>
          <w:bCs/>
          <w:lang w:val="en-GB"/>
        </w:rPr>
        <w:t>consider the situation of the most marginalised persons with disabilities</w:t>
      </w:r>
      <w:r w:rsidR="00BC0399" w:rsidRPr="00FD04E7">
        <w:rPr>
          <w:lang w:val="en-GB"/>
        </w:rPr>
        <w:t xml:space="preserve"> who</w:t>
      </w:r>
      <w:r w:rsidR="007E66A1" w:rsidRPr="00FD04E7">
        <w:rPr>
          <w:lang w:val="en-GB"/>
        </w:rPr>
        <w:t xml:space="preserve"> face such extreme inequalities that their</w:t>
      </w:r>
      <w:r w:rsidR="00BC0399" w:rsidRPr="00FD04E7">
        <w:rPr>
          <w:lang w:val="en-GB"/>
        </w:rPr>
        <w:t xml:space="preserve"> options </w:t>
      </w:r>
      <w:r w:rsidR="00716C4F" w:rsidRPr="00FD04E7">
        <w:rPr>
          <w:lang w:val="en-GB"/>
        </w:rPr>
        <w:t xml:space="preserve">for coping with COVID-19 </w:t>
      </w:r>
      <w:r w:rsidR="00BC0399" w:rsidRPr="00FD04E7">
        <w:rPr>
          <w:lang w:val="en-GB"/>
        </w:rPr>
        <w:t xml:space="preserve">are </w:t>
      </w:r>
      <w:r w:rsidR="00E23646" w:rsidRPr="00FD04E7">
        <w:rPr>
          <w:lang w:val="en-GB"/>
        </w:rPr>
        <w:t>especial</w:t>
      </w:r>
      <w:r w:rsidR="00BC0399" w:rsidRPr="00FD04E7">
        <w:rPr>
          <w:lang w:val="en-GB"/>
        </w:rPr>
        <w:t xml:space="preserve">ly restricted if financing decisions do not </w:t>
      </w:r>
      <w:r w:rsidR="00716C4F" w:rsidRPr="00FD04E7">
        <w:rPr>
          <w:lang w:val="en-GB"/>
        </w:rPr>
        <w:t>create space for quality public</w:t>
      </w:r>
      <w:r w:rsidR="00FD1DCE" w:rsidRPr="00FD04E7">
        <w:rPr>
          <w:lang w:val="en-GB"/>
        </w:rPr>
        <w:t>ly</w:t>
      </w:r>
      <w:r w:rsidR="00716C4F" w:rsidRPr="00FD04E7">
        <w:rPr>
          <w:lang w:val="en-GB"/>
        </w:rPr>
        <w:t xml:space="preserve"> funded support that is free at the point of use. </w:t>
      </w:r>
    </w:p>
    <w:p w14:paraId="63186E81" w14:textId="28E852D5" w:rsidR="00E41532" w:rsidRPr="00FD04E7" w:rsidRDefault="00E41532" w:rsidP="00E41532">
      <w:pPr>
        <w:rPr>
          <w:lang w:val="en-GB"/>
        </w:rPr>
      </w:pPr>
      <w:r w:rsidRPr="00FD04E7">
        <w:rPr>
          <w:lang w:val="en-GB"/>
        </w:rPr>
        <w:lastRenderedPageBreak/>
        <w:t>Resource allocation decisions with important implications for persons with disabilities include the following</w:t>
      </w:r>
      <w:r w:rsidR="003E2EC6" w:rsidRPr="00FD04E7">
        <w:rPr>
          <w:lang w:val="en-GB"/>
        </w:rPr>
        <w:t>.</w:t>
      </w:r>
    </w:p>
    <w:p w14:paraId="671E483A" w14:textId="73BE89F8" w:rsidR="00D35512" w:rsidRPr="00FD04E7" w:rsidRDefault="00015DE6" w:rsidP="00717C70">
      <w:pPr>
        <w:pStyle w:val="ListParagraph"/>
        <w:numPr>
          <w:ilvl w:val="0"/>
          <w:numId w:val="7"/>
        </w:numPr>
        <w:rPr>
          <w:lang w:val="en-GB"/>
        </w:rPr>
      </w:pPr>
      <w:r w:rsidRPr="00FD04E7">
        <w:rPr>
          <w:b/>
          <w:bCs/>
          <w:lang w:val="en-GB"/>
        </w:rPr>
        <w:t xml:space="preserve">Grants versus other forms of finance. </w:t>
      </w:r>
      <w:r w:rsidR="00D92EAE" w:rsidRPr="00FD04E7">
        <w:rPr>
          <w:lang w:val="en-GB"/>
        </w:rPr>
        <w:t>M</w:t>
      </w:r>
      <w:r w:rsidR="006D6E34" w:rsidRPr="00FD04E7">
        <w:rPr>
          <w:lang w:val="en-GB"/>
        </w:rPr>
        <w:t>uch</w:t>
      </w:r>
      <w:r w:rsidR="008477E7" w:rsidRPr="00FD04E7">
        <w:rPr>
          <w:lang w:val="en-GB"/>
        </w:rPr>
        <w:t xml:space="preserve"> of the </w:t>
      </w:r>
      <w:r w:rsidR="006D6E34" w:rsidRPr="00FD04E7">
        <w:rPr>
          <w:lang w:val="en-GB"/>
        </w:rPr>
        <w:t>disability-specific spending</w:t>
      </w:r>
      <w:r w:rsidR="00D92EAE" w:rsidRPr="00FD04E7">
        <w:rPr>
          <w:lang w:val="en-GB"/>
        </w:rPr>
        <w:t xml:space="preserve"> recommended in section 2.1</w:t>
      </w:r>
      <w:r w:rsidR="008477E7" w:rsidRPr="00FD04E7">
        <w:rPr>
          <w:lang w:val="en-GB"/>
        </w:rPr>
        <w:t xml:space="preserve"> above would not yield a </w:t>
      </w:r>
      <w:r w:rsidR="00FD1DCE" w:rsidRPr="00FD04E7">
        <w:rPr>
          <w:lang w:val="en-GB"/>
        </w:rPr>
        <w:t>financial</w:t>
      </w:r>
      <w:r w:rsidR="008477E7" w:rsidRPr="00FD04E7">
        <w:rPr>
          <w:lang w:val="en-GB"/>
        </w:rPr>
        <w:t xml:space="preserve"> return – or at best would only do so indirectly and over a very long time horizon. </w:t>
      </w:r>
      <w:r w:rsidR="00786512" w:rsidRPr="00FD04E7">
        <w:rPr>
          <w:lang w:val="en-GB"/>
        </w:rPr>
        <w:t xml:space="preserve">Such spending is therefore unlikely to </w:t>
      </w:r>
      <w:r w:rsidR="004D1B1E" w:rsidRPr="00FD04E7">
        <w:rPr>
          <w:lang w:val="en-GB"/>
        </w:rPr>
        <w:t>be suited</w:t>
      </w:r>
      <w:r w:rsidR="00786512" w:rsidRPr="00FD04E7">
        <w:rPr>
          <w:lang w:val="en-GB"/>
        </w:rPr>
        <w:t xml:space="preserve"> to </w:t>
      </w:r>
      <w:r w:rsidR="00CA57BB" w:rsidRPr="00FD04E7">
        <w:rPr>
          <w:lang w:val="en-GB"/>
        </w:rPr>
        <w:t xml:space="preserve">loans or </w:t>
      </w:r>
      <w:r w:rsidR="00D0608B" w:rsidRPr="00FD04E7">
        <w:rPr>
          <w:lang w:val="en-GB"/>
        </w:rPr>
        <w:t xml:space="preserve">other </w:t>
      </w:r>
      <w:r w:rsidR="00CA57BB" w:rsidRPr="00FD04E7">
        <w:rPr>
          <w:lang w:val="en-GB"/>
        </w:rPr>
        <w:t xml:space="preserve">forms of </w:t>
      </w:r>
      <w:r w:rsidR="00D0608B" w:rsidRPr="00FD04E7">
        <w:rPr>
          <w:lang w:val="en-GB"/>
        </w:rPr>
        <w:t xml:space="preserve">non-grant </w:t>
      </w:r>
      <w:r w:rsidR="00CA57BB" w:rsidRPr="00FD04E7">
        <w:rPr>
          <w:lang w:val="en-GB"/>
        </w:rPr>
        <w:t>financing tha</w:t>
      </w:r>
      <w:r w:rsidR="00D0608B" w:rsidRPr="00FD04E7">
        <w:rPr>
          <w:lang w:val="en-GB"/>
        </w:rPr>
        <w:t>t</w:t>
      </w:r>
      <w:r w:rsidR="00CA57BB" w:rsidRPr="00FD04E7">
        <w:rPr>
          <w:lang w:val="en-GB"/>
        </w:rPr>
        <w:t xml:space="preserve"> rely on repayments </w:t>
      </w:r>
      <w:r w:rsidR="00D17D63" w:rsidRPr="00FD04E7">
        <w:rPr>
          <w:lang w:val="en-GB"/>
        </w:rPr>
        <w:t>and interest payments</w:t>
      </w:r>
      <w:r w:rsidR="00CA57BB" w:rsidRPr="00FD04E7">
        <w:rPr>
          <w:lang w:val="en-GB"/>
        </w:rPr>
        <w:t xml:space="preserve"> being made. </w:t>
      </w:r>
    </w:p>
    <w:p w14:paraId="66386BB7" w14:textId="10E7F77B" w:rsidR="002373BB" w:rsidRPr="00FD04E7" w:rsidRDefault="00C50F7B" w:rsidP="002373BB">
      <w:pPr>
        <w:pStyle w:val="ListParagraph"/>
        <w:numPr>
          <w:ilvl w:val="0"/>
          <w:numId w:val="7"/>
        </w:numPr>
        <w:rPr>
          <w:lang w:val="en-GB"/>
        </w:rPr>
      </w:pPr>
      <w:r w:rsidRPr="00FD04E7">
        <w:rPr>
          <w:b/>
          <w:bCs/>
          <w:lang w:val="en-GB"/>
        </w:rPr>
        <w:t xml:space="preserve">Support for the </w:t>
      </w:r>
      <w:r w:rsidR="00AC1983" w:rsidRPr="00FD04E7">
        <w:rPr>
          <w:b/>
          <w:bCs/>
          <w:lang w:val="en-GB"/>
        </w:rPr>
        <w:t>‘</w:t>
      </w:r>
      <w:r w:rsidRPr="00FD04E7">
        <w:rPr>
          <w:b/>
          <w:bCs/>
          <w:lang w:val="en-GB"/>
        </w:rPr>
        <w:t>social</w:t>
      </w:r>
      <w:r w:rsidR="00AC1983" w:rsidRPr="00FD04E7">
        <w:rPr>
          <w:b/>
          <w:bCs/>
          <w:lang w:val="en-GB"/>
        </w:rPr>
        <w:t>’</w:t>
      </w:r>
      <w:r w:rsidRPr="00FD04E7">
        <w:rPr>
          <w:b/>
          <w:bCs/>
          <w:lang w:val="en-GB"/>
        </w:rPr>
        <w:t xml:space="preserve"> sectors versus support for the ‘productive’ sectors. </w:t>
      </w:r>
      <w:r w:rsidR="00835AA9" w:rsidRPr="00FD04E7">
        <w:rPr>
          <w:lang w:val="en-GB"/>
        </w:rPr>
        <w:t>As section 2.1 illustrates, i</w:t>
      </w:r>
      <w:r w:rsidR="00A51FE3" w:rsidRPr="00FD04E7">
        <w:rPr>
          <w:lang w:val="en-GB"/>
        </w:rPr>
        <w:t xml:space="preserve">nterventions in the social sectors </w:t>
      </w:r>
      <w:r w:rsidR="00AC1983" w:rsidRPr="00FD04E7">
        <w:rPr>
          <w:lang w:val="en-GB"/>
        </w:rPr>
        <w:t xml:space="preserve">(including healthcare, social protection and support for civil society) </w:t>
      </w:r>
      <w:r w:rsidR="00A51FE3" w:rsidRPr="00FD04E7">
        <w:rPr>
          <w:lang w:val="en-GB"/>
        </w:rPr>
        <w:t xml:space="preserve">have a particularly important role to play in realising rights </w:t>
      </w:r>
      <w:r w:rsidR="007B2D08" w:rsidRPr="00FD04E7">
        <w:rPr>
          <w:lang w:val="en-GB"/>
        </w:rPr>
        <w:t>and social justice for</w:t>
      </w:r>
      <w:r w:rsidR="00A51FE3" w:rsidRPr="00FD04E7">
        <w:rPr>
          <w:lang w:val="en-GB"/>
        </w:rPr>
        <w:t xml:space="preserve"> persons with disabilities </w:t>
      </w:r>
      <w:r w:rsidR="00835AA9" w:rsidRPr="00FD04E7">
        <w:rPr>
          <w:lang w:val="en-GB"/>
        </w:rPr>
        <w:t>through COVID-19 and beyond</w:t>
      </w:r>
      <w:r w:rsidR="00AC1983" w:rsidRPr="00FD04E7">
        <w:rPr>
          <w:lang w:val="en-GB"/>
        </w:rPr>
        <w:t>.</w:t>
      </w:r>
      <w:r w:rsidR="00835AA9" w:rsidRPr="00FD04E7">
        <w:rPr>
          <w:lang w:val="en-GB"/>
        </w:rPr>
        <w:t xml:space="preserve"> </w:t>
      </w:r>
      <w:r w:rsidR="0009026E" w:rsidRPr="00FD04E7">
        <w:rPr>
          <w:lang w:val="en-GB"/>
        </w:rPr>
        <w:t>To be sure, interventions</w:t>
      </w:r>
      <w:r w:rsidR="00E74AA2" w:rsidRPr="00FD04E7">
        <w:rPr>
          <w:lang w:val="en-GB"/>
        </w:rPr>
        <w:t xml:space="preserve"> in the ‘productive’ sectors such as industry </w:t>
      </w:r>
      <w:r w:rsidR="007D5A7C" w:rsidRPr="00FD04E7">
        <w:rPr>
          <w:lang w:val="en-GB"/>
        </w:rPr>
        <w:t xml:space="preserve">and agriculture </w:t>
      </w:r>
      <w:r w:rsidR="00E74AA2" w:rsidRPr="00FD04E7">
        <w:rPr>
          <w:lang w:val="en-GB"/>
        </w:rPr>
        <w:t>can be highly relevant for persons with disabilities to</w:t>
      </w:r>
      <w:r w:rsidR="0009026E" w:rsidRPr="00FD04E7">
        <w:rPr>
          <w:lang w:val="en-GB"/>
        </w:rPr>
        <w:t>o</w:t>
      </w:r>
      <w:r w:rsidR="003F6B70" w:rsidRPr="00FD04E7">
        <w:rPr>
          <w:rStyle w:val="FootnoteReference"/>
          <w:lang w:val="en-GB"/>
        </w:rPr>
        <w:footnoteReference w:id="25"/>
      </w:r>
      <w:r w:rsidR="0009026E" w:rsidRPr="00FD04E7">
        <w:rPr>
          <w:lang w:val="en-GB"/>
        </w:rPr>
        <w:t xml:space="preserve"> – and any such interventions should certainly be made fully inclusive and accessible</w:t>
      </w:r>
      <w:r w:rsidR="00C44B80" w:rsidRPr="00FD04E7">
        <w:rPr>
          <w:lang w:val="en-GB"/>
        </w:rPr>
        <w:t>.</w:t>
      </w:r>
      <w:r w:rsidR="0009026E" w:rsidRPr="00FD04E7">
        <w:rPr>
          <w:lang w:val="en-GB"/>
        </w:rPr>
        <w:t xml:space="preserve"> </w:t>
      </w:r>
      <w:r w:rsidR="00C44B80" w:rsidRPr="00FD04E7">
        <w:rPr>
          <w:lang w:val="en-GB"/>
        </w:rPr>
        <w:t>But it is vital that th</w:t>
      </w:r>
      <w:r w:rsidR="005F2963" w:rsidRPr="00FD04E7">
        <w:rPr>
          <w:lang w:val="en-GB"/>
        </w:rPr>
        <w:t xml:space="preserve">e </w:t>
      </w:r>
      <w:r w:rsidR="00167052" w:rsidRPr="00FD04E7">
        <w:rPr>
          <w:lang w:val="en-GB"/>
        </w:rPr>
        <w:t>criticality</w:t>
      </w:r>
      <w:r w:rsidR="005D2057" w:rsidRPr="00FD04E7">
        <w:rPr>
          <w:lang w:val="en-GB"/>
        </w:rPr>
        <w:t xml:space="preserve"> </w:t>
      </w:r>
      <w:r w:rsidR="008D126B" w:rsidRPr="00FD04E7">
        <w:rPr>
          <w:lang w:val="en-GB"/>
        </w:rPr>
        <w:t xml:space="preserve">for persons with disabilities </w:t>
      </w:r>
      <w:r w:rsidR="00C44B80" w:rsidRPr="00FD04E7">
        <w:rPr>
          <w:lang w:val="en-GB"/>
        </w:rPr>
        <w:t>of</w:t>
      </w:r>
      <w:r w:rsidR="005D2057" w:rsidRPr="00FD04E7">
        <w:rPr>
          <w:lang w:val="en-GB"/>
        </w:rPr>
        <w:t xml:space="preserve"> </w:t>
      </w:r>
      <w:r w:rsidR="00C44B80" w:rsidRPr="00FD04E7">
        <w:rPr>
          <w:lang w:val="en-GB"/>
        </w:rPr>
        <w:t>interventions in the social sectors</w:t>
      </w:r>
      <w:r w:rsidR="002A4FD7" w:rsidRPr="00FD04E7">
        <w:rPr>
          <w:lang w:val="en-GB"/>
        </w:rPr>
        <w:t xml:space="preserve"> </w:t>
      </w:r>
      <w:r w:rsidR="00C44B80" w:rsidRPr="00FD04E7">
        <w:rPr>
          <w:lang w:val="en-GB"/>
        </w:rPr>
        <w:t>be borne in mind</w:t>
      </w:r>
      <w:r w:rsidR="001B5A70" w:rsidRPr="00FD04E7">
        <w:rPr>
          <w:lang w:val="en-GB"/>
        </w:rPr>
        <w:t>,</w:t>
      </w:r>
      <w:r w:rsidR="00C44B80" w:rsidRPr="00FD04E7">
        <w:rPr>
          <w:lang w:val="en-GB"/>
        </w:rPr>
        <w:t xml:space="preserve"> before the balance of support to the social and productive sectors is finalised.</w:t>
      </w:r>
    </w:p>
    <w:p w14:paraId="314D14BF" w14:textId="731F7C7A" w:rsidR="002373BB" w:rsidRPr="00FD04E7" w:rsidRDefault="002562E7" w:rsidP="002373BB">
      <w:pPr>
        <w:pStyle w:val="ListParagraph"/>
        <w:numPr>
          <w:ilvl w:val="0"/>
          <w:numId w:val="7"/>
        </w:numPr>
        <w:rPr>
          <w:lang w:val="en-GB"/>
        </w:rPr>
      </w:pPr>
      <w:r w:rsidRPr="00FD04E7">
        <w:rPr>
          <w:b/>
          <w:bCs/>
          <w:lang w:val="en-GB"/>
        </w:rPr>
        <w:t xml:space="preserve">Support for social services that are free at the point of use, versus those that charge user fees. </w:t>
      </w:r>
      <w:r w:rsidR="002373BB" w:rsidRPr="00FD04E7">
        <w:rPr>
          <w:lang w:val="en-GB"/>
        </w:rPr>
        <w:t>Persons with disabilities tend to be over-represented among people living in poverty, due to the cumulative impact of inequalities and additional cost burdens,</w:t>
      </w:r>
      <w:r w:rsidR="002373BB" w:rsidRPr="00FD04E7">
        <w:rPr>
          <w:rStyle w:val="FootnoteReference"/>
          <w:lang w:val="en-GB"/>
        </w:rPr>
        <w:footnoteReference w:id="26"/>
      </w:r>
      <w:r w:rsidR="002373BB" w:rsidRPr="00FD04E7">
        <w:rPr>
          <w:lang w:val="en-GB"/>
        </w:rPr>
        <w:t xml:space="preserve"> so they are at particular risk of being unable to afford services that charge user fees. </w:t>
      </w:r>
    </w:p>
    <w:p w14:paraId="40820520" w14:textId="3EBA8AFC" w:rsidR="004D0E54" w:rsidRPr="00FD04E7" w:rsidRDefault="002373BB" w:rsidP="004D0E54">
      <w:pPr>
        <w:pStyle w:val="ListParagraph"/>
        <w:numPr>
          <w:ilvl w:val="0"/>
          <w:numId w:val="7"/>
        </w:numPr>
        <w:rPr>
          <w:lang w:val="en-GB"/>
        </w:rPr>
      </w:pPr>
      <w:r w:rsidRPr="00FD04E7">
        <w:rPr>
          <w:b/>
          <w:bCs/>
          <w:lang w:val="en-GB"/>
        </w:rPr>
        <w:t>Support for</w:t>
      </w:r>
      <w:r w:rsidR="00F828C2" w:rsidRPr="00FD04E7">
        <w:rPr>
          <w:b/>
          <w:bCs/>
          <w:lang w:val="en-GB"/>
        </w:rPr>
        <w:t xml:space="preserve"> </w:t>
      </w:r>
      <w:r w:rsidR="007B2D08" w:rsidRPr="00FD04E7">
        <w:rPr>
          <w:b/>
          <w:bCs/>
          <w:lang w:val="en-GB"/>
        </w:rPr>
        <w:t xml:space="preserve">workers in subsistence or </w:t>
      </w:r>
      <w:r w:rsidRPr="00FD04E7">
        <w:rPr>
          <w:b/>
          <w:bCs/>
          <w:lang w:val="en-GB"/>
        </w:rPr>
        <w:t xml:space="preserve">informal </w:t>
      </w:r>
      <w:r w:rsidR="00743F11" w:rsidRPr="00FD04E7">
        <w:rPr>
          <w:b/>
          <w:bCs/>
          <w:lang w:val="en-GB"/>
        </w:rPr>
        <w:t>sector activities</w:t>
      </w:r>
      <w:r w:rsidR="00567985" w:rsidRPr="00FD04E7">
        <w:rPr>
          <w:b/>
          <w:bCs/>
          <w:lang w:val="en-GB"/>
        </w:rPr>
        <w:t>,</w:t>
      </w:r>
      <w:r w:rsidR="00F828C2" w:rsidRPr="00FD04E7">
        <w:rPr>
          <w:b/>
          <w:bCs/>
          <w:lang w:val="en-GB"/>
        </w:rPr>
        <w:t xml:space="preserve"> versus</w:t>
      </w:r>
      <w:r w:rsidR="00743F11" w:rsidRPr="00FD04E7">
        <w:rPr>
          <w:b/>
          <w:bCs/>
          <w:lang w:val="en-GB"/>
        </w:rPr>
        <w:t xml:space="preserve"> </w:t>
      </w:r>
      <w:r w:rsidR="00F828C2" w:rsidRPr="00FD04E7">
        <w:rPr>
          <w:b/>
          <w:bCs/>
          <w:lang w:val="en-GB"/>
        </w:rPr>
        <w:t>employees of large formal sector enterprises</w:t>
      </w:r>
      <w:r w:rsidRPr="00FD04E7">
        <w:rPr>
          <w:b/>
          <w:bCs/>
          <w:lang w:val="en-GB"/>
        </w:rPr>
        <w:t xml:space="preserve">. </w:t>
      </w:r>
      <w:r w:rsidR="00AB59B5" w:rsidRPr="00FD04E7">
        <w:rPr>
          <w:lang w:val="en-GB"/>
        </w:rPr>
        <w:t xml:space="preserve">Available evidence suggests that persons with disabilities </w:t>
      </w:r>
      <w:r w:rsidR="005D2057" w:rsidRPr="00FD04E7">
        <w:rPr>
          <w:lang w:val="en-GB"/>
        </w:rPr>
        <w:t xml:space="preserve">– particularly women with disabilities </w:t>
      </w:r>
      <w:r w:rsidR="000F1A47" w:rsidRPr="00FD04E7">
        <w:rPr>
          <w:lang w:val="en-GB"/>
        </w:rPr>
        <w:t>–</w:t>
      </w:r>
      <w:r w:rsidR="005D2057" w:rsidRPr="00FD04E7">
        <w:rPr>
          <w:lang w:val="en-GB"/>
        </w:rPr>
        <w:t xml:space="preserve"> </w:t>
      </w:r>
      <w:r w:rsidR="00AB59B5" w:rsidRPr="00FD04E7">
        <w:rPr>
          <w:lang w:val="en-GB"/>
        </w:rPr>
        <w:t>in</w:t>
      </w:r>
      <w:r w:rsidR="000F1A47" w:rsidRPr="00FD04E7">
        <w:rPr>
          <w:lang w:val="en-GB"/>
        </w:rPr>
        <w:t xml:space="preserve"> </w:t>
      </w:r>
      <w:r w:rsidR="00AB59B5" w:rsidRPr="00FD04E7">
        <w:rPr>
          <w:lang w:val="en-GB"/>
        </w:rPr>
        <w:t xml:space="preserve">the Global South </w:t>
      </w:r>
      <w:r w:rsidR="00954887" w:rsidRPr="00FD04E7">
        <w:rPr>
          <w:lang w:val="en-GB"/>
        </w:rPr>
        <w:t>are over-represented</w:t>
      </w:r>
      <w:r w:rsidR="007B2D08" w:rsidRPr="00FD04E7">
        <w:rPr>
          <w:lang w:val="en-GB"/>
        </w:rPr>
        <w:t xml:space="preserve"> in work outside the formal sector</w:t>
      </w:r>
      <w:r w:rsidR="00AB59B5" w:rsidRPr="00FD04E7">
        <w:rPr>
          <w:lang w:val="en-GB"/>
        </w:rPr>
        <w:t>.</w:t>
      </w:r>
      <w:r w:rsidR="00AB59B5" w:rsidRPr="00FD04E7">
        <w:rPr>
          <w:rStyle w:val="FootnoteReference"/>
          <w:lang w:val="en-GB"/>
        </w:rPr>
        <w:footnoteReference w:id="27"/>
      </w:r>
      <w:r w:rsidR="004670F0" w:rsidRPr="00FD04E7">
        <w:rPr>
          <w:lang w:val="en-GB"/>
        </w:rPr>
        <w:t xml:space="preserve"> </w:t>
      </w:r>
      <w:r w:rsidR="00E6156C" w:rsidRPr="00FD04E7">
        <w:rPr>
          <w:lang w:val="en-GB"/>
        </w:rPr>
        <w:t xml:space="preserve">If </w:t>
      </w:r>
      <w:r w:rsidR="004670F0" w:rsidRPr="00FD04E7">
        <w:rPr>
          <w:lang w:val="en-GB"/>
        </w:rPr>
        <w:t xml:space="preserve">international public finance is used to support </w:t>
      </w:r>
      <w:r w:rsidR="005D2057" w:rsidRPr="00FD04E7">
        <w:rPr>
          <w:lang w:val="en-GB"/>
        </w:rPr>
        <w:t>workers</w:t>
      </w:r>
      <w:r w:rsidR="004670F0" w:rsidRPr="00FD04E7">
        <w:rPr>
          <w:lang w:val="en-GB"/>
        </w:rPr>
        <w:t xml:space="preserve"> whose livelihoods have been threatened </w:t>
      </w:r>
      <w:r w:rsidR="00FB7C87" w:rsidRPr="00FD04E7">
        <w:rPr>
          <w:lang w:val="en-GB"/>
        </w:rPr>
        <w:t xml:space="preserve">by the crisis, </w:t>
      </w:r>
      <w:r w:rsidR="00E6156C" w:rsidRPr="00FD04E7">
        <w:rPr>
          <w:lang w:val="en-GB"/>
        </w:rPr>
        <w:t xml:space="preserve">it is important to ensure that </w:t>
      </w:r>
      <w:r w:rsidR="005D2057" w:rsidRPr="00FD04E7">
        <w:rPr>
          <w:lang w:val="en-GB"/>
        </w:rPr>
        <w:t xml:space="preserve">it reaches </w:t>
      </w:r>
      <w:r w:rsidR="000F1A47" w:rsidRPr="00FD04E7">
        <w:rPr>
          <w:lang w:val="en-GB"/>
        </w:rPr>
        <w:t>marginalised workers</w:t>
      </w:r>
      <w:r w:rsidR="007B2D08" w:rsidRPr="00FD04E7">
        <w:rPr>
          <w:lang w:val="en-GB"/>
        </w:rPr>
        <w:t xml:space="preserve"> outside the f</w:t>
      </w:r>
      <w:r w:rsidR="000F1A47" w:rsidRPr="00FD04E7">
        <w:rPr>
          <w:lang w:val="en-GB"/>
        </w:rPr>
        <w:t>ormal economy, including persons with disabilities</w:t>
      </w:r>
      <w:r w:rsidR="004D0E54" w:rsidRPr="00FD04E7">
        <w:rPr>
          <w:lang w:val="en-GB"/>
        </w:rPr>
        <w:t>.</w:t>
      </w:r>
    </w:p>
    <w:p w14:paraId="4CD2B4A9" w14:textId="6055F713" w:rsidR="00440ED4" w:rsidRPr="00FD04E7" w:rsidRDefault="006515AC" w:rsidP="006515AC">
      <w:pPr>
        <w:rPr>
          <w:lang w:val="en-GB"/>
        </w:rPr>
      </w:pPr>
      <w:r w:rsidRPr="00FD04E7">
        <w:rPr>
          <w:lang w:val="en-GB"/>
        </w:rPr>
        <w:t>F</w:t>
      </w:r>
      <w:r w:rsidR="00E41532" w:rsidRPr="00FD04E7">
        <w:rPr>
          <w:lang w:val="en-GB"/>
        </w:rPr>
        <w:t>urther</w:t>
      </w:r>
      <w:r w:rsidRPr="00FD04E7">
        <w:rPr>
          <w:lang w:val="en-GB"/>
        </w:rPr>
        <w:t xml:space="preserve">, </w:t>
      </w:r>
      <w:r w:rsidR="00E41532" w:rsidRPr="00FD04E7">
        <w:rPr>
          <w:lang w:val="en-GB"/>
        </w:rPr>
        <w:t xml:space="preserve">overlapping with several of the above decisions, comes </w:t>
      </w:r>
      <w:r w:rsidRPr="00FD04E7">
        <w:rPr>
          <w:lang w:val="en-GB"/>
        </w:rPr>
        <w:t xml:space="preserve">the question of whether to </w:t>
      </w:r>
      <w:r w:rsidR="00E41532" w:rsidRPr="00FD04E7">
        <w:rPr>
          <w:lang w:val="en-GB"/>
        </w:rPr>
        <w:t xml:space="preserve">invest </w:t>
      </w:r>
      <w:r w:rsidRPr="00FD04E7">
        <w:rPr>
          <w:lang w:val="en-GB"/>
        </w:rPr>
        <w:t xml:space="preserve">resources </w:t>
      </w:r>
      <w:r w:rsidR="00977138" w:rsidRPr="00FD04E7">
        <w:rPr>
          <w:lang w:val="en-GB"/>
        </w:rPr>
        <w:t>such as</w:t>
      </w:r>
      <w:r w:rsidRPr="00FD04E7">
        <w:rPr>
          <w:lang w:val="en-GB"/>
        </w:rPr>
        <w:t xml:space="preserve"> Official Development Assistance</w:t>
      </w:r>
      <w:r w:rsidR="00E41532" w:rsidRPr="00FD04E7">
        <w:rPr>
          <w:lang w:val="en-GB"/>
        </w:rPr>
        <w:t xml:space="preserve"> in private sector enterprises</w:t>
      </w:r>
      <w:r w:rsidR="009C1D05" w:rsidRPr="00FD04E7">
        <w:rPr>
          <w:lang w:val="en-GB"/>
        </w:rPr>
        <w:t xml:space="preserve"> </w:t>
      </w:r>
      <w:r w:rsidR="00977138" w:rsidRPr="00FD04E7">
        <w:rPr>
          <w:lang w:val="en-GB"/>
        </w:rPr>
        <w:t>(</w:t>
      </w:r>
      <w:r w:rsidR="00E41532" w:rsidRPr="00FD04E7">
        <w:rPr>
          <w:lang w:val="en-GB"/>
        </w:rPr>
        <w:t>a form of financing known as</w:t>
      </w:r>
      <w:r w:rsidRPr="00FD04E7">
        <w:rPr>
          <w:lang w:val="en-GB"/>
        </w:rPr>
        <w:t xml:space="preserve"> ‘</w:t>
      </w:r>
      <w:r w:rsidRPr="00FD04E7">
        <w:rPr>
          <w:b/>
          <w:bCs/>
          <w:lang w:val="en-GB"/>
        </w:rPr>
        <w:t>private sector instruments</w:t>
      </w:r>
      <w:r w:rsidRPr="00FD04E7">
        <w:rPr>
          <w:lang w:val="en-GB"/>
        </w:rPr>
        <w:t>’</w:t>
      </w:r>
      <w:r w:rsidR="00977138" w:rsidRPr="00FD04E7">
        <w:rPr>
          <w:lang w:val="en-GB"/>
        </w:rPr>
        <w:t>)</w:t>
      </w:r>
      <w:r w:rsidR="00E41532" w:rsidRPr="00FD04E7">
        <w:rPr>
          <w:lang w:val="en-GB"/>
        </w:rPr>
        <w:t>.</w:t>
      </w:r>
      <w:r w:rsidR="00FB69DC" w:rsidRPr="00FD04E7">
        <w:rPr>
          <w:rStyle w:val="FootnoteReference"/>
          <w:lang w:val="en-GB"/>
        </w:rPr>
        <w:footnoteReference w:id="28"/>
      </w:r>
      <w:r w:rsidRPr="00FD04E7">
        <w:rPr>
          <w:lang w:val="en-GB"/>
        </w:rPr>
        <w:t xml:space="preserve"> </w:t>
      </w:r>
      <w:r w:rsidR="00E41532" w:rsidRPr="00FD04E7">
        <w:rPr>
          <w:lang w:val="en-GB"/>
        </w:rPr>
        <w:t xml:space="preserve">The </w:t>
      </w:r>
      <w:r w:rsidR="00DC3935" w:rsidRPr="00FD04E7">
        <w:rPr>
          <w:lang w:val="en-GB"/>
        </w:rPr>
        <w:t>choice to use private sector instruments can have significant consequences for persons with disabilities,</w:t>
      </w:r>
      <w:r w:rsidR="00DC3935" w:rsidRPr="00FD04E7">
        <w:rPr>
          <w:rStyle w:val="FootnoteReference"/>
          <w:lang w:val="en-GB"/>
        </w:rPr>
        <w:footnoteReference w:id="29"/>
      </w:r>
      <w:r w:rsidR="00DC3935" w:rsidRPr="00FD04E7">
        <w:rPr>
          <w:lang w:val="en-GB"/>
        </w:rPr>
        <w:t xml:space="preserve"> and t</w:t>
      </w:r>
      <w:r w:rsidR="00696F08" w:rsidRPr="00FD04E7">
        <w:rPr>
          <w:lang w:val="en-GB"/>
        </w:rPr>
        <w:t xml:space="preserve">he UN Special Rapporteur on the rights of persons with disabilities recently found that, “When considering official development assistance </w:t>
      </w:r>
      <w:r w:rsidR="00696F08" w:rsidRPr="00FD04E7">
        <w:rPr>
          <w:lang w:val="en-GB"/>
        </w:rPr>
        <w:lastRenderedPageBreak/>
        <w:t>investment in private sector instruments, States should conduct human rights impact assessments to explore the potential implications for the rights of persons with disabilities.”</w:t>
      </w:r>
      <w:r w:rsidR="00696F08" w:rsidRPr="00FD04E7">
        <w:rPr>
          <w:rStyle w:val="FootnoteReference"/>
          <w:lang w:val="en-GB"/>
        </w:rPr>
        <w:footnoteReference w:id="30"/>
      </w:r>
    </w:p>
    <w:p w14:paraId="18F3697E" w14:textId="4D10455F" w:rsidR="00C741AD" w:rsidRPr="00FD04E7" w:rsidRDefault="00C741AD" w:rsidP="002B214A">
      <w:pPr>
        <w:pStyle w:val="Heading2"/>
        <w:rPr>
          <w:lang w:val="en-GB"/>
        </w:rPr>
      </w:pPr>
      <w:bookmarkStart w:id="9" w:name="_Toc63089196"/>
      <w:r w:rsidRPr="00FD04E7">
        <w:rPr>
          <w:lang w:val="en-GB"/>
        </w:rPr>
        <w:t>2.</w:t>
      </w:r>
      <w:r w:rsidR="00072A92" w:rsidRPr="00FD04E7">
        <w:rPr>
          <w:lang w:val="en-GB"/>
        </w:rPr>
        <w:t>4</w:t>
      </w:r>
      <w:r w:rsidRPr="00FD04E7">
        <w:rPr>
          <w:lang w:val="en-GB"/>
        </w:rPr>
        <w:t xml:space="preserve"> </w:t>
      </w:r>
      <w:r w:rsidR="007C2B5D" w:rsidRPr="00FD04E7">
        <w:rPr>
          <w:lang w:val="en-GB"/>
        </w:rPr>
        <w:t xml:space="preserve">Supporting mobilisation of the maximum available resources </w:t>
      </w:r>
      <w:r w:rsidR="00D16F75" w:rsidRPr="00FD04E7">
        <w:rPr>
          <w:lang w:val="en-GB"/>
        </w:rPr>
        <w:t>for</w:t>
      </w:r>
      <w:r w:rsidR="007C2B5D" w:rsidRPr="00FD04E7">
        <w:rPr>
          <w:lang w:val="en-GB"/>
        </w:rPr>
        <w:t xml:space="preserve"> human right</w:t>
      </w:r>
      <w:r w:rsidR="00B61750" w:rsidRPr="00FD04E7">
        <w:rPr>
          <w:lang w:val="en-GB"/>
        </w:rPr>
        <w:t>s</w:t>
      </w:r>
      <w:r w:rsidR="00D16F75" w:rsidRPr="00FD04E7">
        <w:rPr>
          <w:lang w:val="en-GB"/>
        </w:rPr>
        <w:t xml:space="preserve"> and social justice</w:t>
      </w:r>
      <w:bookmarkEnd w:id="9"/>
    </w:p>
    <w:p w14:paraId="192FEE26" w14:textId="4DDBF36B" w:rsidR="009574D9" w:rsidRPr="00FD04E7" w:rsidRDefault="009574D9" w:rsidP="00460EAF">
      <w:pPr>
        <w:rPr>
          <w:lang w:val="en-GB"/>
        </w:rPr>
      </w:pPr>
      <w:r w:rsidRPr="00FD04E7">
        <w:rPr>
          <w:lang w:val="en-GB"/>
        </w:rPr>
        <w:t>Financing a rights-compliant and socially just response and recovery to the crisis</w:t>
      </w:r>
      <w:r w:rsidR="006D03C2" w:rsidRPr="00FD04E7">
        <w:rPr>
          <w:lang w:val="en-GB"/>
        </w:rPr>
        <w:t xml:space="preserve"> of course</w:t>
      </w:r>
      <w:r w:rsidRPr="00FD04E7">
        <w:rPr>
          <w:lang w:val="en-GB"/>
        </w:rPr>
        <w:t xml:space="preserve"> depends not </w:t>
      </w:r>
      <w:r w:rsidR="006D03C2" w:rsidRPr="00FD04E7">
        <w:rPr>
          <w:lang w:val="en-GB"/>
        </w:rPr>
        <w:t>only</w:t>
      </w:r>
      <w:r w:rsidRPr="00FD04E7">
        <w:rPr>
          <w:lang w:val="en-GB"/>
        </w:rPr>
        <w:t xml:space="preserve"> on how resources are allocated, but also on the total quantity of resources available</w:t>
      </w:r>
      <w:r w:rsidR="008A5971" w:rsidRPr="00FD04E7">
        <w:rPr>
          <w:lang w:val="en-GB"/>
        </w:rPr>
        <w:t xml:space="preserve">. </w:t>
      </w:r>
      <w:r w:rsidR="00211DB0" w:rsidRPr="00FD04E7">
        <w:rPr>
          <w:lang w:val="en-GB"/>
        </w:rPr>
        <w:t xml:space="preserve">As dedicated resources are required to </w:t>
      </w:r>
      <w:r w:rsidR="000B39C7" w:rsidRPr="00FD04E7">
        <w:rPr>
          <w:lang w:val="en-GB"/>
        </w:rPr>
        <w:t>ensure safety and equality for persons with disabilities</w:t>
      </w:r>
      <w:r w:rsidR="00211DB0" w:rsidRPr="00FD04E7">
        <w:rPr>
          <w:lang w:val="en-GB"/>
        </w:rPr>
        <w:t xml:space="preserve"> (section 2.1 above), </w:t>
      </w:r>
      <w:r w:rsidR="006D03C2" w:rsidRPr="00FD04E7">
        <w:rPr>
          <w:lang w:val="en-GB"/>
        </w:rPr>
        <w:t xml:space="preserve">resource shortfalls </w:t>
      </w:r>
      <w:r w:rsidR="000B39C7" w:rsidRPr="00FD04E7">
        <w:rPr>
          <w:lang w:val="en-GB"/>
        </w:rPr>
        <w:t xml:space="preserve">are likely to hit </w:t>
      </w:r>
      <w:r w:rsidR="00EA09CE" w:rsidRPr="00FD04E7">
        <w:rPr>
          <w:lang w:val="en-GB"/>
        </w:rPr>
        <w:t>persons with disabilities</w:t>
      </w:r>
      <w:r w:rsidR="000B39C7" w:rsidRPr="00FD04E7">
        <w:rPr>
          <w:lang w:val="en-GB"/>
        </w:rPr>
        <w:t xml:space="preserve"> particularly hard.</w:t>
      </w:r>
    </w:p>
    <w:p w14:paraId="46313E72" w14:textId="31B6637F" w:rsidR="00037B31" w:rsidRPr="00FD04E7" w:rsidRDefault="00A87F70" w:rsidP="00460EAF">
      <w:pPr>
        <w:rPr>
          <w:lang w:val="en-GB"/>
        </w:rPr>
      </w:pPr>
      <w:r w:rsidRPr="00FD04E7">
        <w:rPr>
          <w:b/>
          <w:bCs/>
          <w:lang w:val="en-GB"/>
        </w:rPr>
        <w:t xml:space="preserve">We call on all governments and multilateral bodies to do everything in their power to ensure the maximum resources are available </w:t>
      </w:r>
      <w:r w:rsidR="00ED2974" w:rsidRPr="00FD04E7">
        <w:rPr>
          <w:b/>
          <w:bCs/>
          <w:lang w:val="en-GB"/>
        </w:rPr>
        <w:t>to</w:t>
      </w:r>
      <w:r w:rsidRPr="00FD04E7">
        <w:rPr>
          <w:b/>
          <w:bCs/>
          <w:lang w:val="en-GB"/>
        </w:rPr>
        <w:t xml:space="preserve"> </w:t>
      </w:r>
      <w:r w:rsidR="00B0423F" w:rsidRPr="00FD04E7">
        <w:rPr>
          <w:b/>
          <w:bCs/>
          <w:lang w:val="en-GB"/>
        </w:rPr>
        <w:t>uphold</w:t>
      </w:r>
      <w:r w:rsidRPr="00FD04E7">
        <w:rPr>
          <w:b/>
          <w:bCs/>
          <w:lang w:val="en-GB"/>
        </w:rPr>
        <w:t xml:space="preserve"> human rights and social justice in responding to COVID-19 in the Global South</w:t>
      </w:r>
      <w:r w:rsidR="00A91A22" w:rsidRPr="00FD04E7">
        <w:rPr>
          <w:lang w:val="en-GB"/>
        </w:rPr>
        <w:t xml:space="preserve">. This includes urgent action </w:t>
      </w:r>
      <w:r w:rsidR="00CB3A0A" w:rsidRPr="00FD04E7">
        <w:rPr>
          <w:lang w:val="en-GB"/>
        </w:rPr>
        <w:t>on the following priority areas.</w:t>
      </w:r>
      <w:r w:rsidR="003F2849" w:rsidRPr="00FD04E7">
        <w:rPr>
          <w:rStyle w:val="FootnoteReference"/>
          <w:lang w:val="en-GB"/>
        </w:rPr>
        <w:footnoteReference w:id="31"/>
      </w:r>
      <w:r w:rsidRPr="00FD04E7">
        <w:rPr>
          <w:lang w:val="en-GB"/>
        </w:rPr>
        <w:t xml:space="preserve"> </w:t>
      </w:r>
    </w:p>
    <w:p w14:paraId="708302D7" w14:textId="4D0E2A92" w:rsidR="00CB3A0A" w:rsidRPr="00FD04E7" w:rsidRDefault="00CB3A0A" w:rsidP="00CB3A0A">
      <w:pPr>
        <w:pStyle w:val="Heading3"/>
        <w:rPr>
          <w:b/>
          <w:bCs/>
          <w:lang w:val="en-GB"/>
        </w:rPr>
      </w:pPr>
      <w:bookmarkStart w:id="10" w:name="_Toc63089197"/>
      <w:r w:rsidRPr="00FD04E7">
        <w:rPr>
          <w:lang w:val="en-GB"/>
        </w:rPr>
        <w:t>2.4.1 Debt</w:t>
      </w:r>
      <w:bookmarkEnd w:id="10"/>
      <w:r w:rsidRPr="00FD04E7">
        <w:rPr>
          <w:lang w:val="en-GB"/>
        </w:rPr>
        <w:t xml:space="preserve"> </w:t>
      </w:r>
    </w:p>
    <w:p w14:paraId="350C252D" w14:textId="3DD813C6" w:rsidR="00834D9C" w:rsidRPr="00FD04E7" w:rsidRDefault="00834D9C" w:rsidP="00CB3A0A">
      <w:pPr>
        <w:shd w:val="clear" w:color="auto" w:fill="FFFFFF"/>
        <w:spacing w:after="0"/>
        <w:textAlignment w:val="baseline"/>
        <w:rPr>
          <w:lang w:val="en-GB"/>
        </w:rPr>
      </w:pPr>
      <w:r w:rsidRPr="00FD04E7">
        <w:rPr>
          <w:lang w:val="en-GB"/>
        </w:rPr>
        <w:t>Servicing unsustainable debt burdens deprives countries of resources that could otherwise be used for public services.</w:t>
      </w:r>
      <w:r w:rsidR="00B30CB5" w:rsidRPr="00FD04E7">
        <w:rPr>
          <w:lang w:val="en-GB"/>
        </w:rPr>
        <w:t xml:space="preserve"> </w:t>
      </w:r>
      <w:r w:rsidR="00AC721A" w:rsidRPr="00FD04E7">
        <w:rPr>
          <w:lang w:val="en-GB"/>
        </w:rPr>
        <w:t>Even in 2019</w:t>
      </w:r>
      <w:r w:rsidR="00E20DDF" w:rsidRPr="00FD04E7">
        <w:rPr>
          <w:lang w:val="en-GB"/>
        </w:rPr>
        <w:t>,</w:t>
      </w:r>
      <w:r w:rsidR="00AC721A" w:rsidRPr="00FD04E7">
        <w:rPr>
          <w:lang w:val="en-GB"/>
        </w:rPr>
        <w:t xml:space="preserve"> before the </w:t>
      </w:r>
      <w:r w:rsidR="00E20DDF" w:rsidRPr="00FD04E7">
        <w:rPr>
          <w:lang w:val="en-GB"/>
        </w:rPr>
        <w:t xml:space="preserve">economic crisis </w:t>
      </w:r>
      <w:r w:rsidR="002A2B18" w:rsidRPr="00FD04E7">
        <w:rPr>
          <w:lang w:val="en-GB"/>
        </w:rPr>
        <w:t>brought on by</w:t>
      </w:r>
      <w:r w:rsidR="00E20DDF" w:rsidRPr="00FD04E7">
        <w:rPr>
          <w:lang w:val="en-GB"/>
        </w:rPr>
        <w:t xml:space="preserve"> COVID-19</w:t>
      </w:r>
      <w:r w:rsidR="00B30CB5" w:rsidRPr="00FD04E7">
        <w:rPr>
          <w:lang w:val="en-GB"/>
        </w:rPr>
        <w:t xml:space="preserve">, </w:t>
      </w:r>
      <w:r w:rsidR="00B2448C" w:rsidRPr="00FD04E7">
        <w:rPr>
          <w:lang w:val="en-GB"/>
        </w:rPr>
        <w:t>64 countries in the Global South spent more servicing external debts than they did on healthcare</w:t>
      </w:r>
      <w:r w:rsidR="00AA6D9E" w:rsidRPr="00FD04E7">
        <w:rPr>
          <w:lang w:val="en-GB"/>
        </w:rPr>
        <w:t>.</w:t>
      </w:r>
      <w:r w:rsidR="00B2448C" w:rsidRPr="00FD04E7">
        <w:rPr>
          <w:rStyle w:val="FootnoteReference"/>
          <w:lang w:val="en-GB"/>
        </w:rPr>
        <w:footnoteReference w:id="32"/>
      </w:r>
      <w:r w:rsidR="00AA6D9E" w:rsidRPr="00FD04E7">
        <w:rPr>
          <w:lang w:val="en-GB"/>
        </w:rPr>
        <w:t xml:space="preserve"> </w:t>
      </w:r>
      <w:r w:rsidR="00AC3668" w:rsidRPr="00FD04E7">
        <w:rPr>
          <w:lang w:val="en-GB"/>
        </w:rPr>
        <w:t xml:space="preserve">Public services have a particularly important role to play in countering the inequalities that persons with disabilities </w:t>
      </w:r>
      <w:r w:rsidR="007B37EC" w:rsidRPr="00FD04E7">
        <w:rPr>
          <w:lang w:val="en-GB"/>
        </w:rPr>
        <w:t>face</w:t>
      </w:r>
      <w:r w:rsidR="00AC3668" w:rsidRPr="00FD04E7">
        <w:rPr>
          <w:lang w:val="en-GB"/>
        </w:rPr>
        <w:t xml:space="preserve"> (section 2.1 above). Where excessive debt service payments prevent states from financing such public services, persons with disabilities </w:t>
      </w:r>
      <w:r w:rsidR="00ED0686" w:rsidRPr="00FD04E7">
        <w:rPr>
          <w:lang w:val="en-GB"/>
        </w:rPr>
        <w:t xml:space="preserve">– particularly those experiencing intersecting inequalities – </w:t>
      </w:r>
      <w:r w:rsidR="00AC3668" w:rsidRPr="00FD04E7">
        <w:rPr>
          <w:lang w:val="en-GB"/>
        </w:rPr>
        <w:t xml:space="preserve">are therefore likely to be disproportionately affected. </w:t>
      </w:r>
    </w:p>
    <w:p w14:paraId="0EA875A3" w14:textId="5C4E3086" w:rsidR="00834D9C" w:rsidRPr="00FD04E7" w:rsidRDefault="00834D9C" w:rsidP="00CB3A0A">
      <w:pPr>
        <w:shd w:val="clear" w:color="auto" w:fill="FFFFFF"/>
        <w:spacing w:after="0"/>
        <w:textAlignment w:val="baseline"/>
        <w:rPr>
          <w:lang w:val="en-GB"/>
        </w:rPr>
      </w:pPr>
    </w:p>
    <w:p w14:paraId="02EC959A" w14:textId="3D8EBF75" w:rsidR="00C17D2D" w:rsidRPr="00FD04E7" w:rsidRDefault="00A744AA" w:rsidP="00C07CB7">
      <w:pPr>
        <w:shd w:val="clear" w:color="auto" w:fill="FFFFFF"/>
        <w:spacing w:after="0"/>
        <w:textAlignment w:val="baseline"/>
        <w:rPr>
          <w:lang w:val="en-GB"/>
        </w:rPr>
      </w:pPr>
      <w:r w:rsidRPr="00FD04E7">
        <w:rPr>
          <w:lang w:val="en-GB"/>
        </w:rPr>
        <w:t xml:space="preserve">We call for the </w:t>
      </w:r>
      <w:r w:rsidR="00D51EB9" w:rsidRPr="00FD04E7">
        <w:rPr>
          <w:b/>
          <w:bCs/>
          <w:lang w:val="en-GB"/>
        </w:rPr>
        <w:t>p</w:t>
      </w:r>
      <w:r w:rsidR="00A91A22" w:rsidRPr="00FD04E7">
        <w:rPr>
          <w:b/>
          <w:bCs/>
          <w:lang w:val="en-GB"/>
        </w:rPr>
        <w:t xml:space="preserve">ermanent cancellation of all external debt payments </w:t>
      </w:r>
      <w:r w:rsidR="00A91A22" w:rsidRPr="00FD04E7">
        <w:rPr>
          <w:lang w:val="en-GB"/>
        </w:rPr>
        <w:t>for countries in need in the Global South for at least four years</w:t>
      </w:r>
      <w:r w:rsidR="00D2685C" w:rsidRPr="00FD04E7">
        <w:rPr>
          <w:lang w:val="en-GB"/>
        </w:rPr>
        <w:t xml:space="preserve"> without penalties</w:t>
      </w:r>
      <w:r w:rsidR="00A91A22" w:rsidRPr="00FD04E7">
        <w:rPr>
          <w:lang w:val="en-GB"/>
        </w:rPr>
        <w:t>, coupled with a</w:t>
      </w:r>
      <w:r w:rsidR="00A91A22" w:rsidRPr="00FD04E7">
        <w:rPr>
          <w:rFonts w:ascii="inherit" w:eastAsia="Times New Roman" w:hAnsi="inherit" w:cs="Times New Roman"/>
          <w:color w:val="3D3D3D"/>
          <w:spacing w:val="3"/>
          <w:sz w:val="26"/>
          <w:szCs w:val="26"/>
          <w:lang w:val="en-GB" w:eastAsia="fr-FR"/>
        </w:rPr>
        <w:t xml:space="preserve"> </w:t>
      </w:r>
      <w:r w:rsidR="00A91A22" w:rsidRPr="00FD04E7">
        <w:rPr>
          <w:b/>
          <w:bCs/>
          <w:lang w:val="en-GB"/>
        </w:rPr>
        <w:t>debt relief initiative</w:t>
      </w:r>
      <w:r w:rsidR="00A91A22" w:rsidRPr="00FD04E7">
        <w:rPr>
          <w:lang w:val="en-GB"/>
        </w:rPr>
        <w:t xml:space="preserve"> to bring debts down to sustainable levels</w:t>
      </w:r>
      <w:r w:rsidR="00DC3C70" w:rsidRPr="00FD04E7">
        <w:rPr>
          <w:lang w:val="en-GB"/>
        </w:rPr>
        <w:t>.</w:t>
      </w:r>
      <w:r w:rsidR="00A91A22" w:rsidRPr="00FD04E7">
        <w:rPr>
          <w:lang w:val="en-GB"/>
        </w:rPr>
        <w:t xml:space="preserve"> (</w:t>
      </w:r>
      <w:r w:rsidR="00DC3C70" w:rsidRPr="00FD04E7">
        <w:rPr>
          <w:lang w:val="en-GB"/>
        </w:rPr>
        <w:t>T</w:t>
      </w:r>
      <w:r w:rsidR="005364C7" w:rsidRPr="00FD04E7">
        <w:rPr>
          <w:lang w:val="en-GB"/>
        </w:rPr>
        <w:t xml:space="preserve">he degree of </w:t>
      </w:r>
      <w:r w:rsidR="00DC3C70" w:rsidRPr="00FD04E7">
        <w:rPr>
          <w:lang w:val="en-GB"/>
        </w:rPr>
        <w:t>‘</w:t>
      </w:r>
      <w:r w:rsidR="005364C7" w:rsidRPr="00FD04E7">
        <w:rPr>
          <w:lang w:val="en-GB"/>
        </w:rPr>
        <w:t>need</w:t>
      </w:r>
      <w:r w:rsidR="00DC3C70" w:rsidRPr="00FD04E7">
        <w:rPr>
          <w:lang w:val="en-GB"/>
        </w:rPr>
        <w:t>’</w:t>
      </w:r>
      <w:r w:rsidR="005364C7" w:rsidRPr="00FD04E7">
        <w:rPr>
          <w:lang w:val="en-GB"/>
        </w:rPr>
        <w:t xml:space="preserve"> and the threshold for </w:t>
      </w:r>
      <w:r w:rsidR="00DC3C70" w:rsidRPr="00FD04E7">
        <w:rPr>
          <w:lang w:val="en-GB"/>
        </w:rPr>
        <w:t>‘</w:t>
      </w:r>
      <w:r w:rsidR="005364C7" w:rsidRPr="00FD04E7">
        <w:rPr>
          <w:lang w:val="en-GB"/>
        </w:rPr>
        <w:t>sustainab</w:t>
      </w:r>
      <w:r w:rsidR="00DC3C70" w:rsidRPr="00FD04E7">
        <w:rPr>
          <w:lang w:val="en-GB"/>
        </w:rPr>
        <w:t>le levels’ should</w:t>
      </w:r>
      <w:r w:rsidR="005364C7" w:rsidRPr="00FD04E7">
        <w:rPr>
          <w:lang w:val="en-GB"/>
        </w:rPr>
        <w:t xml:space="preserve"> both be calculated</w:t>
      </w:r>
      <w:r w:rsidR="00673528" w:rsidRPr="00FD04E7">
        <w:rPr>
          <w:lang w:val="en-GB"/>
        </w:rPr>
        <w:t xml:space="preserve"> </w:t>
      </w:r>
      <w:r w:rsidR="00A91A22" w:rsidRPr="00FD04E7">
        <w:rPr>
          <w:lang w:val="en-GB"/>
        </w:rPr>
        <w:t xml:space="preserve">taking into account long-term financing </w:t>
      </w:r>
      <w:r w:rsidR="00DC3C70" w:rsidRPr="00FD04E7">
        <w:rPr>
          <w:lang w:val="en-GB"/>
        </w:rPr>
        <w:t>requirements</w:t>
      </w:r>
      <w:r w:rsidR="00A91A22" w:rsidRPr="00FD04E7">
        <w:rPr>
          <w:lang w:val="en-GB"/>
        </w:rPr>
        <w:t>, including for the realisation of human rights and commitments on equalities</w:t>
      </w:r>
      <w:r w:rsidR="00C17D2D" w:rsidRPr="00FD04E7">
        <w:rPr>
          <w:lang w:val="en-GB"/>
        </w:rPr>
        <w:t xml:space="preserve">, as well as for the achievement of </w:t>
      </w:r>
      <w:r w:rsidR="008F4640" w:rsidRPr="00FD04E7">
        <w:rPr>
          <w:lang w:val="en-GB"/>
        </w:rPr>
        <w:t xml:space="preserve">wider </w:t>
      </w:r>
      <w:r w:rsidR="00175EC4" w:rsidRPr="00FD04E7">
        <w:rPr>
          <w:lang w:val="en-GB"/>
        </w:rPr>
        <w:t xml:space="preserve">sustainable </w:t>
      </w:r>
      <w:r w:rsidR="008F4640" w:rsidRPr="00FD04E7">
        <w:rPr>
          <w:lang w:val="en-GB"/>
        </w:rPr>
        <w:t xml:space="preserve">development and </w:t>
      </w:r>
      <w:r w:rsidR="00C17D2D" w:rsidRPr="00FD04E7">
        <w:rPr>
          <w:lang w:val="en-GB"/>
        </w:rPr>
        <w:t>climate goals</w:t>
      </w:r>
      <w:r w:rsidR="00A91A22" w:rsidRPr="00FD04E7">
        <w:rPr>
          <w:lang w:val="en-GB"/>
        </w:rPr>
        <w:t>)</w:t>
      </w:r>
      <w:r w:rsidR="00C17D2D" w:rsidRPr="00FD04E7">
        <w:rPr>
          <w:lang w:val="en-GB"/>
        </w:rPr>
        <w:t xml:space="preserve">. In addition, we call for a </w:t>
      </w:r>
      <w:r w:rsidR="00C17D2D" w:rsidRPr="00FD04E7">
        <w:rPr>
          <w:b/>
          <w:bCs/>
          <w:lang w:val="en-GB"/>
        </w:rPr>
        <w:t xml:space="preserve">sovereign debt workout mechanism at the UN </w:t>
      </w:r>
      <w:r w:rsidR="00C17D2D" w:rsidRPr="00FD04E7">
        <w:rPr>
          <w:lang w:val="en-GB"/>
        </w:rPr>
        <w:t>that would comprehensively address unsustainable and illegitimate debt.</w:t>
      </w:r>
    </w:p>
    <w:p w14:paraId="4A06E421" w14:textId="77777777" w:rsidR="008B1A17" w:rsidRPr="00FD04E7" w:rsidRDefault="008B1A17" w:rsidP="008B1A17">
      <w:pPr>
        <w:pStyle w:val="ListParagraph"/>
        <w:shd w:val="clear" w:color="auto" w:fill="FFFFFF"/>
        <w:spacing w:after="0"/>
        <w:ind w:left="357"/>
        <w:textAlignment w:val="baseline"/>
        <w:rPr>
          <w:lang w:val="en-GB"/>
        </w:rPr>
      </w:pPr>
    </w:p>
    <w:p w14:paraId="2666F569" w14:textId="57A0C357" w:rsidR="001404C1" w:rsidRPr="00FD04E7" w:rsidRDefault="001404C1" w:rsidP="001404C1">
      <w:pPr>
        <w:pStyle w:val="Heading3"/>
        <w:rPr>
          <w:lang w:val="en-GB"/>
        </w:rPr>
      </w:pPr>
      <w:bookmarkStart w:id="11" w:name="_Toc63089198"/>
      <w:r w:rsidRPr="00FD04E7">
        <w:rPr>
          <w:lang w:val="en-GB"/>
        </w:rPr>
        <w:t>2.4.2 Tax</w:t>
      </w:r>
      <w:bookmarkEnd w:id="11"/>
      <w:r w:rsidRPr="00FD04E7">
        <w:rPr>
          <w:lang w:val="en-GB"/>
        </w:rPr>
        <w:t xml:space="preserve"> </w:t>
      </w:r>
    </w:p>
    <w:p w14:paraId="035ECA90" w14:textId="73433C4A" w:rsidR="009B7C4E" w:rsidRDefault="009B7C4E" w:rsidP="001404C1">
      <w:pPr>
        <w:shd w:val="clear" w:color="auto" w:fill="FFFFFF"/>
        <w:spacing w:after="0"/>
        <w:textAlignment w:val="baseline"/>
        <w:rPr>
          <w:lang w:val="en-GB"/>
        </w:rPr>
      </w:pPr>
      <w:r w:rsidRPr="00FD04E7">
        <w:rPr>
          <w:lang w:val="en-GB"/>
        </w:rPr>
        <w:t>Tax has a fundamental role to play in financing quality public services capable of upholding rights and social justice</w:t>
      </w:r>
      <w:r w:rsidR="00E670A3" w:rsidRPr="00FD04E7">
        <w:rPr>
          <w:lang w:val="en-GB"/>
        </w:rPr>
        <w:t xml:space="preserve"> in the face of COVID-19</w:t>
      </w:r>
      <w:r w:rsidRPr="00FD04E7">
        <w:rPr>
          <w:lang w:val="en-GB"/>
        </w:rPr>
        <w:t xml:space="preserve"> for the most </w:t>
      </w:r>
      <w:r w:rsidR="006F16B4" w:rsidRPr="00FD04E7">
        <w:rPr>
          <w:lang w:val="en-GB"/>
        </w:rPr>
        <w:t>exclud</w:t>
      </w:r>
      <w:r w:rsidRPr="00FD04E7">
        <w:rPr>
          <w:lang w:val="en-GB"/>
        </w:rPr>
        <w:t>ed people– including pe</w:t>
      </w:r>
      <w:r w:rsidR="00250912" w:rsidRPr="00FD04E7">
        <w:rPr>
          <w:lang w:val="en-GB"/>
        </w:rPr>
        <w:t>rsons with disabilities</w:t>
      </w:r>
      <w:r w:rsidRPr="00FD04E7">
        <w:rPr>
          <w:lang w:val="en-GB"/>
        </w:rPr>
        <w:t xml:space="preserve"> (section 2.1 above). When public budgets and public services are </w:t>
      </w:r>
      <w:r w:rsidR="006241AD" w:rsidRPr="00FD04E7">
        <w:rPr>
          <w:lang w:val="en-GB"/>
        </w:rPr>
        <w:t>drained</w:t>
      </w:r>
      <w:r w:rsidRPr="00FD04E7">
        <w:rPr>
          <w:lang w:val="en-GB"/>
        </w:rPr>
        <w:t xml:space="preserve"> by tax dodging, </w:t>
      </w:r>
      <w:r w:rsidR="006F16B4" w:rsidRPr="00FD04E7">
        <w:rPr>
          <w:lang w:val="en-GB"/>
        </w:rPr>
        <w:t>exclud</w:t>
      </w:r>
      <w:r w:rsidR="002046C8" w:rsidRPr="00FD04E7">
        <w:rPr>
          <w:lang w:val="en-GB"/>
        </w:rPr>
        <w:t>ed</w:t>
      </w:r>
      <w:r w:rsidRPr="00FD04E7">
        <w:rPr>
          <w:lang w:val="en-GB"/>
        </w:rPr>
        <w:t xml:space="preserve"> people are correspondingly likely to bear the</w:t>
      </w:r>
      <w:r w:rsidR="006241AD" w:rsidRPr="00FD04E7">
        <w:rPr>
          <w:lang w:val="en-GB"/>
        </w:rPr>
        <w:t xml:space="preserve"> heaviest burden</w:t>
      </w:r>
      <w:r w:rsidRPr="00FD04E7">
        <w:rPr>
          <w:lang w:val="en-GB"/>
        </w:rPr>
        <w:t>.</w:t>
      </w:r>
    </w:p>
    <w:p w14:paraId="756CDF7C" w14:textId="77777777" w:rsidR="00D06A75" w:rsidRPr="00FD04E7" w:rsidRDefault="00D06A75" w:rsidP="001404C1">
      <w:pPr>
        <w:shd w:val="clear" w:color="auto" w:fill="FFFFFF"/>
        <w:spacing w:after="0"/>
        <w:textAlignment w:val="baseline"/>
        <w:rPr>
          <w:lang w:val="en-GB"/>
        </w:rPr>
      </w:pPr>
    </w:p>
    <w:p w14:paraId="0ED94EE1" w14:textId="31844A1B" w:rsidR="00A91A22" w:rsidRPr="00FD04E7" w:rsidRDefault="0043479B" w:rsidP="00C07CB7">
      <w:pPr>
        <w:shd w:val="clear" w:color="auto" w:fill="FFFFFF"/>
        <w:spacing w:after="0"/>
        <w:textAlignment w:val="baseline"/>
        <w:rPr>
          <w:lang w:val="en-GB"/>
        </w:rPr>
      </w:pPr>
      <w:r w:rsidRPr="00FD04E7">
        <w:rPr>
          <w:lang w:val="en-GB"/>
        </w:rPr>
        <w:t xml:space="preserve">We call for the </w:t>
      </w:r>
      <w:r w:rsidR="00673528" w:rsidRPr="00FD04E7">
        <w:rPr>
          <w:b/>
          <w:bCs/>
          <w:lang w:val="en-GB"/>
        </w:rPr>
        <w:t>c</w:t>
      </w:r>
      <w:r w:rsidR="008F4640" w:rsidRPr="00FD04E7">
        <w:rPr>
          <w:b/>
          <w:bCs/>
          <w:lang w:val="en-GB"/>
        </w:rPr>
        <w:t>reation of a universal, intergovernmental process at the UN</w:t>
      </w:r>
      <w:r w:rsidR="008F4640" w:rsidRPr="00FD04E7">
        <w:rPr>
          <w:lang w:val="en-GB"/>
        </w:rPr>
        <w:t xml:space="preserve"> that will comprehensively address </w:t>
      </w:r>
      <w:r w:rsidR="00E53B14" w:rsidRPr="00FD04E7">
        <w:rPr>
          <w:lang w:val="en-GB"/>
        </w:rPr>
        <w:t xml:space="preserve">harmful tax competition, </w:t>
      </w:r>
      <w:r w:rsidR="00213DDF" w:rsidRPr="00FD04E7">
        <w:rPr>
          <w:lang w:val="en-GB"/>
        </w:rPr>
        <w:t xml:space="preserve">tax </w:t>
      </w:r>
      <w:r w:rsidR="00E53B14" w:rsidRPr="00FD04E7">
        <w:rPr>
          <w:lang w:val="en-GB"/>
        </w:rPr>
        <w:t>avoidance</w:t>
      </w:r>
      <w:r w:rsidR="00213DDF" w:rsidRPr="00FD04E7">
        <w:rPr>
          <w:lang w:val="en-GB"/>
        </w:rPr>
        <w:t>, tax abuse by multinational corporations and other illicit financial flows</w:t>
      </w:r>
      <w:r w:rsidR="00C816CE" w:rsidRPr="00FD04E7">
        <w:rPr>
          <w:lang w:val="en-GB"/>
        </w:rPr>
        <w:t>.</w:t>
      </w:r>
    </w:p>
    <w:p w14:paraId="660F5EDC" w14:textId="77777777" w:rsidR="008B1A17" w:rsidRPr="00FD04E7" w:rsidRDefault="008B1A17" w:rsidP="008B1A17">
      <w:pPr>
        <w:pStyle w:val="ListParagraph"/>
        <w:shd w:val="clear" w:color="auto" w:fill="FFFFFF"/>
        <w:spacing w:after="0"/>
        <w:ind w:left="360"/>
        <w:textAlignment w:val="baseline"/>
        <w:rPr>
          <w:lang w:val="en-GB"/>
        </w:rPr>
      </w:pPr>
    </w:p>
    <w:p w14:paraId="75CF0ABD" w14:textId="26994FCE" w:rsidR="001404C1" w:rsidRPr="00FD04E7" w:rsidRDefault="001404C1" w:rsidP="001404C1">
      <w:pPr>
        <w:pStyle w:val="Heading3"/>
        <w:rPr>
          <w:lang w:val="en-GB"/>
        </w:rPr>
      </w:pPr>
      <w:bookmarkStart w:id="12" w:name="_Toc63089199"/>
      <w:r w:rsidRPr="00FD04E7">
        <w:rPr>
          <w:lang w:val="en-GB"/>
        </w:rPr>
        <w:t>2.4.3</w:t>
      </w:r>
      <w:r w:rsidR="00303737" w:rsidRPr="00FD04E7">
        <w:rPr>
          <w:lang w:val="en-GB"/>
        </w:rPr>
        <w:t xml:space="preserve"> Special Drawing Rights</w:t>
      </w:r>
      <w:bookmarkEnd w:id="12"/>
    </w:p>
    <w:p w14:paraId="2BEF2F21" w14:textId="0CCE694D" w:rsidR="007B5FB8" w:rsidRPr="00FD04E7" w:rsidRDefault="00ED0686" w:rsidP="001404C1">
      <w:pPr>
        <w:shd w:val="clear" w:color="auto" w:fill="FFFFFF"/>
        <w:spacing w:after="0"/>
        <w:textAlignment w:val="baseline"/>
        <w:rPr>
          <w:lang w:val="en-GB"/>
        </w:rPr>
      </w:pPr>
      <w:r w:rsidRPr="00FD04E7">
        <w:rPr>
          <w:lang w:val="en-GB"/>
        </w:rPr>
        <w:t>Implementing some of the International Disability Alliance’s priority recommendations for pandemic response</w:t>
      </w:r>
      <w:r w:rsidR="007B4BFF" w:rsidRPr="00FD04E7">
        <w:rPr>
          <w:lang w:val="en-GB"/>
        </w:rPr>
        <w:t xml:space="preserve"> (section 1.2 above) require</w:t>
      </w:r>
      <w:r w:rsidRPr="00FD04E7">
        <w:rPr>
          <w:lang w:val="en-GB"/>
        </w:rPr>
        <w:t>s</w:t>
      </w:r>
      <w:r w:rsidR="007B4BFF" w:rsidRPr="00FD04E7">
        <w:rPr>
          <w:lang w:val="en-GB"/>
        </w:rPr>
        <w:t xml:space="preserve"> not only that governments have sufficient resources, but that these resources are available in currencies </w:t>
      </w:r>
      <w:r w:rsidR="002A35FE" w:rsidRPr="00FD04E7">
        <w:rPr>
          <w:lang w:val="en-GB"/>
        </w:rPr>
        <w:t>that allow them to pay for imports</w:t>
      </w:r>
      <w:r w:rsidR="007B4BFF" w:rsidRPr="00FD04E7">
        <w:rPr>
          <w:lang w:val="en-GB"/>
        </w:rPr>
        <w:t>. This is likely to be true for at least some vaccine acquisition, for example. Special Drawing Rights</w:t>
      </w:r>
      <w:r w:rsidR="007B5FB8" w:rsidRPr="00FD04E7">
        <w:rPr>
          <w:lang w:val="en-GB"/>
        </w:rPr>
        <w:t xml:space="preserve"> – an international reserve asset issued by the International Monetary Fund, which can be exchanged for common currencies such as the US Dollar and the Euro – have the potential to play a vital role in allowing access to such currency.</w:t>
      </w:r>
      <w:r w:rsidR="007B5FB8" w:rsidRPr="00FD04E7">
        <w:rPr>
          <w:rStyle w:val="FootnoteReference"/>
          <w:lang w:val="en-GB"/>
        </w:rPr>
        <w:footnoteReference w:id="33"/>
      </w:r>
    </w:p>
    <w:p w14:paraId="388654C2" w14:textId="77777777" w:rsidR="007B5FB8" w:rsidRPr="00FD04E7" w:rsidRDefault="007B5FB8" w:rsidP="001404C1">
      <w:pPr>
        <w:shd w:val="clear" w:color="auto" w:fill="FFFFFF"/>
        <w:spacing w:after="0"/>
        <w:textAlignment w:val="baseline"/>
        <w:rPr>
          <w:lang w:val="en-GB"/>
        </w:rPr>
      </w:pPr>
    </w:p>
    <w:p w14:paraId="59E85AA7" w14:textId="7675183D" w:rsidR="00FA3C44" w:rsidRPr="00FD04E7" w:rsidRDefault="00CA3107" w:rsidP="00C07CB7">
      <w:pPr>
        <w:shd w:val="clear" w:color="auto" w:fill="FFFFFF"/>
        <w:spacing w:after="0"/>
        <w:textAlignment w:val="baseline"/>
        <w:rPr>
          <w:lang w:val="en-GB"/>
        </w:rPr>
      </w:pPr>
      <w:r w:rsidRPr="00FD04E7">
        <w:rPr>
          <w:lang w:val="en-GB"/>
        </w:rPr>
        <w:t>We call for the</w:t>
      </w:r>
      <w:r w:rsidRPr="00FD04E7">
        <w:rPr>
          <w:b/>
          <w:bCs/>
          <w:lang w:val="en-GB"/>
        </w:rPr>
        <w:t xml:space="preserve"> </w:t>
      </w:r>
      <w:r w:rsidR="009172AC" w:rsidRPr="00FD04E7">
        <w:rPr>
          <w:b/>
          <w:bCs/>
          <w:lang w:val="en-GB"/>
        </w:rPr>
        <w:t>a</w:t>
      </w:r>
      <w:r w:rsidR="000C07DA" w:rsidRPr="00FD04E7">
        <w:rPr>
          <w:b/>
          <w:bCs/>
          <w:lang w:val="en-GB"/>
        </w:rPr>
        <w:t>llocati</w:t>
      </w:r>
      <w:r w:rsidR="003C0D32" w:rsidRPr="00FD04E7">
        <w:rPr>
          <w:b/>
          <w:bCs/>
          <w:lang w:val="en-GB"/>
        </w:rPr>
        <w:t>on of</w:t>
      </w:r>
      <w:r w:rsidR="00DB6781" w:rsidRPr="00FD04E7">
        <w:rPr>
          <w:b/>
          <w:bCs/>
          <w:lang w:val="en-GB"/>
        </w:rPr>
        <w:t xml:space="preserve"> new Special Drawing Rights</w:t>
      </w:r>
      <w:r w:rsidR="003C0D32" w:rsidRPr="00FD04E7">
        <w:rPr>
          <w:b/>
          <w:bCs/>
          <w:lang w:val="en-GB"/>
        </w:rPr>
        <w:t>,</w:t>
      </w:r>
      <w:r w:rsidR="00DB6781" w:rsidRPr="00FD04E7">
        <w:rPr>
          <w:b/>
          <w:bCs/>
          <w:lang w:val="en-GB"/>
        </w:rPr>
        <w:t xml:space="preserve"> and reallocati</w:t>
      </w:r>
      <w:r w:rsidR="003C0D32" w:rsidRPr="00FD04E7">
        <w:rPr>
          <w:b/>
          <w:bCs/>
          <w:lang w:val="en-GB"/>
        </w:rPr>
        <w:t>on</w:t>
      </w:r>
      <w:r w:rsidR="00DB6781" w:rsidRPr="00FD04E7">
        <w:rPr>
          <w:b/>
          <w:bCs/>
          <w:lang w:val="en-GB"/>
        </w:rPr>
        <w:t xml:space="preserve"> of unused ones</w:t>
      </w:r>
      <w:r w:rsidR="003C0D32" w:rsidRPr="00FD04E7">
        <w:rPr>
          <w:lang w:val="en-GB"/>
        </w:rPr>
        <w:t>, to provide a rapid injection of liqui</w:t>
      </w:r>
      <w:r w:rsidR="00F33C1B" w:rsidRPr="00FD04E7">
        <w:rPr>
          <w:lang w:val="en-GB"/>
        </w:rPr>
        <w:t>d</w:t>
      </w:r>
      <w:r w:rsidR="003C0D32" w:rsidRPr="00FD04E7">
        <w:rPr>
          <w:lang w:val="en-GB"/>
        </w:rPr>
        <w:t>ity commensurate with the level of need among countries in the Global South</w:t>
      </w:r>
      <w:r w:rsidRPr="00FD04E7">
        <w:rPr>
          <w:lang w:val="en-GB"/>
        </w:rPr>
        <w:t>.</w:t>
      </w:r>
    </w:p>
    <w:p w14:paraId="052FC1EB" w14:textId="77777777" w:rsidR="00C07CB7" w:rsidRPr="00FD04E7" w:rsidRDefault="00C07CB7" w:rsidP="00C07CB7">
      <w:pPr>
        <w:pStyle w:val="ListParagraph"/>
        <w:shd w:val="clear" w:color="auto" w:fill="FFFFFF"/>
        <w:spacing w:after="0"/>
        <w:ind w:left="360"/>
        <w:textAlignment w:val="baseline"/>
        <w:rPr>
          <w:lang w:val="en-GB"/>
        </w:rPr>
      </w:pPr>
    </w:p>
    <w:p w14:paraId="1B0AE9D9" w14:textId="2F51D566" w:rsidR="00CA3107" w:rsidRPr="00FD04E7" w:rsidRDefault="00CA3107" w:rsidP="00CA3107">
      <w:pPr>
        <w:pStyle w:val="Heading3"/>
        <w:rPr>
          <w:lang w:val="en-GB"/>
        </w:rPr>
      </w:pPr>
      <w:bookmarkStart w:id="13" w:name="_Toc63089200"/>
      <w:r w:rsidRPr="00FD04E7">
        <w:rPr>
          <w:lang w:val="en-GB"/>
        </w:rPr>
        <w:t>2.4.4 International public finance</w:t>
      </w:r>
      <w:bookmarkEnd w:id="13"/>
    </w:p>
    <w:p w14:paraId="4574E3F3" w14:textId="36E3007D" w:rsidR="001A0F37" w:rsidRPr="00FD04E7" w:rsidRDefault="001262EC" w:rsidP="00102E7D">
      <w:pPr>
        <w:spacing w:after="0"/>
        <w:rPr>
          <w:lang w:val="en-GB"/>
        </w:rPr>
      </w:pPr>
      <w:r w:rsidRPr="00FD04E7">
        <w:rPr>
          <w:lang w:val="en-GB"/>
        </w:rPr>
        <w:t>International public finance – particularly Official Development Assistance – has a</w:t>
      </w:r>
      <w:r w:rsidR="00BA35C2" w:rsidRPr="00FD04E7">
        <w:rPr>
          <w:lang w:val="en-GB"/>
        </w:rPr>
        <w:t xml:space="preserve">n </w:t>
      </w:r>
      <w:r w:rsidR="008C72B2" w:rsidRPr="00FD04E7">
        <w:rPr>
          <w:lang w:val="en-GB"/>
        </w:rPr>
        <w:t>essential</w:t>
      </w:r>
      <w:r w:rsidR="0032335C" w:rsidRPr="00FD04E7">
        <w:rPr>
          <w:lang w:val="en-GB"/>
        </w:rPr>
        <w:t xml:space="preserve"> </w:t>
      </w:r>
      <w:r w:rsidRPr="00FD04E7">
        <w:rPr>
          <w:lang w:val="en-GB"/>
        </w:rPr>
        <w:t xml:space="preserve">role to play in increasing the total volume of resources available to finance a rights-compliant and socially just response to the crisis in the Global South. </w:t>
      </w:r>
    </w:p>
    <w:p w14:paraId="7E8E9281" w14:textId="77777777" w:rsidR="001A0F37" w:rsidRPr="007C7A7E" w:rsidRDefault="001A0F37" w:rsidP="00102E7D">
      <w:pPr>
        <w:spacing w:after="0"/>
        <w:rPr>
          <w:rFonts w:ascii="Calibri" w:hAnsi="Calibri" w:cs="Calibri"/>
          <w:lang w:val="en-GB"/>
        </w:rPr>
      </w:pPr>
    </w:p>
    <w:p w14:paraId="0F2FF550" w14:textId="6C6192CC" w:rsidR="001A0F37" w:rsidRPr="00940E68" w:rsidRDefault="001262EC" w:rsidP="00940E68">
      <w:pPr>
        <w:rPr>
          <w:rFonts w:ascii="Calibri" w:eastAsia="Times New Roman" w:hAnsi="Calibri" w:cs="Calibri"/>
          <w:sz w:val="24"/>
          <w:szCs w:val="24"/>
          <w:lang w:val="en-US"/>
        </w:rPr>
      </w:pPr>
      <w:r w:rsidRPr="007C7A7E">
        <w:rPr>
          <w:rFonts w:ascii="Calibri" w:hAnsi="Calibri" w:cs="Calibri"/>
          <w:lang w:val="en-GB"/>
        </w:rPr>
        <w:t xml:space="preserve">But </w:t>
      </w:r>
      <w:r w:rsidR="008B0842" w:rsidRPr="007C7A7E">
        <w:rPr>
          <w:rFonts w:ascii="Calibri" w:hAnsi="Calibri" w:cs="Calibri"/>
          <w:lang w:val="en-GB"/>
        </w:rPr>
        <w:t>in some contexts, such</w:t>
      </w:r>
      <w:r w:rsidRPr="007C7A7E">
        <w:rPr>
          <w:rFonts w:ascii="Calibri" w:hAnsi="Calibri" w:cs="Calibri"/>
          <w:lang w:val="en-GB"/>
        </w:rPr>
        <w:t xml:space="preserve"> finance</w:t>
      </w:r>
      <w:r w:rsidR="008B0842" w:rsidRPr="007C7A7E">
        <w:rPr>
          <w:rFonts w:ascii="Calibri" w:hAnsi="Calibri" w:cs="Calibri"/>
          <w:lang w:val="en-GB"/>
        </w:rPr>
        <w:t xml:space="preserve"> is made conditional on prescribed changes to </w:t>
      </w:r>
      <w:r w:rsidR="00102E7D" w:rsidRPr="007C7A7E">
        <w:rPr>
          <w:rFonts w:ascii="Calibri" w:hAnsi="Calibri" w:cs="Calibri"/>
          <w:lang w:val="en-GB"/>
        </w:rPr>
        <w:t>countries’</w:t>
      </w:r>
      <w:r w:rsidR="008B0842" w:rsidRPr="007C7A7E">
        <w:rPr>
          <w:rFonts w:ascii="Calibri" w:hAnsi="Calibri" w:cs="Calibri"/>
          <w:lang w:val="en-GB"/>
        </w:rPr>
        <w:t xml:space="preserve"> economic policies – often </w:t>
      </w:r>
      <w:r w:rsidR="00102E7D" w:rsidRPr="007C7A7E">
        <w:rPr>
          <w:rFonts w:ascii="Calibri" w:hAnsi="Calibri" w:cs="Calibri"/>
          <w:lang w:val="en-GB"/>
        </w:rPr>
        <w:t xml:space="preserve">in the form of </w:t>
      </w:r>
      <w:r w:rsidR="008B0842" w:rsidRPr="007C7A7E">
        <w:rPr>
          <w:rFonts w:ascii="Calibri" w:hAnsi="Calibri" w:cs="Calibri"/>
          <w:lang w:val="en-GB"/>
        </w:rPr>
        <w:t>fiscal consolidation</w:t>
      </w:r>
      <w:r w:rsidR="00102E7D" w:rsidRPr="007C7A7E">
        <w:rPr>
          <w:rFonts w:ascii="Calibri" w:hAnsi="Calibri" w:cs="Calibri"/>
          <w:lang w:val="en-GB"/>
        </w:rPr>
        <w:t>, i.e.</w:t>
      </w:r>
      <w:r w:rsidR="008B0842" w:rsidRPr="007C7A7E">
        <w:rPr>
          <w:rFonts w:ascii="Calibri" w:hAnsi="Calibri" w:cs="Calibri"/>
          <w:lang w:val="en-GB"/>
        </w:rPr>
        <w:t xml:space="preserve"> the reduction of government deficits and debts.</w:t>
      </w:r>
      <w:r w:rsidR="00957439" w:rsidRPr="007C7A7E">
        <w:rPr>
          <w:rStyle w:val="FootnoteReference"/>
          <w:rFonts w:ascii="Calibri" w:hAnsi="Calibri" w:cs="Calibri"/>
          <w:lang w:val="en-GB"/>
        </w:rPr>
        <w:footnoteReference w:id="34"/>
      </w:r>
      <w:r w:rsidR="008B0842" w:rsidRPr="007C7A7E">
        <w:rPr>
          <w:rFonts w:ascii="Calibri" w:hAnsi="Calibri" w:cs="Calibri"/>
          <w:lang w:val="en-GB"/>
        </w:rPr>
        <w:t xml:space="preserve"> </w:t>
      </w:r>
      <w:r w:rsidR="001A0F37" w:rsidRPr="007C7A7E">
        <w:rPr>
          <w:rFonts w:ascii="Calibri" w:hAnsi="Calibri" w:cs="Calibri"/>
          <w:lang w:val="en-GB"/>
        </w:rPr>
        <w:t xml:space="preserve">Fiscal consolidation is generally achieved through a combination of </w:t>
      </w:r>
      <w:r w:rsidR="00102E7D" w:rsidRPr="007C7A7E">
        <w:rPr>
          <w:rFonts w:ascii="Calibri" w:hAnsi="Calibri" w:cs="Calibri"/>
          <w:lang w:val="en-GB"/>
        </w:rPr>
        <w:t>cut</w:t>
      </w:r>
      <w:r w:rsidR="001A0F37" w:rsidRPr="007C7A7E">
        <w:rPr>
          <w:rFonts w:ascii="Calibri" w:hAnsi="Calibri" w:cs="Calibri"/>
          <w:lang w:val="en-GB"/>
        </w:rPr>
        <w:t>ting</w:t>
      </w:r>
      <w:r w:rsidR="00102E7D" w:rsidRPr="007C7A7E">
        <w:rPr>
          <w:rFonts w:ascii="Calibri" w:hAnsi="Calibri" w:cs="Calibri"/>
          <w:lang w:val="en-GB"/>
        </w:rPr>
        <w:t xml:space="preserve"> public spending</w:t>
      </w:r>
      <w:r w:rsidR="001A0F37" w:rsidRPr="007C7A7E">
        <w:rPr>
          <w:rFonts w:ascii="Calibri" w:hAnsi="Calibri" w:cs="Calibri"/>
          <w:lang w:val="en-GB"/>
        </w:rPr>
        <w:t xml:space="preserve">, cutting </w:t>
      </w:r>
      <w:r w:rsidR="00102E7D" w:rsidRPr="007C7A7E">
        <w:rPr>
          <w:rFonts w:ascii="Calibri" w:hAnsi="Calibri" w:cs="Calibri"/>
          <w:lang w:val="en-GB"/>
        </w:rPr>
        <w:t>subsidies</w:t>
      </w:r>
      <w:r w:rsidR="001A0F37" w:rsidRPr="007C7A7E">
        <w:rPr>
          <w:rFonts w:ascii="Calibri" w:hAnsi="Calibri" w:cs="Calibri"/>
          <w:lang w:val="en-GB"/>
        </w:rPr>
        <w:t>,</w:t>
      </w:r>
      <w:r w:rsidR="00102E7D" w:rsidRPr="007C7A7E">
        <w:rPr>
          <w:rFonts w:ascii="Calibri" w:hAnsi="Calibri" w:cs="Calibri"/>
          <w:lang w:val="en-GB"/>
        </w:rPr>
        <w:t xml:space="preserve"> </w:t>
      </w:r>
      <w:r w:rsidR="001A0F37" w:rsidRPr="007C7A7E">
        <w:rPr>
          <w:rFonts w:ascii="Calibri" w:hAnsi="Calibri" w:cs="Calibri"/>
          <w:lang w:val="en-GB"/>
        </w:rPr>
        <w:t>raising consumption taxes, and raising user fees for services.</w:t>
      </w:r>
      <w:r w:rsidR="001A0F37" w:rsidRPr="007C7A7E">
        <w:rPr>
          <w:rStyle w:val="FootnoteReference"/>
          <w:rFonts w:ascii="Calibri" w:hAnsi="Calibri" w:cs="Calibri"/>
          <w:lang w:val="en-GB"/>
        </w:rPr>
        <w:footnoteReference w:id="35"/>
      </w:r>
      <w:r w:rsidR="001A0F37" w:rsidRPr="007C7A7E">
        <w:rPr>
          <w:rFonts w:ascii="Calibri" w:hAnsi="Calibri" w:cs="Calibri"/>
          <w:vertAlign w:val="superscript"/>
          <w:lang w:val="en-GB"/>
        </w:rPr>
        <w:t xml:space="preserve"> </w:t>
      </w:r>
      <w:r w:rsidR="001A0F37" w:rsidRPr="007C7A7E">
        <w:rPr>
          <w:rFonts w:ascii="Calibri" w:hAnsi="Calibri" w:cs="Calibri"/>
          <w:lang w:val="en-GB"/>
        </w:rPr>
        <w:t xml:space="preserve"> Since public services have a particularly important role to play in combatting inequalities facing persons with disabilities (section 2.1 above), and since persons with disabilities face</w:t>
      </w:r>
      <w:r w:rsidR="009D18C3" w:rsidRPr="007C7A7E">
        <w:rPr>
          <w:rFonts w:ascii="Calibri" w:hAnsi="Calibri" w:cs="Calibri"/>
          <w:lang w:val="en-GB"/>
        </w:rPr>
        <w:t xml:space="preserve"> economic inequalities that leave them less able to afford rapid price rises</w:t>
      </w:r>
      <w:r w:rsidR="00474412" w:rsidRPr="007C7A7E">
        <w:rPr>
          <w:rFonts w:ascii="Calibri" w:hAnsi="Calibri" w:cs="Calibri"/>
          <w:lang w:val="en-GB"/>
        </w:rPr>
        <w:t xml:space="preserve">, </w:t>
      </w:r>
      <w:r w:rsidR="001A0F37" w:rsidRPr="007C7A7E">
        <w:rPr>
          <w:rFonts w:ascii="Calibri" w:hAnsi="Calibri" w:cs="Calibri"/>
          <w:lang w:val="en-GB"/>
        </w:rPr>
        <w:t>regressive consumption taxes and user fees,</w:t>
      </w:r>
      <w:r w:rsidR="002046C8" w:rsidRPr="007C7A7E">
        <w:rPr>
          <w:rStyle w:val="FootnoteReference"/>
          <w:rFonts w:ascii="Calibri" w:hAnsi="Calibri" w:cs="Calibri"/>
          <w:lang w:val="en-GB"/>
        </w:rPr>
        <w:footnoteReference w:id="36"/>
      </w:r>
      <w:r w:rsidR="001A0F37" w:rsidRPr="007C7A7E">
        <w:rPr>
          <w:rFonts w:ascii="Calibri" w:hAnsi="Calibri" w:cs="Calibri"/>
          <w:lang w:val="en-GB"/>
        </w:rPr>
        <w:t xml:space="preserve"> the effects of fiscal </w:t>
      </w:r>
      <w:r w:rsidR="007C7A7E" w:rsidRPr="007C7A7E">
        <w:rPr>
          <w:rFonts w:ascii="Calibri" w:eastAsia="Times New Roman" w:hAnsi="Calibri" w:cs="Calibri"/>
          <w:lang w:val="en-US"/>
        </w:rPr>
        <w:t>consolidation</w:t>
      </w:r>
      <w:r w:rsidR="001A0F37" w:rsidRPr="007C7A7E">
        <w:rPr>
          <w:rFonts w:ascii="Calibri" w:hAnsi="Calibri" w:cs="Calibri"/>
          <w:lang w:val="en-GB"/>
        </w:rPr>
        <w:t xml:space="preserve"> on persons with disabilities are liable to be ‘disproportionate’</w:t>
      </w:r>
      <w:r w:rsidR="009172AC" w:rsidRPr="007C7A7E">
        <w:rPr>
          <w:rFonts w:ascii="Calibri" w:hAnsi="Calibri" w:cs="Calibri"/>
          <w:lang w:val="en-GB"/>
        </w:rPr>
        <w:t>, all the more so where persons with disabilities also experience other intersecting inequalities</w:t>
      </w:r>
      <w:r w:rsidR="001A0F37" w:rsidRPr="007C7A7E">
        <w:rPr>
          <w:rFonts w:ascii="Calibri" w:hAnsi="Calibri" w:cs="Calibri"/>
          <w:lang w:val="en-GB"/>
        </w:rPr>
        <w:t>.</w:t>
      </w:r>
      <w:r w:rsidR="00D0435F" w:rsidRPr="007C7A7E">
        <w:rPr>
          <w:rStyle w:val="FootnoteReference"/>
          <w:rFonts w:ascii="Calibri" w:hAnsi="Calibri" w:cs="Calibri"/>
          <w:lang w:val="en-GB"/>
        </w:rPr>
        <w:footnoteReference w:id="37"/>
      </w:r>
      <w:bookmarkStart w:id="14" w:name="_GoBack"/>
      <w:bookmarkEnd w:id="14"/>
    </w:p>
    <w:p w14:paraId="6193CEA0" w14:textId="68DFF423" w:rsidR="00ED6E61" w:rsidRPr="00FD04E7" w:rsidRDefault="00D0435F" w:rsidP="00C07CB7">
      <w:pPr>
        <w:shd w:val="clear" w:color="auto" w:fill="FFFFFF"/>
        <w:spacing w:after="0"/>
        <w:textAlignment w:val="baseline"/>
        <w:rPr>
          <w:lang w:val="en-GB"/>
        </w:rPr>
      </w:pPr>
      <w:r w:rsidRPr="00FD04E7">
        <w:rPr>
          <w:lang w:val="en-GB"/>
        </w:rPr>
        <w:t xml:space="preserve">We call for </w:t>
      </w:r>
      <w:r w:rsidR="00326179" w:rsidRPr="00FD04E7">
        <w:rPr>
          <w:b/>
          <w:bCs/>
          <w:lang w:val="en-GB"/>
        </w:rPr>
        <w:t>f</w:t>
      </w:r>
      <w:r w:rsidR="003048CF" w:rsidRPr="00FD04E7">
        <w:rPr>
          <w:b/>
          <w:bCs/>
          <w:lang w:val="en-GB"/>
        </w:rPr>
        <w:t xml:space="preserve">ulfilment of </w:t>
      </w:r>
      <w:r w:rsidR="006232A1" w:rsidRPr="00FD04E7">
        <w:rPr>
          <w:b/>
          <w:bCs/>
          <w:lang w:val="en-GB"/>
        </w:rPr>
        <w:t xml:space="preserve">(at the very least) </w:t>
      </w:r>
      <w:r w:rsidR="003048CF" w:rsidRPr="00FD04E7">
        <w:rPr>
          <w:b/>
          <w:bCs/>
          <w:lang w:val="en-GB"/>
        </w:rPr>
        <w:t xml:space="preserve">the </w:t>
      </w:r>
      <w:r w:rsidR="001262EC" w:rsidRPr="00FD04E7">
        <w:rPr>
          <w:b/>
          <w:bCs/>
          <w:lang w:val="en-GB"/>
        </w:rPr>
        <w:t xml:space="preserve">UN </w:t>
      </w:r>
      <w:r w:rsidR="003048CF" w:rsidRPr="00FD04E7">
        <w:rPr>
          <w:b/>
          <w:bCs/>
          <w:lang w:val="en-GB"/>
        </w:rPr>
        <w:t>target to provide 0.7% of Gross N</w:t>
      </w:r>
      <w:r w:rsidR="00A2282F" w:rsidRPr="00FD04E7">
        <w:rPr>
          <w:b/>
          <w:bCs/>
          <w:lang w:val="en-GB"/>
        </w:rPr>
        <w:t>ational</w:t>
      </w:r>
      <w:r w:rsidR="003048CF" w:rsidRPr="00FD04E7">
        <w:rPr>
          <w:b/>
          <w:bCs/>
          <w:lang w:val="en-GB"/>
        </w:rPr>
        <w:t xml:space="preserve"> Income in Official Development Assistance. </w:t>
      </w:r>
      <w:r w:rsidR="009934F7" w:rsidRPr="00FD04E7">
        <w:rPr>
          <w:lang w:val="en-GB"/>
        </w:rPr>
        <w:t>International public finance</w:t>
      </w:r>
      <w:r w:rsidR="003048CF" w:rsidRPr="00FD04E7">
        <w:rPr>
          <w:lang w:val="en-GB"/>
        </w:rPr>
        <w:t xml:space="preserve"> should be </w:t>
      </w:r>
      <w:r w:rsidR="003048CF" w:rsidRPr="00FD04E7">
        <w:rPr>
          <w:b/>
          <w:bCs/>
          <w:lang w:val="en-GB"/>
        </w:rPr>
        <w:t>free from economic policy conditionalities that restrict fiscal space</w:t>
      </w:r>
      <w:r w:rsidR="003048CF" w:rsidRPr="00FD04E7">
        <w:rPr>
          <w:lang w:val="en-GB"/>
        </w:rPr>
        <w:t xml:space="preserve">. </w:t>
      </w:r>
    </w:p>
    <w:p w14:paraId="65887F70" w14:textId="77777777" w:rsidR="00ED6E61" w:rsidRPr="00FD04E7" w:rsidRDefault="00ED6E61" w:rsidP="00ED6E61">
      <w:pPr>
        <w:pStyle w:val="ListParagraph"/>
        <w:shd w:val="clear" w:color="auto" w:fill="FFFFFF"/>
        <w:spacing w:after="0"/>
        <w:ind w:left="360"/>
        <w:textAlignment w:val="baseline"/>
        <w:rPr>
          <w:lang w:val="en-GB"/>
        </w:rPr>
      </w:pPr>
    </w:p>
    <w:p w14:paraId="22FD3AE7" w14:textId="1BC712F4" w:rsidR="001404C1" w:rsidRPr="00FD04E7" w:rsidRDefault="001404C1" w:rsidP="001404C1">
      <w:pPr>
        <w:pStyle w:val="Heading3"/>
        <w:rPr>
          <w:lang w:val="en-GB"/>
        </w:rPr>
      </w:pPr>
      <w:bookmarkStart w:id="15" w:name="_Toc63089201"/>
      <w:r w:rsidRPr="00FD04E7">
        <w:rPr>
          <w:lang w:val="en-GB"/>
        </w:rPr>
        <w:lastRenderedPageBreak/>
        <w:t>2.4.</w:t>
      </w:r>
      <w:r w:rsidR="00CA3107" w:rsidRPr="00FD04E7">
        <w:rPr>
          <w:lang w:val="en-GB"/>
        </w:rPr>
        <w:t>5</w:t>
      </w:r>
      <w:r w:rsidR="00303737" w:rsidRPr="00FD04E7">
        <w:rPr>
          <w:lang w:val="en-GB"/>
        </w:rPr>
        <w:t xml:space="preserve"> Financial sector regulation</w:t>
      </w:r>
      <w:bookmarkEnd w:id="15"/>
    </w:p>
    <w:p w14:paraId="18AD7FF3" w14:textId="4F805BBB" w:rsidR="00A20B0C" w:rsidRPr="00FD04E7" w:rsidRDefault="00CD4937" w:rsidP="001404C1">
      <w:pPr>
        <w:shd w:val="clear" w:color="auto" w:fill="FFFFFF"/>
        <w:spacing w:after="0"/>
        <w:textAlignment w:val="baseline"/>
        <w:rPr>
          <w:lang w:val="en-GB"/>
        </w:rPr>
      </w:pPr>
      <w:r w:rsidRPr="00FD04E7">
        <w:rPr>
          <w:lang w:val="en-GB"/>
        </w:rPr>
        <w:t xml:space="preserve">Economic volatility triggered by speculative behaviour in the financial sector </w:t>
      </w:r>
      <w:r w:rsidR="00844023" w:rsidRPr="00FD04E7">
        <w:rPr>
          <w:lang w:val="en-GB"/>
        </w:rPr>
        <w:t>risks</w:t>
      </w:r>
      <w:r w:rsidRPr="00FD04E7">
        <w:rPr>
          <w:lang w:val="en-GB"/>
        </w:rPr>
        <w:t xml:space="preserve"> be</w:t>
      </w:r>
      <w:r w:rsidR="00844023" w:rsidRPr="00FD04E7">
        <w:rPr>
          <w:lang w:val="en-GB"/>
        </w:rPr>
        <w:t>ing</w:t>
      </w:r>
      <w:r w:rsidRPr="00FD04E7">
        <w:rPr>
          <w:lang w:val="en-GB"/>
        </w:rPr>
        <w:t xml:space="preserve"> </w:t>
      </w:r>
      <w:r w:rsidR="009744F7" w:rsidRPr="00FD04E7">
        <w:rPr>
          <w:lang w:val="en-GB"/>
        </w:rPr>
        <w:t>especial</w:t>
      </w:r>
      <w:r w:rsidRPr="00FD04E7">
        <w:rPr>
          <w:lang w:val="en-GB"/>
        </w:rPr>
        <w:t>ly damaging to persons with disabilities</w:t>
      </w:r>
      <w:r w:rsidR="00ED0686" w:rsidRPr="00FD04E7">
        <w:rPr>
          <w:lang w:val="en-GB"/>
        </w:rPr>
        <w:t>, given</w:t>
      </w:r>
      <w:r w:rsidR="007B58B2" w:rsidRPr="00FD04E7">
        <w:rPr>
          <w:lang w:val="en-GB"/>
        </w:rPr>
        <w:t xml:space="preserve"> social and economic inequalities that mean they are likely to be over-represented in more precarious forms of employment,</w:t>
      </w:r>
      <w:r w:rsidR="00583BD8" w:rsidRPr="00FD04E7">
        <w:rPr>
          <w:rStyle w:val="FootnoteReference"/>
          <w:lang w:val="en-GB"/>
        </w:rPr>
        <w:footnoteReference w:id="38"/>
      </w:r>
      <w:r w:rsidR="00ED0686" w:rsidRPr="00FD04E7">
        <w:rPr>
          <w:lang w:val="en-GB"/>
        </w:rPr>
        <w:t xml:space="preserve"> and </w:t>
      </w:r>
      <w:r w:rsidR="00B72BA7" w:rsidRPr="00FD04E7">
        <w:rPr>
          <w:lang w:val="en-GB"/>
        </w:rPr>
        <w:t>to place a higher importance on public services</w:t>
      </w:r>
      <w:r w:rsidR="006F16B4" w:rsidRPr="00FD04E7">
        <w:rPr>
          <w:lang w:val="en-GB"/>
        </w:rPr>
        <w:t xml:space="preserve"> which </w:t>
      </w:r>
      <w:r w:rsidR="007B58B2" w:rsidRPr="00FD04E7">
        <w:rPr>
          <w:lang w:val="en-GB"/>
        </w:rPr>
        <w:t xml:space="preserve">are liable to be </w:t>
      </w:r>
      <w:r w:rsidR="00ED0686" w:rsidRPr="00FD04E7">
        <w:rPr>
          <w:lang w:val="en-GB"/>
        </w:rPr>
        <w:t xml:space="preserve">cut in times of recession. </w:t>
      </w:r>
    </w:p>
    <w:p w14:paraId="778A6384" w14:textId="77777777" w:rsidR="00493391" w:rsidRPr="00FD04E7" w:rsidRDefault="00493391" w:rsidP="001404C1">
      <w:pPr>
        <w:shd w:val="clear" w:color="auto" w:fill="FFFFFF"/>
        <w:spacing w:after="0"/>
        <w:textAlignment w:val="baseline"/>
        <w:rPr>
          <w:lang w:val="en-GB"/>
        </w:rPr>
      </w:pPr>
    </w:p>
    <w:p w14:paraId="6B21DBF4" w14:textId="72A5E23D" w:rsidR="00C75DAD" w:rsidRPr="00FD04E7" w:rsidRDefault="00493391" w:rsidP="00C07CB7">
      <w:pPr>
        <w:shd w:val="clear" w:color="auto" w:fill="FFFFFF"/>
        <w:spacing w:after="0"/>
        <w:textAlignment w:val="baseline"/>
        <w:rPr>
          <w:b/>
          <w:bCs/>
          <w:lang w:val="en-GB"/>
        </w:rPr>
      </w:pPr>
      <w:r w:rsidRPr="00FD04E7">
        <w:rPr>
          <w:lang w:val="en-GB"/>
        </w:rPr>
        <w:t xml:space="preserve">We call for </w:t>
      </w:r>
      <w:r w:rsidR="00861556" w:rsidRPr="00FD04E7">
        <w:rPr>
          <w:lang w:val="en-GB"/>
        </w:rPr>
        <w:t>g</w:t>
      </w:r>
      <w:r w:rsidR="00FA3C44" w:rsidRPr="00FD04E7">
        <w:rPr>
          <w:lang w:val="en-GB"/>
        </w:rPr>
        <w:t>lobal action to</w:t>
      </w:r>
      <w:r w:rsidR="00FA3C44" w:rsidRPr="00FD04E7">
        <w:rPr>
          <w:b/>
          <w:bCs/>
          <w:lang w:val="en-GB"/>
        </w:rPr>
        <w:t xml:space="preserve"> address systemic risks posed by unregulated or inadequately regulated financial sector instruments and actions</w:t>
      </w:r>
      <w:r w:rsidR="00C75DAD" w:rsidRPr="00FD04E7">
        <w:rPr>
          <w:b/>
          <w:bCs/>
          <w:lang w:val="en-GB"/>
        </w:rPr>
        <w:t>.</w:t>
      </w:r>
    </w:p>
    <w:p w14:paraId="1AADFE5F" w14:textId="77777777" w:rsidR="006B402B" w:rsidRPr="00FD04E7" w:rsidRDefault="006B402B" w:rsidP="006B402B">
      <w:pPr>
        <w:shd w:val="clear" w:color="auto" w:fill="FFFFFF"/>
        <w:spacing w:after="0"/>
        <w:textAlignment w:val="baseline"/>
        <w:rPr>
          <w:b/>
          <w:bCs/>
          <w:lang w:val="en-GB"/>
        </w:rPr>
      </w:pPr>
    </w:p>
    <w:p w14:paraId="020DC90F" w14:textId="4C4E18FF" w:rsidR="006C7332" w:rsidRPr="00FD04E7" w:rsidRDefault="006C7332" w:rsidP="006C7332">
      <w:pPr>
        <w:pStyle w:val="Heading3"/>
        <w:rPr>
          <w:lang w:val="en-GB"/>
        </w:rPr>
      </w:pPr>
      <w:bookmarkStart w:id="16" w:name="_Toc63089202"/>
      <w:r w:rsidRPr="00FD04E7">
        <w:rPr>
          <w:lang w:val="en-GB"/>
        </w:rPr>
        <w:t>2.4.6</w:t>
      </w:r>
      <w:r w:rsidR="00A81F09" w:rsidRPr="00FD04E7">
        <w:rPr>
          <w:lang w:val="en-GB"/>
        </w:rPr>
        <w:t xml:space="preserve"> Trade</w:t>
      </w:r>
      <w:r w:rsidR="00CE3432" w:rsidRPr="00FD04E7">
        <w:rPr>
          <w:lang w:val="en-GB"/>
        </w:rPr>
        <w:t xml:space="preserve"> and investment agreements</w:t>
      </w:r>
      <w:bookmarkEnd w:id="16"/>
    </w:p>
    <w:p w14:paraId="1FD73A8A" w14:textId="7655F966" w:rsidR="008B07AC" w:rsidRPr="00FD04E7" w:rsidRDefault="008B07AC" w:rsidP="006C7332">
      <w:pPr>
        <w:shd w:val="clear" w:color="auto" w:fill="FFFFFF"/>
        <w:spacing w:after="0"/>
        <w:textAlignment w:val="baseline"/>
        <w:rPr>
          <w:lang w:val="en-GB"/>
        </w:rPr>
      </w:pPr>
      <w:r w:rsidRPr="00FD04E7">
        <w:rPr>
          <w:lang w:val="en-GB"/>
        </w:rPr>
        <w:t>UN human rights experts, including the UN Special Rapporteur on the Rights of Persons with Disabilities, have previously warned there is sometimes a risk that “both bilateral and multilateral investment treaties might aggravate the problem of extreme poverty, jeopardize fair and efficient foreign debt renegotiation, and affect the rights of indigenous peoples, minorities, persons with disabilities, older persons, and other persons leaving in vulnerable situations.”</w:t>
      </w:r>
      <w:r w:rsidR="008C54B5" w:rsidRPr="00FD04E7">
        <w:rPr>
          <w:rStyle w:val="FootnoteReference"/>
          <w:lang w:val="en-GB"/>
        </w:rPr>
        <w:footnoteReference w:id="39"/>
      </w:r>
      <w:r w:rsidRPr="00FD04E7">
        <w:rPr>
          <w:lang w:val="en-GB"/>
        </w:rPr>
        <w:t xml:space="preserve"> </w:t>
      </w:r>
      <w:r w:rsidR="00411F51" w:rsidRPr="00FD04E7">
        <w:rPr>
          <w:lang w:val="en-GB"/>
        </w:rPr>
        <w:t>Guarding against this risk is particularly important in the context of the COVID-19 crisis, which demands that governments have maximum policy flexibility to uphold the rights of marginalised people.</w:t>
      </w:r>
    </w:p>
    <w:p w14:paraId="0296C41F" w14:textId="23FAE650" w:rsidR="00844023" w:rsidRPr="00FD04E7" w:rsidRDefault="00844023" w:rsidP="006C7332">
      <w:pPr>
        <w:shd w:val="clear" w:color="auto" w:fill="FFFFFF"/>
        <w:spacing w:after="0"/>
        <w:textAlignment w:val="baseline"/>
        <w:rPr>
          <w:lang w:val="en-GB"/>
        </w:rPr>
      </w:pPr>
    </w:p>
    <w:p w14:paraId="7100842D" w14:textId="0D955010" w:rsidR="00B42BC8" w:rsidRPr="00FD04E7" w:rsidRDefault="00411F51" w:rsidP="00C07CB7">
      <w:pPr>
        <w:shd w:val="clear" w:color="auto" w:fill="FFFFFF"/>
        <w:spacing w:after="0"/>
        <w:textAlignment w:val="baseline"/>
        <w:rPr>
          <w:lang w:val="en-GB"/>
        </w:rPr>
      </w:pPr>
      <w:r w:rsidRPr="00FD04E7">
        <w:rPr>
          <w:lang w:val="en-GB"/>
        </w:rPr>
        <w:t xml:space="preserve">We call for </w:t>
      </w:r>
      <w:r w:rsidR="006F16B4" w:rsidRPr="00FD04E7">
        <w:rPr>
          <w:lang w:val="en-GB"/>
        </w:rPr>
        <w:t>a</w:t>
      </w:r>
      <w:r w:rsidR="00B42BC8" w:rsidRPr="00FD04E7">
        <w:rPr>
          <w:lang w:val="en-GB"/>
        </w:rPr>
        <w:t xml:space="preserve"> </w:t>
      </w:r>
      <w:r w:rsidR="00B42BC8" w:rsidRPr="00FD04E7">
        <w:rPr>
          <w:b/>
          <w:bCs/>
          <w:lang w:val="en-GB"/>
        </w:rPr>
        <w:t>moratorium on negotiating, implementing and enforcing trade and investment agreements that conflict with the promotion of public policy objectives</w:t>
      </w:r>
      <w:r w:rsidR="00B42BC8" w:rsidRPr="00FD04E7">
        <w:rPr>
          <w:lang w:val="en-GB"/>
        </w:rPr>
        <w:t xml:space="preserve"> on human rights and health equalities during the pandemic. </w:t>
      </w:r>
      <w:r w:rsidR="00D05316" w:rsidRPr="00FD04E7">
        <w:rPr>
          <w:lang w:val="en-GB"/>
        </w:rPr>
        <w:t>Crucially, this should include</w:t>
      </w:r>
      <w:r w:rsidR="00B42BC8" w:rsidRPr="00FD04E7">
        <w:rPr>
          <w:lang w:val="en-GB"/>
        </w:rPr>
        <w:t>:</w:t>
      </w:r>
    </w:p>
    <w:p w14:paraId="488B0969" w14:textId="77777777" w:rsidR="00E442E1" w:rsidRPr="00FD04E7" w:rsidRDefault="00E442E1" w:rsidP="00E442E1">
      <w:pPr>
        <w:shd w:val="clear" w:color="auto" w:fill="FFFFFF"/>
        <w:spacing w:after="0"/>
        <w:textAlignment w:val="baseline"/>
        <w:rPr>
          <w:lang w:val="en-GB"/>
        </w:rPr>
      </w:pPr>
    </w:p>
    <w:p w14:paraId="4482492F" w14:textId="570E9AB5" w:rsidR="00035F41" w:rsidRPr="00FD04E7" w:rsidRDefault="00D05316" w:rsidP="00C07CB7">
      <w:pPr>
        <w:pStyle w:val="ListParagraph"/>
        <w:numPr>
          <w:ilvl w:val="0"/>
          <w:numId w:val="8"/>
        </w:numPr>
        <w:shd w:val="clear" w:color="auto" w:fill="FFFFFF"/>
        <w:spacing w:after="0"/>
        <w:textAlignment w:val="baseline"/>
        <w:rPr>
          <w:lang w:val="en-GB"/>
        </w:rPr>
      </w:pPr>
      <w:r w:rsidRPr="00FD04E7">
        <w:rPr>
          <w:b/>
          <w:bCs/>
          <w:lang w:val="en-GB"/>
        </w:rPr>
        <w:t>Binding commitments to</w:t>
      </w:r>
      <w:r w:rsidR="009D628F" w:rsidRPr="00FD04E7">
        <w:rPr>
          <w:b/>
          <w:bCs/>
          <w:lang w:val="en-GB"/>
        </w:rPr>
        <w:t xml:space="preserve"> ensure that patents and other intellectual property rights do not limit production</w:t>
      </w:r>
      <w:r w:rsidR="00EA5A8B" w:rsidRPr="00FD04E7">
        <w:rPr>
          <w:b/>
          <w:bCs/>
          <w:lang w:val="en-GB"/>
        </w:rPr>
        <w:t xml:space="preserve"> </w:t>
      </w:r>
      <w:r w:rsidR="00AD0884" w:rsidRPr="00FD04E7">
        <w:rPr>
          <w:b/>
          <w:bCs/>
          <w:lang w:val="en-GB"/>
        </w:rPr>
        <w:t xml:space="preserve">of and access to </w:t>
      </w:r>
      <w:r w:rsidR="009D628F" w:rsidRPr="00FD04E7">
        <w:rPr>
          <w:b/>
          <w:bCs/>
          <w:lang w:val="en-GB"/>
        </w:rPr>
        <w:t>vaccin</w:t>
      </w:r>
      <w:r w:rsidR="007B46AD" w:rsidRPr="00FD04E7">
        <w:rPr>
          <w:b/>
          <w:bCs/>
          <w:lang w:val="en-GB"/>
        </w:rPr>
        <w:t>es</w:t>
      </w:r>
      <w:r w:rsidR="009D628F" w:rsidRPr="00FD04E7">
        <w:rPr>
          <w:b/>
          <w:bCs/>
          <w:lang w:val="en-GB"/>
        </w:rPr>
        <w:t xml:space="preserve"> </w:t>
      </w:r>
      <w:r w:rsidR="00017A01" w:rsidRPr="00FD04E7">
        <w:rPr>
          <w:b/>
          <w:bCs/>
          <w:lang w:val="en-GB"/>
        </w:rPr>
        <w:t>and other COVID-19 related medical technologies</w:t>
      </w:r>
      <w:r w:rsidR="00A64A0F" w:rsidRPr="00FD04E7">
        <w:rPr>
          <w:b/>
          <w:bCs/>
          <w:lang w:val="en-GB"/>
        </w:rPr>
        <w:t>.</w:t>
      </w:r>
      <w:r w:rsidR="00B01093" w:rsidRPr="00FD04E7">
        <w:rPr>
          <w:lang w:val="en-GB"/>
        </w:rPr>
        <w:t xml:space="preserve"> </w:t>
      </w:r>
      <w:r w:rsidR="002F14CD" w:rsidRPr="00FD04E7">
        <w:rPr>
          <w:lang w:val="en-GB"/>
        </w:rPr>
        <w:t xml:space="preserve">Access to such technologies is a particularly urgent </w:t>
      </w:r>
      <w:r w:rsidR="00160F09" w:rsidRPr="00FD04E7">
        <w:rPr>
          <w:lang w:val="en-GB"/>
        </w:rPr>
        <w:t>priority</w:t>
      </w:r>
      <w:r w:rsidR="002F14CD" w:rsidRPr="00FD04E7">
        <w:rPr>
          <w:lang w:val="en-GB"/>
        </w:rPr>
        <w:t xml:space="preserve"> for persons with disabilities around the world, given the heightened mortality risks that they face</w:t>
      </w:r>
      <w:r w:rsidR="00E41749" w:rsidRPr="00FD04E7">
        <w:rPr>
          <w:lang w:val="en-GB"/>
        </w:rPr>
        <w:t xml:space="preserve"> (section</w:t>
      </w:r>
      <w:r w:rsidR="007004F0" w:rsidRPr="00FD04E7">
        <w:rPr>
          <w:lang w:val="en-GB"/>
        </w:rPr>
        <w:t>s</w:t>
      </w:r>
      <w:r w:rsidR="00E41749" w:rsidRPr="00FD04E7">
        <w:rPr>
          <w:lang w:val="en-GB"/>
        </w:rPr>
        <w:t xml:space="preserve"> 1.2 </w:t>
      </w:r>
      <w:r w:rsidR="007004F0" w:rsidRPr="00FD04E7">
        <w:rPr>
          <w:lang w:val="en-GB"/>
        </w:rPr>
        <w:t xml:space="preserve">and 2.1 </w:t>
      </w:r>
      <w:r w:rsidR="00E41749" w:rsidRPr="00FD04E7">
        <w:rPr>
          <w:lang w:val="en-GB"/>
        </w:rPr>
        <w:t>above)</w:t>
      </w:r>
      <w:r w:rsidR="002F14CD" w:rsidRPr="00FD04E7">
        <w:rPr>
          <w:lang w:val="en-GB"/>
        </w:rPr>
        <w:t>. Yet</w:t>
      </w:r>
      <w:r w:rsidR="00E41749" w:rsidRPr="00FD04E7">
        <w:rPr>
          <w:lang w:val="en-GB"/>
        </w:rPr>
        <w:t xml:space="preserve"> </w:t>
      </w:r>
      <w:r w:rsidR="00000A66" w:rsidRPr="00FD04E7">
        <w:rPr>
          <w:lang w:val="en-GB"/>
        </w:rPr>
        <w:t xml:space="preserve">evidence to-date indicates </w:t>
      </w:r>
      <w:r w:rsidR="006B399A" w:rsidRPr="00FD04E7">
        <w:rPr>
          <w:lang w:val="en-GB"/>
        </w:rPr>
        <w:t>extreme inequalities</w:t>
      </w:r>
      <w:r w:rsidR="00000A66" w:rsidRPr="00FD04E7">
        <w:rPr>
          <w:lang w:val="en-GB"/>
        </w:rPr>
        <w:t xml:space="preserve"> in access</w:t>
      </w:r>
      <w:r w:rsidR="006B399A" w:rsidRPr="00FD04E7">
        <w:rPr>
          <w:lang w:val="en-GB"/>
        </w:rPr>
        <w:t xml:space="preserve"> </w:t>
      </w:r>
      <w:r w:rsidR="00CD1A11" w:rsidRPr="00FD04E7">
        <w:rPr>
          <w:lang w:val="en-GB"/>
        </w:rPr>
        <w:t>between countries</w:t>
      </w:r>
      <w:r w:rsidR="00000A66" w:rsidRPr="00FD04E7">
        <w:rPr>
          <w:lang w:val="en-GB"/>
        </w:rPr>
        <w:t>, suggesting many persons with disabilities in the Global South will only be able to access needed technologies after very long delays – if ever</w:t>
      </w:r>
      <w:r w:rsidR="006B399A" w:rsidRPr="00FD04E7">
        <w:rPr>
          <w:lang w:val="en-GB"/>
        </w:rPr>
        <w:t xml:space="preserve">: for example, </w:t>
      </w:r>
      <w:r w:rsidR="006B399A" w:rsidRPr="00FD04E7">
        <w:rPr>
          <w:rFonts w:cstheme="minorHAnsi"/>
          <w:shd w:val="clear" w:color="auto" w:fill="FFFFFF"/>
          <w:lang w:val="en-GB"/>
        </w:rPr>
        <w:t>at 18 January</w:t>
      </w:r>
      <w:r w:rsidR="002572D1" w:rsidRPr="00FD04E7">
        <w:rPr>
          <w:rFonts w:cstheme="minorHAnsi"/>
          <w:shd w:val="clear" w:color="auto" w:fill="FFFFFF"/>
          <w:lang w:val="en-GB"/>
        </w:rPr>
        <w:t xml:space="preserve"> 2021,</w:t>
      </w:r>
      <w:r w:rsidR="006B399A" w:rsidRPr="00FD04E7">
        <w:rPr>
          <w:rFonts w:cstheme="minorHAnsi"/>
          <w:shd w:val="clear" w:color="auto" w:fill="FFFFFF"/>
          <w:lang w:val="en-GB"/>
        </w:rPr>
        <w:t xml:space="preserve"> 39 million doses of COVID-19 vaccine had been administered in nearly 50 richer countries, </w:t>
      </w:r>
      <w:r w:rsidR="00A60217" w:rsidRPr="00FD04E7">
        <w:rPr>
          <w:rFonts w:cstheme="minorHAnsi"/>
          <w:shd w:val="clear" w:color="auto" w:fill="FFFFFF"/>
          <w:lang w:val="en-GB"/>
        </w:rPr>
        <w:t xml:space="preserve">while </w:t>
      </w:r>
      <w:r w:rsidR="002D676E" w:rsidRPr="00FD04E7">
        <w:rPr>
          <w:rFonts w:cstheme="minorHAnsi"/>
          <w:shd w:val="clear" w:color="auto" w:fill="FFFFFF"/>
          <w:lang w:val="en-GB"/>
        </w:rPr>
        <w:t xml:space="preserve">only </w:t>
      </w:r>
      <w:r w:rsidR="006B399A" w:rsidRPr="00FD04E7">
        <w:rPr>
          <w:rFonts w:cstheme="minorHAnsi"/>
          <w:shd w:val="clear" w:color="auto" w:fill="FFFFFF"/>
          <w:lang w:val="en-GB"/>
        </w:rPr>
        <w:t xml:space="preserve">25 doses had been given in </w:t>
      </w:r>
      <w:r w:rsidR="002D676E" w:rsidRPr="00FD04E7">
        <w:rPr>
          <w:rFonts w:cstheme="minorHAnsi"/>
          <w:shd w:val="clear" w:color="auto" w:fill="FFFFFF"/>
          <w:lang w:val="en-GB"/>
        </w:rPr>
        <w:t xml:space="preserve">a single </w:t>
      </w:r>
      <w:r w:rsidR="006B399A" w:rsidRPr="00FD04E7">
        <w:rPr>
          <w:rFonts w:cstheme="minorHAnsi"/>
          <w:shd w:val="clear" w:color="auto" w:fill="FFFFFF"/>
          <w:lang w:val="en-GB"/>
        </w:rPr>
        <w:t>low income country.</w:t>
      </w:r>
      <w:r w:rsidR="006B399A" w:rsidRPr="00FD04E7">
        <w:rPr>
          <w:rStyle w:val="FootnoteReference"/>
          <w:rFonts w:cstheme="minorHAnsi"/>
          <w:shd w:val="clear" w:color="auto" w:fill="FFFFFF"/>
          <w:lang w:val="en-GB"/>
        </w:rPr>
        <w:footnoteReference w:id="40"/>
      </w:r>
      <w:r w:rsidR="00CB6B6F" w:rsidRPr="00FD04E7">
        <w:rPr>
          <w:rFonts w:cstheme="minorHAnsi"/>
          <w:shd w:val="clear" w:color="auto" w:fill="FFFFFF"/>
          <w:lang w:val="en-GB"/>
        </w:rPr>
        <w:t xml:space="preserve"> </w:t>
      </w:r>
      <w:r w:rsidR="00FF77D6" w:rsidRPr="00FD04E7">
        <w:rPr>
          <w:rFonts w:cstheme="minorHAnsi"/>
          <w:shd w:val="clear" w:color="auto" w:fill="FFFFFF"/>
          <w:lang w:val="en-GB"/>
        </w:rPr>
        <w:t>A</w:t>
      </w:r>
      <w:r w:rsidR="00561AD3" w:rsidRPr="00FD04E7">
        <w:rPr>
          <w:rFonts w:cstheme="minorHAnsi"/>
          <w:shd w:val="clear" w:color="auto" w:fill="FFFFFF"/>
          <w:lang w:val="en-GB"/>
        </w:rPr>
        <w:t xml:space="preserve">s a group of UN human rights experts </w:t>
      </w:r>
      <w:r w:rsidR="00534053" w:rsidRPr="00FD04E7">
        <w:rPr>
          <w:rFonts w:cstheme="minorHAnsi"/>
          <w:shd w:val="clear" w:color="auto" w:fill="FFFFFF"/>
          <w:lang w:val="en-GB"/>
        </w:rPr>
        <w:t xml:space="preserve">has highlighted, </w:t>
      </w:r>
      <w:r w:rsidR="007B46AD" w:rsidRPr="00FD04E7">
        <w:rPr>
          <w:rFonts w:cstheme="minorHAnsi"/>
          <w:shd w:val="clear" w:color="auto" w:fill="FFFFFF"/>
          <w:lang w:val="en-GB"/>
        </w:rPr>
        <w:t>enforcement</w:t>
      </w:r>
      <w:r w:rsidR="00534053" w:rsidRPr="00FD04E7">
        <w:rPr>
          <w:rFonts w:cstheme="minorHAnsi"/>
          <w:shd w:val="clear" w:color="auto" w:fill="FFFFFF"/>
          <w:lang w:val="en-GB"/>
        </w:rPr>
        <w:t xml:space="preserve"> of inte</w:t>
      </w:r>
      <w:r w:rsidR="003A3C1B" w:rsidRPr="00FD04E7">
        <w:rPr>
          <w:rFonts w:cstheme="minorHAnsi"/>
          <w:shd w:val="clear" w:color="auto" w:fill="FFFFFF"/>
          <w:lang w:val="en-GB"/>
        </w:rPr>
        <w:t>llectual</w:t>
      </w:r>
      <w:r w:rsidR="00534053" w:rsidRPr="00FD04E7">
        <w:rPr>
          <w:rFonts w:cstheme="minorHAnsi"/>
          <w:shd w:val="clear" w:color="auto" w:fill="FFFFFF"/>
          <w:lang w:val="en-GB"/>
        </w:rPr>
        <w:t xml:space="preserve"> property rights threatens to be a key impediment to equitable vaccine access around the world</w:t>
      </w:r>
      <w:r w:rsidR="00FF77D6" w:rsidRPr="00FD04E7">
        <w:rPr>
          <w:rFonts w:cstheme="minorHAnsi"/>
          <w:shd w:val="clear" w:color="auto" w:fill="FFFFFF"/>
          <w:lang w:val="en-GB"/>
        </w:rPr>
        <w:t>.</w:t>
      </w:r>
      <w:r w:rsidR="007B46AD" w:rsidRPr="00FD04E7">
        <w:rPr>
          <w:rStyle w:val="FootnoteReference"/>
          <w:rFonts w:cstheme="minorHAnsi"/>
          <w:shd w:val="clear" w:color="auto" w:fill="FFFFFF"/>
          <w:lang w:val="en-GB"/>
        </w:rPr>
        <w:footnoteReference w:id="41"/>
      </w:r>
      <w:r w:rsidR="00FF77D6" w:rsidRPr="00FD04E7">
        <w:rPr>
          <w:rFonts w:cstheme="minorHAnsi"/>
          <w:shd w:val="clear" w:color="auto" w:fill="FFFFFF"/>
          <w:lang w:val="en-GB"/>
        </w:rPr>
        <w:t xml:space="preserve"> We join </w:t>
      </w:r>
      <w:r w:rsidR="00577363" w:rsidRPr="00FD04E7">
        <w:rPr>
          <w:rFonts w:cstheme="minorHAnsi"/>
          <w:shd w:val="clear" w:color="auto" w:fill="FFFFFF"/>
          <w:lang w:val="en-GB"/>
        </w:rPr>
        <w:t>our voice with th</w:t>
      </w:r>
      <w:r w:rsidR="003A3C1B" w:rsidRPr="00FD04E7">
        <w:rPr>
          <w:rFonts w:cstheme="minorHAnsi"/>
          <w:shd w:val="clear" w:color="auto" w:fill="FFFFFF"/>
          <w:lang w:val="en-GB"/>
        </w:rPr>
        <w:t xml:space="preserve">e many others calling not only for the full use of </w:t>
      </w:r>
      <w:r w:rsidR="00FF77D6" w:rsidRPr="00FD04E7">
        <w:rPr>
          <w:rFonts w:cstheme="minorHAnsi"/>
          <w:shd w:val="clear" w:color="auto" w:fill="FFFFFF"/>
          <w:lang w:val="en-GB"/>
        </w:rPr>
        <w:t>voluntary</w:t>
      </w:r>
      <w:r w:rsidR="008806F9" w:rsidRPr="00FD04E7">
        <w:rPr>
          <w:rFonts w:cstheme="minorHAnsi"/>
          <w:shd w:val="clear" w:color="auto" w:fill="FFFFFF"/>
          <w:lang w:val="en-GB"/>
        </w:rPr>
        <w:t xml:space="preserve"> initiatives</w:t>
      </w:r>
      <w:r w:rsidR="003A3C1B" w:rsidRPr="00FD04E7">
        <w:rPr>
          <w:rStyle w:val="FootnoteReference"/>
          <w:rFonts w:cstheme="minorHAnsi"/>
          <w:shd w:val="clear" w:color="auto" w:fill="FFFFFF"/>
          <w:lang w:val="en-GB"/>
        </w:rPr>
        <w:footnoteReference w:id="42"/>
      </w:r>
      <w:r w:rsidR="00FF77D6" w:rsidRPr="00FD04E7">
        <w:rPr>
          <w:rFonts w:cstheme="minorHAnsi"/>
          <w:shd w:val="clear" w:color="auto" w:fill="FFFFFF"/>
          <w:lang w:val="en-GB"/>
        </w:rPr>
        <w:t xml:space="preserve"> </w:t>
      </w:r>
      <w:r w:rsidR="008806F9" w:rsidRPr="00FD04E7">
        <w:rPr>
          <w:rFonts w:cstheme="minorHAnsi"/>
          <w:shd w:val="clear" w:color="auto" w:fill="FFFFFF"/>
          <w:lang w:val="en-GB"/>
        </w:rPr>
        <w:t xml:space="preserve">and of flexibilities in the Agreement on Trade-Related </w:t>
      </w:r>
      <w:r w:rsidR="008806F9" w:rsidRPr="00FD04E7">
        <w:rPr>
          <w:rFonts w:cstheme="minorHAnsi"/>
          <w:shd w:val="clear" w:color="auto" w:fill="FFFFFF"/>
          <w:lang w:val="en-GB"/>
        </w:rPr>
        <w:lastRenderedPageBreak/>
        <w:t>Aspects of Intellectual Property Rights (TRIPS)</w:t>
      </w:r>
      <w:r w:rsidR="001F07EF" w:rsidRPr="00FD04E7">
        <w:rPr>
          <w:rStyle w:val="FootnoteReference"/>
          <w:rFonts w:cstheme="minorHAnsi"/>
          <w:shd w:val="clear" w:color="auto" w:fill="FFFFFF"/>
          <w:lang w:val="en-GB"/>
        </w:rPr>
        <w:footnoteReference w:id="43"/>
      </w:r>
      <w:r w:rsidR="008806F9" w:rsidRPr="00FD04E7">
        <w:rPr>
          <w:rFonts w:cstheme="minorHAnsi"/>
          <w:shd w:val="clear" w:color="auto" w:fill="FFFFFF"/>
          <w:lang w:val="en-GB"/>
        </w:rPr>
        <w:t xml:space="preserve"> t</w:t>
      </w:r>
      <w:r w:rsidR="0091343F" w:rsidRPr="00FD04E7">
        <w:rPr>
          <w:rFonts w:cstheme="minorHAnsi"/>
          <w:shd w:val="clear" w:color="auto" w:fill="FFFFFF"/>
          <w:lang w:val="en-GB"/>
        </w:rPr>
        <w:t>o</w:t>
      </w:r>
      <w:r w:rsidR="008806F9" w:rsidRPr="00FD04E7">
        <w:rPr>
          <w:rFonts w:cstheme="minorHAnsi"/>
          <w:shd w:val="clear" w:color="auto" w:fill="FFFFFF"/>
          <w:lang w:val="en-GB"/>
        </w:rPr>
        <w:t xml:space="preserve"> </w:t>
      </w:r>
      <w:r w:rsidR="0091343F" w:rsidRPr="00FD04E7">
        <w:rPr>
          <w:rFonts w:cstheme="minorHAnsi"/>
          <w:shd w:val="clear" w:color="auto" w:fill="FFFFFF"/>
          <w:lang w:val="en-GB"/>
        </w:rPr>
        <w:t>facilitat</w:t>
      </w:r>
      <w:r w:rsidR="008806F9" w:rsidRPr="00FD04E7">
        <w:rPr>
          <w:rFonts w:cstheme="minorHAnsi"/>
          <w:shd w:val="clear" w:color="auto" w:fill="FFFFFF"/>
          <w:lang w:val="en-GB"/>
        </w:rPr>
        <w:t xml:space="preserve">e the sharing of COVID-19 related medical technologies, but also for the </w:t>
      </w:r>
      <w:r w:rsidR="003A3C1B" w:rsidRPr="00FD04E7">
        <w:rPr>
          <w:rFonts w:cstheme="minorHAnsi"/>
          <w:shd w:val="clear" w:color="auto" w:fill="FFFFFF"/>
          <w:lang w:val="en-GB"/>
        </w:rPr>
        <w:t xml:space="preserve">adoption of </w:t>
      </w:r>
      <w:r w:rsidR="00FF77D6" w:rsidRPr="00FD04E7">
        <w:rPr>
          <w:rFonts w:cstheme="minorHAnsi"/>
          <w:shd w:val="clear" w:color="auto" w:fill="FFFFFF"/>
          <w:lang w:val="en-GB"/>
        </w:rPr>
        <w:t>the propo</w:t>
      </w:r>
      <w:r w:rsidR="003A3C1B" w:rsidRPr="00FD04E7">
        <w:rPr>
          <w:rFonts w:cstheme="minorHAnsi"/>
          <w:shd w:val="clear" w:color="auto" w:fill="FFFFFF"/>
          <w:lang w:val="en-GB"/>
        </w:rPr>
        <w:t xml:space="preserve">sed ‘Waiver </w:t>
      </w:r>
      <w:r w:rsidR="003A3C1B" w:rsidRPr="00FD04E7">
        <w:rPr>
          <w:lang w:val="en-GB"/>
        </w:rPr>
        <w:t>from certain provisions of the TRIPS agreement for the prevention, containment and treatment of COVID-19’ submitted to the World Trade Organisation by South Africa and India.</w:t>
      </w:r>
      <w:r w:rsidR="004B4D03" w:rsidRPr="00FD04E7">
        <w:rPr>
          <w:rStyle w:val="FootnoteReference"/>
          <w:lang w:val="en-GB"/>
        </w:rPr>
        <w:footnoteReference w:id="44"/>
      </w:r>
    </w:p>
    <w:p w14:paraId="49234823" w14:textId="094058D6" w:rsidR="00A36668" w:rsidRPr="00FD04E7" w:rsidRDefault="00391D15" w:rsidP="00391D15">
      <w:pPr>
        <w:pStyle w:val="Heading1"/>
        <w:numPr>
          <w:ilvl w:val="0"/>
          <w:numId w:val="2"/>
        </w:numPr>
        <w:rPr>
          <w:lang w:val="en-GB"/>
        </w:rPr>
      </w:pPr>
      <w:bookmarkStart w:id="18" w:name="_Toc63089203"/>
      <w:r w:rsidRPr="00FD04E7">
        <w:rPr>
          <w:lang w:val="en-GB"/>
        </w:rPr>
        <w:t>Qualit</w:t>
      </w:r>
      <w:r w:rsidR="00942E46" w:rsidRPr="00FD04E7">
        <w:rPr>
          <w:lang w:val="en-GB"/>
        </w:rPr>
        <w:t>ative policy choices</w:t>
      </w:r>
      <w:bookmarkEnd w:id="18"/>
    </w:p>
    <w:p w14:paraId="049CB61B" w14:textId="32388677" w:rsidR="00F5682B" w:rsidRPr="00FD04E7" w:rsidRDefault="00F5682B" w:rsidP="00F5682B">
      <w:pPr>
        <w:rPr>
          <w:lang w:val="en-GB"/>
        </w:rPr>
      </w:pPr>
      <w:r w:rsidRPr="00FD04E7">
        <w:rPr>
          <w:lang w:val="en-GB"/>
        </w:rPr>
        <w:t>In this section we ex</w:t>
      </w:r>
      <w:r w:rsidR="00BA6261" w:rsidRPr="00FD04E7">
        <w:rPr>
          <w:lang w:val="en-GB"/>
        </w:rPr>
        <w:t>amine</w:t>
      </w:r>
      <w:r w:rsidRPr="00FD04E7">
        <w:rPr>
          <w:lang w:val="en-GB"/>
        </w:rPr>
        <w:t xml:space="preserve"> three areas of international economic policy that – while they do not have significant </w:t>
      </w:r>
      <w:r w:rsidR="0073290D" w:rsidRPr="00FD04E7">
        <w:rPr>
          <w:lang w:val="en-GB"/>
        </w:rPr>
        <w:t xml:space="preserve">direct </w:t>
      </w:r>
      <w:r w:rsidRPr="00FD04E7">
        <w:rPr>
          <w:lang w:val="en-GB"/>
        </w:rPr>
        <w:t>fiscal implications – nonetheless can profoundly affect the enjoyment of human rights and social justice by persons with disabilities</w:t>
      </w:r>
      <w:r w:rsidR="00A977D8" w:rsidRPr="00FD04E7">
        <w:rPr>
          <w:lang w:val="en-GB"/>
        </w:rPr>
        <w:t xml:space="preserve"> during the pandemic and beyond</w:t>
      </w:r>
      <w:r w:rsidRPr="00FD04E7">
        <w:rPr>
          <w:lang w:val="en-GB"/>
        </w:rPr>
        <w:t>.</w:t>
      </w:r>
    </w:p>
    <w:p w14:paraId="0FD26934" w14:textId="60A8CB0B" w:rsidR="00E22BA3" w:rsidRPr="00FD04E7" w:rsidRDefault="00A871B4" w:rsidP="00AC1BFD">
      <w:pPr>
        <w:pStyle w:val="Heading2"/>
        <w:numPr>
          <w:ilvl w:val="1"/>
          <w:numId w:val="2"/>
        </w:numPr>
        <w:rPr>
          <w:lang w:val="en-GB"/>
        </w:rPr>
      </w:pPr>
      <w:bookmarkStart w:id="19" w:name="_Toc63089204"/>
      <w:r w:rsidRPr="00FD04E7">
        <w:rPr>
          <w:lang w:val="en-GB"/>
        </w:rPr>
        <w:t>Do no harm – avoiding spending that violates the rights of person</w:t>
      </w:r>
      <w:r w:rsidR="00522FD9" w:rsidRPr="00FD04E7">
        <w:rPr>
          <w:lang w:val="en-GB"/>
        </w:rPr>
        <w:t>s</w:t>
      </w:r>
      <w:r w:rsidR="00CE36E1" w:rsidRPr="00FD04E7">
        <w:rPr>
          <w:lang w:val="en-GB"/>
        </w:rPr>
        <w:t xml:space="preserve"> with </w:t>
      </w:r>
      <w:r w:rsidRPr="00FD04E7">
        <w:rPr>
          <w:lang w:val="en-GB"/>
        </w:rPr>
        <w:t>disabilities</w:t>
      </w:r>
      <w:bookmarkEnd w:id="19"/>
    </w:p>
    <w:p w14:paraId="18714A8D" w14:textId="48941BA9" w:rsidR="00AF62F4" w:rsidRPr="00FD04E7" w:rsidRDefault="00255B62" w:rsidP="00AC1BFD">
      <w:pPr>
        <w:rPr>
          <w:lang w:val="en-GB"/>
        </w:rPr>
      </w:pPr>
      <w:r w:rsidRPr="00FD04E7">
        <w:rPr>
          <w:lang w:val="en-GB"/>
        </w:rPr>
        <w:t xml:space="preserve">Not all ‘disability-relevant’ spending necessarily upholds the rights of persons with disabilities. </w:t>
      </w:r>
      <w:r w:rsidR="00800AAB" w:rsidRPr="00FD04E7">
        <w:rPr>
          <w:lang w:val="en-GB"/>
        </w:rPr>
        <w:t>On the contrary, c</w:t>
      </w:r>
      <w:r w:rsidR="009655F3" w:rsidRPr="00FD04E7">
        <w:rPr>
          <w:lang w:val="en-GB"/>
        </w:rPr>
        <w:t xml:space="preserve">ertain </w:t>
      </w:r>
      <w:r w:rsidR="00D67682" w:rsidRPr="00FD04E7">
        <w:rPr>
          <w:lang w:val="en-GB"/>
        </w:rPr>
        <w:t>‘</w:t>
      </w:r>
      <w:r w:rsidR="009655F3" w:rsidRPr="00FD04E7">
        <w:rPr>
          <w:lang w:val="en-GB"/>
        </w:rPr>
        <w:t>d</w:t>
      </w:r>
      <w:r w:rsidR="00D67682" w:rsidRPr="00FD04E7">
        <w:rPr>
          <w:lang w:val="en-GB"/>
        </w:rPr>
        <w:t>isability-relevant’ programmes may also contravene the UN Convention on the Rights of Persons with Disabilities</w:t>
      </w:r>
      <w:r w:rsidR="00AF62F4" w:rsidRPr="00FD04E7">
        <w:rPr>
          <w:lang w:val="en-GB"/>
        </w:rPr>
        <w:t xml:space="preserve"> (CRPD)</w:t>
      </w:r>
      <w:r w:rsidR="00D67682" w:rsidRPr="00FD04E7">
        <w:rPr>
          <w:lang w:val="en-GB"/>
        </w:rPr>
        <w:t xml:space="preserve">, for example if they </w:t>
      </w:r>
      <w:r w:rsidR="00AF62F4" w:rsidRPr="00FD04E7">
        <w:rPr>
          <w:lang w:val="en-GB"/>
        </w:rPr>
        <w:t xml:space="preserve">force persons with disabilities to undergo psychiatric treatment or </w:t>
      </w:r>
      <w:r w:rsidR="00634B73" w:rsidRPr="00FD04E7">
        <w:rPr>
          <w:lang w:val="en-GB"/>
        </w:rPr>
        <w:t xml:space="preserve">compel </w:t>
      </w:r>
      <w:r w:rsidR="00AF62F4" w:rsidRPr="00FD04E7">
        <w:rPr>
          <w:lang w:val="en-GB"/>
        </w:rPr>
        <w:t>them</w:t>
      </w:r>
      <w:r w:rsidR="00634B73" w:rsidRPr="00FD04E7">
        <w:rPr>
          <w:lang w:val="en-GB"/>
        </w:rPr>
        <w:t xml:space="preserve"> to live in residential institutions.</w:t>
      </w:r>
      <w:r w:rsidR="00374DDC" w:rsidRPr="00FD04E7">
        <w:rPr>
          <w:rStyle w:val="FootnoteReference"/>
          <w:lang w:val="en-GB"/>
        </w:rPr>
        <w:footnoteReference w:id="45"/>
      </w:r>
      <w:r w:rsidR="00634B73" w:rsidRPr="00FD04E7">
        <w:rPr>
          <w:lang w:val="en-GB"/>
        </w:rPr>
        <w:t xml:space="preserve"> </w:t>
      </w:r>
      <w:r w:rsidR="00AF62F4" w:rsidRPr="00FD04E7">
        <w:rPr>
          <w:lang w:val="en-GB"/>
        </w:rPr>
        <w:t>In</w:t>
      </w:r>
      <w:r w:rsidR="00374DDC" w:rsidRPr="00FD04E7">
        <w:rPr>
          <w:lang w:val="en-GB"/>
        </w:rPr>
        <w:t xml:space="preserve"> some contexts, i</w:t>
      </w:r>
      <w:r w:rsidR="008700DD" w:rsidRPr="00FD04E7">
        <w:rPr>
          <w:lang w:val="en-GB"/>
        </w:rPr>
        <w:t>n</w:t>
      </w:r>
      <w:r w:rsidR="00FA23A3" w:rsidRPr="00FD04E7">
        <w:rPr>
          <w:lang w:val="en-GB"/>
        </w:rPr>
        <w:t xml:space="preserve">stitutionalisation has left persons with disabilities </w:t>
      </w:r>
      <w:r w:rsidR="00374DDC" w:rsidRPr="00FD04E7">
        <w:rPr>
          <w:lang w:val="en-GB"/>
        </w:rPr>
        <w:t>exposed to drastic risks from COVID-19.</w:t>
      </w:r>
      <w:r w:rsidR="00374DDC" w:rsidRPr="00FD04E7">
        <w:rPr>
          <w:rStyle w:val="FootnoteReference"/>
          <w:lang w:val="en-GB"/>
        </w:rPr>
        <w:footnoteReference w:id="46"/>
      </w:r>
    </w:p>
    <w:p w14:paraId="4ED1D25A" w14:textId="46F76CB3" w:rsidR="00634B73" w:rsidRPr="00FD04E7" w:rsidRDefault="00AF62F4" w:rsidP="00AC1BFD">
      <w:pPr>
        <w:rPr>
          <w:lang w:val="en-GB"/>
        </w:rPr>
      </w:pPr>
      <w:r w:rsidRPr="00FD04E7">
        <w:rPr>
          <w:b/>
          <w:bCs/>
          <w:lang w:val="en-GB"/>
        </w:rPr>
        <w:t>We call on governments providing international public finance including Official Development Assistance to ensure that in future no such resources are spent on activities that contravene the CRPD. We also call on them to re</w:t>
      </w:r>
      <w:r w:rsidR="009076D5" w:rsidRPr="00FD04E7">
        <w:rPr>
          <w:b/>
          <w:bCs/>
          <w:lang w:val="en-GB"/>
        </w:rPr>
        <w:t xml:space="preserve">allocate resources away from </w:t>
      </w:r>
      <w:r w:rsidRPr="00FD04E7">
        <w:rPr>
          <w:b/>
          <w:bCs/>
          <w:lang w:val="en-GB"/>
        </w:rPr>
        <w:t xml:space="preserve">any such activities that are already underway, towards </w:t>
      </w:r>
      <w:r w:rsidR="008A3ACA" w:rsidRPr="00FD04E7">
        <w:rPr>
          <w:b/>
          <w:bCs/>
          <w:lang w:val="en-GB"/>
        </w:rPr>
        <w:t>CRPD-compliant</w:t>
      </w:r>
      <w:r w:rsidR="00713F6D">
        <w:rPr>
          <w:b/>
          <w:bCs/>
          <w:lang w:val="en-GB"/>
        </w:rPr>
        <w:t xml:space="preserve"> policies and actions</w:t>
      </w:r>
      <w:r w:rsidR="008A3ACA" w:rsidRPr="00FD04E7">
        <w:rPr>
          <w:b/>
          <w:bCs/>
          <w:lang w:val="en-GB"/>
        </w:rPr>
        <w:t xml:space="preserve"> </w:t>
      </w:r>
      <w:r w:rsidRPr="00FD04E7">
        <w:rPr>
          <w:rStyle w:val="FootnoteReference"/>
          <w:lang w:val="en-GB"/>
        </w:rPr>
        <w:footnoteReference w:id="47"/>
      </w:r>
      <w:r w:rsidRPr="00FD04E7">
        <w:rPr>
          <w:lang w:val="en-GB"/>
        </w:rPr>
        <w:t xml:space="preserve"> </w:t>
      </w:r>
      <w:r w:rsidR="00634B73" w:rsidRPr="00FD04E7">
        <w:rPr>
          <w:lang w:val="en-GB"/>
        </w:rPr>
        <w:t xml:space="preserve"> </w:t>
      </w:r>
    </w:p>
    <w:p w14:paraId="55F0453B" w14:textId="6C77936D" w:rsidR="00AC1BFD" w:rsidRPr="00FD04E7" w:rsidRDefault="00AC1BFD" w:rsidP="00B777C0">
      <w:pPr>
        <w:pStyle w:val="Heading2"/>
        <w:rPr>
          <w:lang w:val="en-GB"/>
        </w:rPr>
      </w:pPr>
      <w:bookmarkStart w:id="20" w:name="_Toc63089205"/>
      <w:r w:rsidRPr="00FD04E7">
        <w:rPr>
          <w:lang w:val="en-GB"/>
        </w:rPr>
        <w:t xml:space="preserve">3.2 </w:t>
      </w:r>
      <w:r w:rsidR="00B777C0" w:rsidRPr="00FD04E7">
        <w:rPr>
          <w:lang w:val="en-GB"/>
        </w:rPr>
        <w:t xml:space="preserve">Incentivising private sector actors to </w:t>
      </w:r>
      <w:r w:rsidR="002E50C8" w:rsidRPr="00FD04E7">
        <w:rPr>
          <w:lang w:val="en-GB"/>
        </w:rPr>
        <w:t>support</w:t>
      </w:r>
      <w:r w:rsidR="00B777C0" w:rsidRPr="00FD04E7">
        <w:rPr>
          <w:lang w:val="en-GB"/>
        </w:rPr>
        <w:t xml:space="preserve"> human rights and social justice through procurement</w:t>
      </w:r>
      <w:r w:rsidR="00903815" w:rsidRPr="00FD04E7">
        <w:rPr>
          <w:lang w:val="en-GB"/>
        </w:rPr>
        <w:t xml:space="preserve"> policy</w:t>
      </w:r>
      <w:bookmarkEnd w:id="20"/>
    </w:p>
    <w:p w14:paraId="3213C5B2" w14:textId="1D11E8F2" w:rsidR="003048CF" w:rsidRPr="00FD04E7" w:rsidRDefault="00854CFC" w:rsidP="00B777C0">
      <w:pPr>
        <w:shd w:val="clear" w:color="auto" w:fill="FFFFFF"/>
        <w:spacing w:after="0"/>
        <w:textAlignment w:val="baseline"/>
        <w:rPr>
          <w:lang w:val="en-GB"/>
        </w:rPr>
      </w:pPr>
      <w:r w:rsidRPr="00FD04E7">
        <w:rPr>
          <w:lang w:val="en-GB"/>
        </w:rPr>
        <w:t xml:space="preserve">Procurement – the purchase of goods and services by governments through a contracting process, in order to implement public projects or provide public services – </w:t>
      </w:r>
      <w:r w:rsidR="00266AC6" w:rsidRPr="00FD04E7">
        <w:rPr>
          <w:lang w:val="en-GB"/>
        </w:rPr>
        <w:t>accounts for a substantial share of international public finance</w:t>
      </w:r>
      <w:r w:rsidR="00E352A0" w:rsidRPr="00FD04E7">
        <w:rPr>
          <w:lang w:val="en-GB"/>
        </w:rPr>
        <w:t>, including Official Development Assistance</w:t>
      </w:r>
      <w:r w:rsidR="00266AC6" w:rsidRPr="00FD04E7">
        <w:rPr>
          <w:lang w:val="en-GB"/>
        </w:rPr>
        <w:t xml:space="preserve">. </w:t>
      </w:r>
      <w:r w:rsidR="009076D5" w:rsidRPr="00FD04E7">
        <w:rPr>
          <w:lang w:val="en-GB"/>
        </w:rPr>
        <w:t>In 2015 alone, Official Development Assistance procurement amounted to an estimated US $55 billion.</w:t>
      </w:r>
      <w:r w:rsidR="009076D5" w:rsidRPr="00FD04E7">
        <w:rPr>
          <w:rStyle w:val="FootnoteReference"/>
          <w:lang w:val="en-GB"/>
        </w:rPr>
        <w:footnoteReference w:id="48"/>
      </w:r>
      <w:r w:rsidR="009076D5" w:rsidRPr="00FD04E7">
        <w:rPr>
          <w:lang w:val="en-GB"/>
        </w:rPr>
        <w:t xml:space="preserve"> This </w:t>
      </w:r>
      <w:r w:rsidR="00E06107" w:rsidRPr="00FD04E7">
        <w:rPr>
          <w:lang w:val="en-GB"/>
        </w:rPr>
        <w:t>gives</w:t>
      </w:r>
      <w:r w:rsidR="009076D5" w:rsidRPr="00FD04E7">
        <w:rPr>
          <w:lang w:val="en-GB"/>
        </w:rPr>
        <w:t xml:space="preserve"> providers of international public finance important purchasing power</w:t>
      </w:r>
      <w:r w:rsidR="006B79A8" w:rsidRPr="00FD04E7">
        <w:rPr>
          <w:lang w:val="en-GB"/>
        </w:rPr>
        <w:t>:</w:t>
      </w:r>
      <w:r w:rsidR="00E06107" w:rsidRPr="00FD04E7">
        <w:rPr>
          <w:lang w:val="en-GB"/>
        </w:rPr>
        <w:t xml:space="preserve"> if they specify particular </w:t>
      </w:r>
      <w:r w:rsidR="00445AF0" w:rsidRPr="00FD04E7">
        <w:rPr>
          <w:lang w:val="en-GB"/>
        </w:rPr>
        <w:t xml:space="preserve">social </w:t>
      </w:r>
      <w:r w:rsidR="00BF1866" w:rsidRPr="00FD04E7">
        <w:rPr>
          <w:lang w:val="en-GB"/>
        </w:rPr>
        <w:t>and</w:t>
      </w:r>
      <w:r w:rsidR="00445AF0" w:rsidRPr="00FD04E7">
        <w:rPr>
          <w:lang w:val="en-GB"/>
        </w:rPr>
        <w:t xml:space="preserve"> environmental </w:t>
      </w:r>
      <w:r w:rsidR="00E06107" w:rsidRPr="00FD04E7">
        <w:rPr>
          <w:lang w:val="en-GB"/>
        </w:rPr>
        <w:t xml:space="preserve">criteria for their purchases, suppliers have a strong incentive to adapt their </w:t>
      </w:r>
      <w:r w:rsidR="00E06107" w:rsidRPr="00FD04E7">
        <w:rPr>
          <w:lang w:val="en-GB"/>
        </w:rPr>
        <w:lastRenderedPageBreak/>
        <w:t xml:space="preserve">working practices to comply, because providers of international public finance represent such </w:t>
      </w:r>
      <w:r w:rsidR="00B6671B" w:rsidRPr="00FD04E7">
        <w:rPr>
          <w:lang w:val="en-GB"/>
        </w:rPr>
        <w:t>valuable</w:t>
      </w:r>
      <w:r w:rsidR="00E06107" w:rsidRPr="00FD04E7">
        <w:rPr>
          <w:lang w:val="en-GB"/>
        </w:rPr>
        <w:t xml:space="preserve"> potential clients.</w:t>
      </w:r>
      <w:r w:rsidR="0094332E" w:rsidRPr="00FD04E7">
        <w:rPr>
          <w:lang w:val="en-GB"/>
        </w:rPr>
        <w:t xml:space="preserve"> </w:t>
      </w:r>
      <w:r w:rsidR="000114F1" w:rsidRPr="00FD04E7">
        <w:rPr>
          <w:lang w:val="en-GB"/>
        </w:rPr>
        <w:t>Through their procurement policies, providers of international public finance can thus ensure that, a</w:t>
      </w:r>
      <w:r w:rsidR="00256541" w:rsidRPr="00FD04E7">
        <w:rPr>
          <w:lang w:val="en-GB"/>
        </w:rPr>
        <w:t xml:space="preserve">mong other important social and environmental objectives, private sector suppliers make their products and services accessible </w:t>
      </w:r>
      <w:r w:rsidR="00CC39A4" w:rsidRPr="00FD04E7">
        <w:rPr>
          <w:lang w:val="en-GB"/>
        </w:rPr>
        <w:t xml:space="preserve">and inclusive </w:t>
      </w:r>
      <w:r w:rsidR="00256541" w:rsidRPr="00FD04E7">
        <w:rPr>
          <w:lang w:val="en-GB"/>
        </w:rPr>
        <w:t xml:space="preserve">for persons with disabilities. </w:t>
      </w:r>
      <w:r w:rsidR="00375CC9" w:rsidRPr="00FD04E7">
        <w:rPr>
          <w:lang w:val="en-GB"/>
        </w:rPr>
        <w:t>Some major providers of Official Development Assistance, such as the European Union, Sweden and the United States, have already taken steps in this direction.</w:t>
      </w:r>
      <w:r w:rsidR="00375CC9" w:rsidRPr="00FD04E7">
        <w:rPr>
          <w:rStyle w:val="FootnoteReference"/>
          <w:lang w:val="en-GB"/>
        </w:rPr>
        <w:footnoteReference w:id="49"/>
      </w:r>
    </w:p>
    <w:p w14:paraId="717E9074" w14:textId="715BC83A" w:rsidR="00165511" w:rsidRPr="00FD04E7" w:rsidRDefault="00165511" w:rsidP="00B777C0">
      <w:pPr>
        <w:shd w:val="clear" w:color="auto" w:fill="FFFFFF"/>
        <w:spacing w:after="0"/>
        <w:textAlignment w:val="baseline"/>
        <w:rPr>
          <w:lang w:val="en-GB"/>
        </w:rPr>
      </w:pPr>
    </w:p>
    <w:p w14:paraId="77742BA0" w14:textId="5643376A" w:rsidR="00B777C0" w:rsidRPr="00FD04E7" w:rsidRDefault="00165511" w:rsidP="00B777C0">
      <w:pPr>
        <w:shd w:val="clear" w:color="auto" w:fill="FFFFFF"/>
        <w:spacing w:after="0"/>
        <w:textAlignment w:val="baseline"/>
        <w:rPr>
          <w:b/>
          <w:bCs/>
          <w:lang w:val="en-GB"/>
        </w:rPr>
      </w:pPr>
      <w:r w:rsidRPr="00FD04E7">
        <w:rPr>
          <w:b/>
          <w:bCs/>
          <w:lang w:val="en-GB"/>
        </w:rPr>
        <w:t>We call for all providers of international public finance to ensure that</w:t>
      </w:r>
      <w:r w:rsidR="00CC39A4" w:rsidRPr="00FD04E7">
        <w:rPr>
          <w:b/>
          <w:bCs/>
          <w:lang w:val="en-GB"/>
        </w:rPr>
        <w:t xml:space="preserve">, in COVID-19 response and beyond, their procurement activities uphold their obligations and commitments on human rights, </w:t>
      </w:r>
      <w:r w:rsidR="00E04A15" w:rsidRPr="00FD04E7">
        <w:rPr>
          <w:b/>
          <w:bCs/>
          <w:lang w:val="en-GB"/>
        </w:rPr>
        <w:t>on</w:t>
      </w:r>
      <w:r w:rsidR="00A55E73" w:rsidRPr="00FD04E7">
        <w:rPr>
          <w:b/>
          <w:bCs/>
          <w:lang w:val="en-GB"/>
        </w:rPr>
        <w:t xml:space="preserve"> tackl</w:t>
      </w:r>
      <w:r w:rsidR="00A62B8F" w:rsidRPr="00FD04E7">
        <w:rPr>
          <w:b/>
          <w:bCs/>
          <w:lang w:val="en-GB"/>
        </w:rPr>
        <w:t xml:space="preserve">ing inequalities, </w:t>
      </w:r>
      <w:r w:rsidR="00E04A15" w:rsidRPr="00FD04E7">
        <w:rPr>
          <w:b/>
          <w:bCs/>
          <w:lang w:val="en-GB"/>
        </w:rPr>
        <w:t xml:space="preserve">on </w:t>
      </w:r>
      <w:r w:rsidR="00CC39A4" w:rsidRPr="00FD04E7">
        <w:rPr>
          <w:b/>
          <w:bCs/>
          <w:lang w:val="en-GB"/>
        </w:rPr>
        <w:t xml:space="preserve">decent work and </w:t>
      </w:r>
      <w:r w:rsidR="00E04A15" w:rsidRPr="00FD04E7">
        <w:rPr>
          <w:b/>
          <w:bCs/>
          <w:lang w:val="en-GB"/>
        </w:rPr>
        <w:t xml:space="preserve">on </w:t>
      </w:r>
      <w:r w:rsidR="00CC39A4" w:rsidRPr="00FD04E7">
        <w:rPr>
          <w:b/>
          <w:bCs/>
          <w:lang w:val="en-GB"/>
        </w:rPr>
        <w:t>environmental sustainability,</w:t>
      </w:r>
      <w:r w:rsidR="000D6DC2" w:rsidRPr="00FD04E7">
        <w:rPr>
          <w:rStyle w:val="FootnoteReference"/>
          <w:b/>
          <w:bCs/>
          <w:lang w:val="en-GB"/>
        </w:rPr>
        <w:footnoteReference w:id="50"/>
      </w:r>
      <w:r w:rsidR="00CC39A4" w:rsidRPr="00FD04E7">
        <w:rPr>
          <w:b/>
          <w:bCs/>
          <w:lang w:val="en-GB"/>
        </w:rPr>
        <w:t xml:space="preserve"> including by </w:t>
      </w:r>
      <w:r w:rsidR="0070466B" w:rsidRPr="00FD04E7">
        <w:rPr>
          <w:b/>
          <w:bCs/>
          <w:lang w:val="en-GB"/>
        </w:rPr>
        <w:t xml:space="preserve">requiring </w:t>
      </w:r>
      <w:r w:rsidR="004C115C" w:rsidRPr="00FD04E7">
        <w:rPr>
          <w:b/>
          <w:bCs/>
          <w:lang w:val="en-GB"/>
        </w:rPr>
        <w:t xml:space="preserve">that all </w:t>
      </w:r>
      <w:r w:rsidR="0070466B" w:rsidRPr="00FD04E7">
        <w:rPr>
          <w:b/>
          <w:bCs/>
          <w:lang w:val="en-GB"/>
        </w:rPr>
        <w:t>procured goods and services</w:t>
      </w:r>
      <w:r w:rsidR="00584431" w:rsidRPr="00FD04E7">
        <w:rPr>
          <w:b/>
          <w:bCs/>
          <w:lang w:val="en-GB"/>
        </w:rPr>
        <w:t xml:space="preserve"> </w:t>
      </w:r>
      <w:r w:rsidR="0070466B" w:rsidRPr="00FD04E7">
        <w:rPr>
          <w:b/>
          <w:bCs/>
          <w:lang w:val="en-GB"/>
        </w:rPr>
        <w:t>be accessible and inclusive for persons with disabilities.</w:t>
      </w:r>
      <w:r w:rsidR="007C7C7C" w:rsidRPr="00FD04E7">
        <w:rPr>
          <w:rStyle w:val="FootnoteReference"/>
          <w:b/>
          <w:bCs/>
          <w:lang w:val="en-GB"/>
        </w:rPr>
        <w:footnoteReference w:id="51"/>
      </w:r>
    </w:p>
    <w:p w14:paraId="170F0379" w14:textId="3277E099" w:rsidR="00B777C0" w:rsidRPr="00FD04E7" w:rsidRDefault="00B777C0" w:rsidP="00903815">
      <w:pPr>
        <w:pStyle w:val="Heading2"/>
        <w:rPr>
          <w:lang w:val="en-GB"/>
        </w:rPr>
      </w:pPr>
      <w:bookmarkStart w:id="21" w:name="_Toc63089206"/>
      <w:r w:rsidRPr="00FD04E7">
        <w:rPr>
          <w:lang w:val="en-GB"/>
        </w:rPr>
        <w:t xml:space="preserve">3.3 Ensuring that private sector actors </w:t>
      </w:r>
      <w:r w:rsidR="002E50C8" w:rsidRPr="00FD04E7">
        <w:rPr>
          <w:lang w:val="en-GB"/>
        </w:rPr>
        <w:t>support</w:t>
      </w:r>
      <w:r w:rsidRPr="00FD04E7">
        <w:rPr>
          <w:lang w:val="en-GB"/>
        </w:rPr>
        <w:t xml:space="preserve"> human rights and social justice through regulation</w:t>
      </w:r>
      <w:bookmarkEnd w:id="21"/>
    </w:p>
    <w:p w14:paraId="4D5B810B" w14:textId="10A39FC4" w:rsidR="00FC1FED" w:rsidRPr="00FD04E7" w:rsidRDefault="0035751A" w:rsidP="0003502A">
      <w:pPr>
        <w:shd w:val="clear" w:color="auto" w:fill="FFFFFF"/>
        <w:spacing w:after="0"/>
        <w:textAlignment w:val="baseline"/>
        <w:rPr>
          <w:b/>
          <w:bCs/>
          <w:lang w:val="en-GB"/>
        </w:rPr>
      </w:pPr>
      <w:r w:rsidRPr="00FD04E7">
        <w:rPr>
          <w:lang w:val="en-GB"/>
        </w:rPr>
        <w:t xml:space="preserve">The crisis has </w:t>
      </w:r>
      <w:r w:rsidR="00EC18E2" w:rsidRPr="00FD04E7">
        <w:rPr>
          <w:lang w:val="en-GB"/>
        </w:rPr>
        <w:t>“exposed and exacerbated the deep inequalities of power and wealth between business and the workers and communities they depend on</w:t>
      </w:r>
      <w:r w:rsidR="0003502A" w:rsidRPr="00FD04E7">
        <w:rPr>
          <w:lang w:val="en-GB"/>
        </w:rPr>
        <w:t>.</w:t>
      </w:r>
      <w:r w:rsidR="00EC18E2" w:rsidRPr="00FD04E7">
        <w:rPr>
          <w:lang w:val="en-GB"/>
        </w:rPr>
        <w:t>"</w:t>
      </w:r>
      <w:r w:rsidR="00310A44" w:rsidRPr="00FD04E7">
        <w:rPr>
          <w:rStyle w:val="FootnoteReference"/>
          <w:lang w:val="en-GB"/>
        </w:rPr>
        <w:footnoteReference w:id="52"/>
      </w:r>
      <w:r w:rsidR="00EC18E2" w:rsidRPr="00FD04E7">
        <w:rPr>
          <w:lang w:val="en-GB"/>
        </w:rPr>
        <w:t xml:space="preserve"> We join our voices to those across civil society calling for </w:t>
      </w:r>
      <w:r w:rsidR="00EC18E2" w:rsidRPr="00FD04E7">
        <w:rPr>
          <w:b/>
          <w:bCs/>
          <w:lang w:val="en-GB"/>
        </w:rPr>
        <w:t xml:space="preserve">comprehensive and effectively enforced regulations </w:t>
      </w:r>
      <w:r w:rsidR="00EC18E2" w:rsidRPr="00713F6D">
        <w:rPr>
          <w:bCs/>
          <w:lang w:val="en-GB"/>
        </w:rPr>
        <w:t>to ensure that private sector actors respect and protect human rights, and</w:t>
      </w:r>
      <w:r w:rsidR="00310A44" w:rsidRPr="00713F6D">
        <w:rPr>
          <w:bCs/>
          <w:lang w:val="en-GB"/>
        </w:rPr>
        <w:t xml:space="preserve"> behave consist</w:t>
      </w:r>
      <w:r w:rsidR="00705FF8" w:rsidRPr="00713F6D">
        <w:rPr>
          <w:bCs/>
          <w:lang w:val="en-GB"/>
        </w:rPr>
        <w:t>e</w:t>
      </w:r>
      <w:r w:rsidR="00310A44" w:rsidRPr="00713F6D">
        <w:rPr>
          <w:bCs/>
          <w:lang w:val="en-GB"/>
        </w:rPr>
        <w:t xml:space="preserve">ntly with </w:t>
      </w:r>
      <w:r w:rsidR="008E0681" w:rsidRPr="00713F6D">
        <w:rPr>
          <w:bCs/>
          <w:lang w:val="en-GB"/>
        </w:rPr>
        <w:t>international</w:t>
      </w:r>
      <w:r w:rsidR="00310A44" w:rsidRPr="00713F6D">
        <w:rPr>
          <w:bCs/>
          <w:lang w:val="en-GB"/>
        </w:rPr>
        <w:t xml:space="preserve"> commitments on the reduction of inequalities and on tackling the climate e</w:t>
      </w:r>
      <w:r w:rsidR="0003502A" w:rsidRPr="00713F6D">
        <w:rPr>
          <w:bCs/>
          <w:lang w:val="en-GB"/>
        </w:rPr>
        <w:t>m</w:t>
      </w:r>
      <w:r w:rsidR="00310A44" w:rsidRPr="00713F6D">
        <w:rPr>
          <w:bCs/>
          <w:lang w:val="en-GB"/>
        </w:rPr>
        <w:t>ergenc</w:t>
      </w:r>
      <w:r w:rsidR="00705FF8" w:rsidRPr="00713F6D">
        <w:rPr>
          <w:bCs/>
          <w:lang w:val="en-GB"/>
        </w:rPr>
        <w:t>y</w:t>
      </w:r>
      <w:r w:rsidR="00705FF8" w:rsidRPr="00FD04E7">
        <w:rPr>
          <w:lang w:val="en-GB"/>
        </w:rPr>
        <w:t xml:space="preserve">. We call specifically for </w:t>
      </w:r>
      <w:r w:rsidR="0003502A" w:rsidRPr="00FD04E7">
        <w:rPr>
          <w:lang w:val="en-GB"/>
        </w:rPr>
        <w:t xml:space="preserve">governments to </w:t>
      </w:r>
      <w:r w:rsidR="0003502A" w:rsidRPr="00FD04E7">
        <w:rPr>
          <w:b/>
          <w:bCs/>
          <w:lang w:val="en-GB"/>
        </w:rPr>
        <w:t xml:space="preserve">support the </w:t>
      </w:r>
      <w:r w:rsidR="00705FF8" w:rsidRPr="00FD04E7">
        <w:rPr>
          <w:b/>
          <w:bCs/>
          <w:lang w:val="en-GB"/>
        </w:rPr>
        <w:t xml:space="preserve">ongoing negotiations for the UN Binding Treaty on Business and Human rights under the </w:t>
      </w:r>
      <w:r w:rsidR="00B66142" w:rsidRPr="00FD04E7">
        <w:rPr>
          <w:b/>
          <w:bCs/>
          <w:lang w:val="en-GB"/>
        </w:rPr>
        <w:t>o</w:t>
      </w:r>
      <w:r w:rsidR="00705FF8" w:rsidRPr="00FD04E7">
        <w:rPr>
          <w:b/>
          <w:bCs/>
          <w:lang w:val="en-GB"/>
        </w:rPr>
        <w:t>pen-ended intergovernmental working group</w:t>
      </w:r>
      <w:r w:rsidR="00FA3C44" w:rsidRPr="00FD04E7">
        <w:rPr>
          <w:b/>
          <w:bCs/>
          <w:lang w:val="en-GB"/>
        </w:rPr>
        <w:t>.</w:t>
      </w:r>
      <w:r w:rsidR="00FA3C44" w:rsidRPr="00FD04E7">
        <w:rPr>
          <w:rStyle w:val="FootnoteReference"/>
          <w:lang w:val="en-GB"/>
        </w:rPr>
        <w:footnoteReference w:id="53"/>
      </w:r>
      <w:r w:rsidR="00BE6FD6" w:rsidRPr="00FD04E7">
        <w:rPr>
          <w:b/>
          <w:bCs/>
          <w:lang w:val="en-GB"/>
        </w:rPr>
        <w:t xml:space="preserve"> </w:t>
      </w:r>
    </w:p>
    <w:p w14:paraId="2193E194" w14:textId="77777777" w:rsidR="00FC1FED" w:rsidRPr="00FD04E7" w:rsidRDefault="00FC1FED" w:rsidP="0003502A">
      <w:pPr>
        <w:shd w:val="clear" w:color="auto" w:fill="FFFFFF"/>
        <w:spacing w:after="0"/>
        <w:textAlignment w:val="baseline"/>
        <w:rPr>
          <w:b/>
          <w:bCs/>
          <w:lang w:val="en-GB"/>
        </w:rPr>
      </w:pPr>
    </w:p>
    <w:p w14:paraId="26272043" w14:textId="0D861A92" w:rsidR="00C01166" w:rsidRPr="00FD04E7" w:rsidRDefault="00FA3C44" w:rsidP="002C2FED">
      <w:pPr>
        <w:shd w:val="clear" w:color="auto" w:fill="FFFFFF"/>
        <w:spacing w:after="0"/>
        <w:textAlignment w:val="baseline"/>
        <w:rPr>
          <w:b/>
          <w:bCs/>
          <w:lang w:val="en-GB"/>
        </w:rPr>
      </w:pPr>
      <w:r w:rsidRPr="00FD04E7">
        <w:rPr>
          <w:lang w:val="en-GB"/>
        </w:rPr>
        <w:t xml:space="preserve">Comprehensive and effective regulation </w:t>
      </w:r>
      <w:r w:rsidR="00B81E8B" w:rsidRPr="00FD04E7">
        <w:rPr>
          <w:lang w:val="en-GB"/>
        </w:rPr>
        <w:t xml:space="preserve">is particularly important for the enjoyment of rights and social justice for persons with disabilities. </w:t>
      </w:r>
      <w:r w:rsidR="00B63617" w:rsidRPr="00FD04E7">
        <w:rPr>
          <w:lang w:val="en-GB"/>
        </w:rPr>
        <w:t>This is partly because</w:t>
      </w:r>
      <w:r w:rsidR="00E25C44" w:rsidRPr="00FD04E7">
        <w:rPr>
          <w:lang w:val="en-GB"/>
        </w:rPr>
        <w:t xml:space="preserve">, even when damaging actions by corporations affect entire populations, persons with disabilities may be disproportionately exposed to their effects as a result of </w:t>
      </w:r>
      <w:r w:rsidR="006937CD" w:rsidRPr="00FD04E7">
        <w:rPr>
          <w:lang w:val="en-GB"/>
        </w:rPr>
        <w:t>the other inequalities that they face (for example, persons with disabilities are at greater risk from the adverse effects of climate change</w:t>
      </w:r>
      <w:r w:rsidR="002C1098" w:rsidRPr="00FD04E7">
        <w:rPr>
          <w:lang w:val="en-GB"/>
        </w:rPr>
        <w:t xml:space="preserve"> – all the more so when disability intersects with other factors such as gender or geography</w:t>
      </w:r>
      <w:r w:rsidR="006937CD" w:rsidRPr="00FD04E7">
        <w:rPr>
          <w:lang w:val="en-GB"/>
        </w:rPr>
        <w:t>)</w:t>
      </w:r>
      <w:r w:rsidR="00E25C44" w:rsidRPr="00FD04E7">
        <w:rPr>
          <w:lang w:val="en-GB"/>
        </w:rPr>
        <w:t>.</w:t>
      </w:r>
      <w:r w:rsidR="009C44DE" w:rsidRPr="00FD04E7">
        <w:rPr>
          <w:rStyle w:val="FootnoteReference"/>
          <w:lang w:val="en-GB"/>
        </w:rPr>
        <w:footnoteReference w:id="54"/>
      </w:r>
      <w:r w:rsidR="00FC1FED" w:rsidRPr="00FD04E7">
        <w:rPr>
          <w:lang w:val="en-GB"/>
        </w:rPr>
        <w:t xml:space="preserve"> </w:t>
      </w:r>
      <w:r w:rsidR="00E25C44" w:rsidRPr="00FD04E7">
        <w:rPr>
          <w:lang w:val="en-GB"/>
        </w:rPr>
        <w:t>S</w:t>
      </w:r>
      <w:r w:rsidR="00FC1FED" w:rsidRPr="00FD04E7">
        <w:rPr>
          <w:lang w:val="en-GB"/>
        </w:rPr>
        <w:t xml:space="preserve">o regulations that tackle such </w:t>
      </w:r>
      <w:r w:rsidR="00E567F2" w:rsidRPr="00FD04E7">
        <w:rPr>
          <w:lang w:val="en-GB"/>
        </w:rPr>
        <w:t xml:space="preserve">population-wide </w:t>
      </w:r>
      <w:r w:rsidR="00FC1FED" w:rsidRPr="00FD04E7">
        <w:rPr>
          <w:lang w:val="en-GB"/>
        </w:rPr>
        <w:t xml:space="preserve">damage are particularly valuable from a disability perspective. </w:t>
      </w:r>
      <w:r w:rsidR="004413AE" w:rsidRPr="00FD04E7">
        <w:rPr>
          <w:lang w:val="en-GB"/>
        </w:rPr>
        <w:t xml:space="preserve">In addition, </w:t>
      </w:r>
      <w:r w:rsidR="00FC1FED" w:rsidRPr="00FD04E7">
        <w:rPr>
          <w:lang w:val="en-GB"/>
        </w:rPr>
        <w:t xml:space="preserve">regulation has an essential role to play in combatting disability-specific inequalities – for example, inaccessible </w:t>
      </w:r>
      <w:r w:rsidR="005B072E" w:rsidRPr="00FD04E7">
        <w:rPr>
          <w:lang w:val="en-GB"/>
        </w:rPr>
        <w:t xml:space="preserve">technology and </w:t>
      </w:r>
      <w:r w:rsidR="00FC1FED" w:rsidRPr="00FD04E7">
        <w:rPr>
          <w:lang w:val="en-GB"/>
        </w:rPr>
        <w:t xml:space="preserve">infrastructure, or discrimination in access to employment. </w:t>
      </w:r>
      <w:r w:rsidR="00FC1FED" w:rsidRPr="00FD04E7">
        <w:rPr>
          <w:b/>
          <w:bCs/>
          <w:lang w:val="en-GB"/>
        </w:rPr>
        <w:t xml:space="preserve">We call for </w:t>
      </w:r>
      <w:r w:rsidR="008D53D0" w:rsidRPr="00FD04E7">
        <w:rPr>
          <w:b/>
          <w:bCs/>
          <w:lang w:val="en-GB"/>
        </w:rPr>
        <w:lastRenderedPageBreak/>
        <w:t xml:space="preserve">all </w:t>
      </w:r>
      <w:r w:rsidR="00FC1FED" w:rsidRPr="00FD04E7">
        <w:rPr>
          <w:b/>
          <w:bCs/>
          <w:lang w:val="en-GB"/>
        </w:rPr>
        <w:t>regulation</w:t>
      </w:r>
      <w:r w:rsidR="008D53D0" w:rsidRPr="00FD04E7">
        <w:rPr>
          <w:b/>
          <w:bCs/>
          <w:lang w:val="en-GB"/>
        </w:rPr>
        <w:t xml:space="preserve"> of private sector actors</w:t>
      </w:r>
      <w:r w:rsidR="005B072E" w:rsidRPr="00FD04E7">
        <w:rPr>
          <w:b/>
          <w:bCs/>
          <w:lang w:val="en-GB"/>
        </w:rPr>
        <w:t xml:space="preserve"> to be fully harmonised with the UN Convention on the Rights of Persons with Disabilities. </w:t>
      </w:r>
    </w:p>
    <w:p w14:paraId="356E8BAF" w14:textId="7C394563" w:rsidR="002C2FED" w:rsidRPr="00FD04E7" w:rsidRDefault="002C2FED" w:rsidP="000A3174">
      <w:pPr>
        <w:pStyle w:val="Heading1"/>
        <w:numPr>
          <w:ilvl w:val="0"/>
          <w:numId w:val="2"/>
        </w:numPr>
        <w:rPr>
          <w:lang w:val="en-GB"/>
        </w:rPr>
      </w:pPr>
      <w:bookmarkStart w:id="22" w:name="_Toc63089207"/>
      <w:r w:rsidRPr="00FD04E7">
        <w:rPr>
          <w:lang w:val="en-GB"/>
        </w:rPr>
        <w:t>Participation</w:t>
      </w:r>
      <w:bookmarkEnd w:id="22"/>
    </w:p>
    <w:p w14:paraId="54929A10" w14:textId="59599656" w:rsidR="0084684F" w:rsidRPr="00FD04E7" w:rsidRDefault="00604123">
      <w:pPr>
        <w:rPr>
          <w:lang w:val="en-GB"/>
        </w:rPr>
      </w:pPr>
      <w:r w:rsidRPr="00FD04E7">
        <w:rPr>
          <w:lang w:val="en-GB"/>
        </w:rPr>
        <w:t>As the COVID-19 crisi</w:t>
      </w:r>
      <w:r w:rsidR="0084684F" w:rsidRPr="00FD04E7">
        <w:rPr>
          <w:lang w:val="en-GB"/>
        </w:rPr>
        <w:t>s</w:t>
      </w:r>
      <w:r w:rsidRPr="00FD04E7">
        <w:rPr>
          <w:lang w:val="en-GB"/>
        </w:rPr>
        <w:t xml:space="preserve"> unfolded, t</w:t>
      </w:r>
      <w:r w:rsidR="00C3281B" w:rsidRPr="00FD04E7">
        <w:rPr>
          <w:lang w:val="en-GB"/>
        </w:rPr>
        <w:t xml:space="preserve">he UN Special Rapporteur on the rights to freedoms of peaceful assembly and of association </w:t>
      </w:r>
      <w:r w:rsidRPr="00FD04E7">
        <w:rPr>
          <w:lang w:val="en-GB"/>
        </w:rPr>
        <w:t>highlighted</w:t>
      </w:r>
      <w:r w:rsidR="00C3281B" w:rsidRPr="00FD04E7">
        <w:rPr>
          <w:lang w:val="en-GB"/>
        </w:rPr>
        <w:t xml:space="preserve"> that </w:t>
      </w:r>
      <w:r w:rsidR="008E0681">
        <w:rPr>
          <w:lang w:val="en-GB"/>
        </w:rPr>
        <w:t>‘</w:t>
      </w:r>
      <w:r w:rsidR="00C3281B" w:rsidRPr="00FD04E7">
        <w:rPr>
          <w:lang w:val="en-GB"/>
        </w:rPr>
        <w:t>active citizenship is key in times of crisis. Civil society must be regarded as an essential partner of governments in responding to the present crisis, in terms of helping to frame inclusive policies, disseminating information, building shared and cooperative approaches, and providing social support to vulnerable communities… States should provide financial support to civil society organizations delivering vital social support, including in particular organizations which support and advocate for persons with disabilities and vulnerable communities. States must ensure that the ability of such organizations to access the communities they serve is not inappropriately limited</w:t>
      </w:r>
      <w:r w:rsidR="008E0681">
        <w:rPr>
          <w:lang w:val="en-GB"/>
        </w:rPr>
        <w:t>’</w:t>
      </w:r>
      <w:r w:rsidR="00C3281B" w:rsidRPr="00FD04E7">
        <w:rPr>
          <w:lang w:val="en-GB"/>
        </w:rPr>
        <w:t>.</w:t>
      </w:r>
      <w:r w:rsidR="00C3281B" w:rsidRPr="00FD04E7">
        <w:rPr>
          <w:rStyle w:val="FootnoteReference"/>
          <w:lang w:val="en-GB"/>
        </w:rPr>
        <w:footnoteReference w:id="55"/>
      </w:r>
      <w:r w:rsidR="00A44B87" w:rsidRPr="00FD04E7">
        <w:rPr>
          <w:lang w:val="en-GB"/>
        </w:rPr>
        <w:t xml:space="preserve"> </w:t>
      </w:r>
      <w:r w:rsidR="00F85C10" w:rsidRPr="00FD04E7">
        <w:rPr>
          <w:lang w:val="en-GB"/>
        </w:rPr>
        <w:t xml:space="preserve"> </w:t>
      </w:r>
    </w:p>
    <w:p w14:paraId="109E61EF" w14:textId="18BB3D46" w:rsidR="0084684F" w:rsidRPr="00FD04E7" w:rsidRDefault="0084684F">
      <w:pPr>
        <w:rPr>
          <w:lang w:val="en-GB"/>
        </w:rPr>
      </w:pPr>
      <w:r w:rsidRPr="00FD04E7">
        <w:rPr>
          <w:lang w:val="en-GB"/>
        </w:rPr>
        <w:t xml:space="preserve">Inclusion of persons with disabilities and their representative organizations is more important than ever not only to address existing inequalities and barriers, but to tackle new and emerging challenges. We call </w:t>
      </w:r>
      <w:r w:rsidRPr="00FD04E7">
        <w:rPr>
          <w:b/>
          <w:bCs/>
          <w:lang w:val="en-GB"/>
        </w:rPr>
        <w:t>for organizations of persons with disabilities to be part of all stages to combat COVID-19, in the response</w:t>
      </w:r>
      <w:r w:rsidRPr="00FD04E7">
        <w:rPr>
          <w:b/>
          <w:bCs/>
          <w:vertAlign w:val="superscript"/>
          <w:lang w:val="en-GB"/>
        </w:rPr>
        <w:footnoteReference w:id="56"/>
      </w:r>
      <w:r w:rsidRPr="00FD04E7">
        <w:rPr>
          <w:b/>
          <w:bCs/>
          <w:lang w:val="en-GB"/>
        </w:rPr>
        <w:t xml:space="preserve"> and recovery phases</w:t>
      </w:r>
      <w:r w:rsidR="00C230E4" w:rsidRPr="00FD04E7">
        <w:rPr>
          <w:b/>
          <w:bCs/>
          <w:lang w:val="en-GB"/>
        </w:rPr>
        <w:t xml:space="preserve"> – including all decisions relating to international economic polic</w:t>
      </w:r>
      <w:r w:rsidR="00781A22" w:rsidRPr="00FD04E7">
        <w:rPr>
          <w:b/>
          <w:bCs/>
          <w:lang w:val="en-GB"/>
        </w:rPr>
        <w:t>y measures. P</w:t>
      </w:r>
      <w:r w:rsidRPr="00FD04E7">
        <w:rPr>
          <w:b/>
          <w:bCs/>
          <w:lang w:val="en-GB"/>
        </w:rPr>
        <w:t xml:space="preserve">articular attention </w:t>
      </w:r>
      <w:r w:rsidR="00781A22" w:rsidRPr="00FD04E7">
        <w:rPr>
          <w:b/>
          <w:bCs/>
          <w:lang w:val="en-GB"/>
        </w:rPr>
        <w:t xml:space="preserve">should be paid </w:t>
      </w:r>
      <w:r w:rsidRPr="00FD04E7">
        <w:rPr>
          <w:b/>
          <w:bCs/>
          <w:lang w:val="en-GB"/>
        </w:rPr>
        <w:t>to the participation of highly marginalised persons with disabilities and those experiencing intersectional inequalities</w:t>
      </w:r>
      <w:r w:rsidRPr="00FD04E7">
        <w:rPr>
          <w:lang w:val="en-GB"/>
        </w:rPr>
        <w:t>.</w:t>
      </w:r>
      <w:r w:rsidR="00C230E4" w:rsidRPr="00FD04E7">
        <w:rPr>
          <w:lang w:val="en-GB"/>
        </w:rPr>
        <w:t xml:space="preserve"> </w:t>
      </w:r>
    </w:p>
    <w:p w14:paraId="46F31542" w14:textId="179C28A3" w:rsidR="00C35F5D" w:rsidRPr="00FD04E7" w:rsidRDefault="00C35F5D" w:rsidP="00C35F5D">
      <w:pPr>
        <w:pStyle w:val="Heading1"/>
        <w:rPr>
          <w:lang w:val="en-GB"/>
        </w:rPr>
      </w:pPr>
      <w:bookmarkStart w:id="23" w:name="_Toc63089208"/>
      <w:r w:rsidRPr="00FD04E7">
        <w:rPr>
          <w:lang w:val="en-GB"/>
        </w:rPr>
        <w:t>Annex – full recommendations from the Stakeholder Group of Persons with Disabilities and the International Disability Alliance on upholding the rights of persons with disabilities</w:t>
      </w:r>
      <w:r w:rsidR="006F70EA" w:rsidRPr="00FD04E7">
        <w:rPr>
          <w:lang w:val="en-GB"/>
        </w:rPr>
        <w:t xml:space="preserve"> in</w:t>
      </w:r>
      <w:r w:rsidRPr="00FD04E7">
        <w:rPr>
          <w:lang w:val="en-GB"/>
        </w:rPr>
        <w:t xml:space="preserve"> the COVID crisis</w:t>
      </w:r>
      <w:bookmarkEnd w:id="23"/>
    </w:p>
    <w:p w14:paraId="28440018" w14:textId="1F1BE3EE" w:rsidR="00E24202" w:rsidRPr="00FD04E7" w:rsidRDefault="00E24202" w:rsidP="00E24202">
      <w:pPr>
        <w:rPr>
          <w:rFonts w:cstheme="minorHAnsi"/>
          <w:lang w:val="en-GB"/>
        </w:rPr>
      </w:pPr>
      <w:r w:rsidRPr="00FD04E7">
        <w:rPr>
          <w:rFonts w:cstheme="minorHAnsi"/>
          <w:lang w:val="en-GB"/>
        </w:rPr>
        <w:t xml:space="preserve">The International Disability Alliance </w:t>
      </w:r>
      <w:r w:rsidR="00D26434" w:rsidRPr="00FD04E7">
        <w:rPr>
          <w:rFonts w:cstheme="minorHAnsi"/>
          <w:lang w:val="en-GB"/>
        </w:rPr>
        <w:t xml:space="preserve">(IDA) </w:t>
      </w:r>
      <w:r w:rsidRPr="00FD04E7">
        <w:rPr>
          <w:rFonts w:cstheme="minorHAnsi"/>
          <w:lang w:val="en-GB"/>
        </w:rPr>
        <w:t>and the International Disability and Development Consortium collaborated and led a campaign and advocacy efforts on COVID-19 and persons with disabilities. This broad coalition has been gathering messages from the disability movement to remind governments and the UN system that persons with disabilities are being left behind and need to be included in all phases of COVID-19 planning and response. Building on these excellent efforts, the Stakeholder Group of Persons with Disabilities recommends the following key actions.</w:t>
      </w:r>
    </w:p>
    <w:p w14:paraId="53C4587B" w14:textId="77777777" w:rsidR="00E24202" w:rsidRPr="00FD04E7" w:rsidRDefault="00E24202" w:rsidP="00E24202">
      <w:pPr>
        <w:pStyle w:val="ListParagraph"/>
        <w:numPr>
          <w:ilvl w:val="0"/>
          <w:numId w:val="19"/>
        </w:numPr>
        <w:spacing w:after="0" w:line="240" w:lineRule="auto"/>
        <w:rPr>
          <w:rFonts w:cstheme="minorHAnsi"/>
          <w:lang w:val="en-GB"/>
        </w:rPr>
      </w:pPr>
      <w:r w:rsidRPr="00FD04E7">
        <w:rPr>
          <w:rFonts w:cstheme="minorHAnsi"/>
          <w:lang w:val="en-GB"/>
        </w:rPr>
        <w:t xml:space="preserve">Periodically visit the IDA website and follow the </w:t>
      </w:r>
      <w:hyperlink r:id="rId11" w:history="1">
        <w:r w:rsidRPr="00FD04E7">
          <w:rPr>
            <w:rStyle w:val="Hyperlink"/>
            <w:rFonts w:cstheme="minorHAnsi"/>
            <w:lang w:val="en-GB"/>
          </w:rPr>
          <w:t>key disability inclusive COVID-19 recommendations</w:t>
        </w:r>
      </w:hyperlink>
      <w:r w:rsidRPr="00FD04E7">
        <w:rPr>
          <w:rFonts w:cstheme="minorHAnsi"/>
          <w:lang w:val="en-GB"/>
        </w:rPr>
        <w:t>.</w:t>
      </w:r>
    </w:p>
    <w:p w14:paraId="2E8356A1" w14:textId="77777777" w:rsidR="00E24202" w:rsidRPr="00FD04E7" w:rsidRDefault="00E24202" w:rsidP="00E24202">
      <w:pPr>
        <w:pStyle w:val="ListParagraph"/>
        <w:numPr>
          <w:ilvl w:val="0"/>
          <w:numId w:val="19"/>
        </w:numPr>
        <w:spacing w:after="0" w:line="240" w:lineRule="auto"/>
        <w:rPr>
          <w:rFonts w:cstheme="minorHAnsi"/>
          <w:lang w:val="en-GB"/>
        </w:rPr>
      </w:pPr>
      <w:r w:rsidRPr="00FD04E7">
        <w:rPr>
          <w:rFonts w:cstheme="minorHAnsi"/>
          <w:lang w:val="en-GB"/>
        </w:rPr>
        <w:t xml:space="preserve">Refer to key </w:t>
      </w:r>
      <w:hyperlink r:id="rId12" w:history="1">
        <w:r w:rsidRPr="00FD04E7">
          <w:rPr>
            <w:rStyle w:val="Hyperlink"/>
            <w:rFonts w:cstheme="minorHAnsi"/>
            <w:lang w:val="en-GB"/>
          </w:rPr>
          <w:t>resources and tools for action</w:t>
        </w:r>
      </w:hyperlink>
      <w:r w:rsidRPr="00FD04E7">
        <w:rPr>
          <w:rFonts w:cstheme="minorHAnsi"/>
          <w:lang w:val="en-GB"/>
        </w:rPr>
        <w:t xml:space="preserve"> to include persons with disabilities.</w:t>
      </w:r>
    </w:p>
    <w:p w14:paraId="7F9F2032" w14:textId="77777777" w:rsidR="00E24202" w:rsidRPr="00FD04E7" w:rsidRDefault="00E24202" w:rsidP="00E24202">
      <w:pPr>
        <w:pStyle w:val="ListParagraph"/>
        <w:numPr>
          <w:ilvl w:val="0"/>
          <w:numId w:val="19"/>
        </w:numPr>
        <w:spacing w:after="0" w:line="240" w:lineRule="auto"/>
        <w:rPr>
          <w:rFonts w:cstheme="minorHAnsi"/>
          <w:lang w:val="en-GB"/>
        </w:rPr>
      </w:pPr>
      <w:r w:rsidRPr="00FD04E7">
        <w:rPr>
          <w:rFonts w:cstheme="minorHAnsi"/>
          <w:lang w:val="en-GB"/>
        </w:rPr>
        <w:t xml:space="preserve">Ensure all virtual meetings, events and activities are inclusive for all persons with disabilities and refer to </w:t>
      </w:r>
      <w:hyperlink r:id="rId13" w:history="1">
        <w:r w:rsidRPr="00FD04E7">
          <w:rPr>
            <w:rStyle w:val="Hyperlink"/>
            <w:rFonts w:cstheme="minorHAnsi"/>
            <w:lang w:val="en-GB"/>
          </w:rPr>
          <w:t>these periodically updated accessibility guides</w:t>
        </w:r>
      </w:hyperlink>
      <w:r w:rsidRPr="00FD04E7">
        <w:rPr>
          <w:rFonts w:cstheme="minorHAnsi"/>
          <w:lang w:val="en-GB"/>
        </w:rPr>
        <w:t xml:space="preserve">.  </w:t>
      </w:r>
    </w:p>
    <w:p w14:paraId="16A329D5" w14:textId="77777777" w:rsidR="00E24202" w:rsidRPr="00FD04E7" w:rsidRDefault="00E24202" w:rsidP="00E24202">
      <w:pPr>
        <w:pStyle w:val="ListParagraph"/>
        <w:numPr>
          <w:ilvl w:val="0"/>
          <w:numId w:val="19"/>
        </w:numPr>
        <w:spacing w:after="0" w:line="240" w:lineRule="auto"/>
        <w:rPr>
          <w:rFonts w:cstheme="minorHAnsi"/>
          <w:lang w:val="en-GB"/>
        </w:rPr>
      </w:pPr>
      <w:r w:rsidRPr="00FD04E7">
        <w:rPr>
          <w:rFonts w:cstheme="minorHAnsi"/>
          <w:lang w:val="en-GB"/>
        </w:rPr>
        <w:t xml:space="preserve">Increase awareness by sharing </w:t>
      </w:r>
      <w:hyperlink r:id="rId14" w:history="1">
        <w:r w:rsidRPr="00FD04E7">
          <w:rPr>
            <w:rStyle w:val="Hyperlink"/>
            <w:rFonts w:cstheme="minorHAnsi"/>
            <w:lang w:val="en-GB"/>
          </w:rPr>
          <w:t>stories about people with disabilities during the COVID-19 outbreak.</w:t>
        </w:r>
      </w:hyperlink>
    </w:p>
    <w:p w14:paraId="0C889A09" w14:textId="77777777" w:rsidR="00E24202" w:rsidRPr="00FD04E7" w:rsidRDefault="00E24202" w:rsidP="00E24202">
      <w:pPr>
        <w:pStyle w:val="ListParagraph"/>
        <w:numPr>
          <w:ilvl w:val="0"/>
          <w:numId w:val="19"/>
        </w:numPr>
        <w:spacing w:after="0" w:line="240" w:lineRule="auto"/>
        <w:rPr>
          <w:rFonts w:cstheme="minorHAnsi"/>
          <w:lang w:val="en-GB"/>
        </w:rPr>
      </w:pPr>
      <w:r w:rsidRPr="00FD04E7">
        <w:rPr>
          <w:rFonts w:cstheme="minorHAnsi"/>
          <w:lang w:val="en-GB"/>
        </w:rPr>
        <w:t xml:space="preserve">Publish and disseminate </w:t>
      </w:r>
      <w:hyperlink r:id="rId15" w:history="1">
        <w:r w:rsidRPr="00FD04E7">
          <w:rPr>
            <w:rStyle w:val="Hyperlink"/>
            <w:rFonts w:cstheme="minorHAnsi"/>
            <w:lang w:val="en-GB"/>
          </w:rPr>
          <w:t>information about persons with disabilities</w:t>
        </w:r>
      </w:hyperlink>
      <w:r w:rsidRPr="00FD04E7">
        <w:rPr>
          <w:rFonts w:cstheme="minorHAnsi"/>
          <w:lang w:val="en-GB"/>
        </w:rPr>
        <w:t xml:space="preserve"> in mainstream journals and periodicals to gain widespread attention about disability inclusion. </w:t>
      </w:r>
    </w:p>
    <w:p w14:paraId="6F8A13F3" w14:textId="77777777" w:rsidR="00E24202" w:rsidRPr="00FD04E7" w:rsidRDefault="00E24202" w:rsidP="00E24202">
      <w:pPr>
        <w:pStyle w:val="ListParagraph"/>
        <w:numPr>
          <w:ilvl w:val="0"/>
          <w:numId w:val="19"/>
        </w:numPr>
        <w:spacing w:after="0" w:line="240" w:lineRule="auto"/>
        <w:rPr>
          <w:rFonts w:cstheme="minorHAnsi"/>
          <w:lang w:val="en-GB"/>
        </w:rPr>
      </w:pPr>
      <w:r w:rsidRPr="00FD04E7">
        <w:rPr>
          <w:rFonts w:cstheme="minorHAnsi"/>
          <w:lang w:val="en-GB"/>
        </w:rPr>
        <w:lastRenderedPageBreak/>
        <w:t xml:space="preserve">Develop a disability-inclusion guide based on lessons learned from the pandemic for governments and local authorities. This can save lives and ensure persons with disabilities receive the vaccine first. </w:t>
      </w:r>
    </w:p>
    <w:p w14:paraId="1F2C3276" w14:textId="77777777" w:rsidR="00E24202" w:rsidRPr="00FD04E7" w:rsidRDefault="00E24202" w:rsidP="00E24202">
      <w:pPr>
        <w:pStyle w:val="ListParagraph"/>
        <w:numPr>
          <w:ilvl w:val="0"/>
          <w:numId w:val="19"/>
        </w:numPr>
        <w:spacing w:after="0" w:line="240" w:lineRule="auto"/>
        <w:rPr>
          <w:rFonts w:cstheme="minorHAnsi"/>
          <w:lang w:val="en-GB"/>
        </w:rPr>
      </w:pPr>
      <w:r w:rsidRPr="00FD04E7">
        <w:rPr>
          <w:rFonts w:cstheme="minorHAnsi"/>
          <w:lang w:val="en-GB"/>
        </w:rPr>
        <w:t xml:space="preserve">Launch a campaign on kindness as an integral part of non-discrimination and equality in order to remind people about the importance and value of kindness in society. </w:t>
      </w:r>
    </w:p>
    <w:p w14:paraId="7D98A2F8" w14:textId="77777777" w:rsidR="00E24202" w:rsidRPr="00FD04E7" w:rsidRDefault="00E24202" w:rsidP="00E24202">
      <w:pPr>
        <w:pStyle w:val="ListParagraph"/>
        <w:spacing w:after="0" w:line="240" w:lineRule="auto"/>
        <w:rPr>
          <w:rFonts w:cstheme="minorHAnsi"/>
          <w:lang w:val="en-GB"/>
        </w:rPr>
      </w:pPr>
    </w:p>
    <w:p w14:paraId="63B0F695" w14:textId="13807212" w:rsidR="00E24202" w:rsidRPr="00FD04E7" w:rsidRDefault="00E24202" w:rsidP="00E24202">
      <w:pPr>
        <w:rPr>
          <w:rFonts w:cstheme="minorHAnsi"/>
          <w:lang w:val="en-GB"/>
        </w:rPr>
      </w:pPr>
      <w:r w:rsidRPr="00FD04E7">
        <w:rPr>
          <w:rFonts w:cstheme="minorHAnsi"/>
          <w:lang w:val="en-GB"/>
        </w:rPr>
        <w:t xml:space="preserve">Specifically, IDA’s key disability-inclusive recommendations are below. </w:t>
      </w:r>
    </w:p>
    <w:p w14:paraId="16F0A0F3" w14:textId="309AD7E2" w:rsidR="00E24202" w:rsidRPr="00FD04E7" w:rsidRDefault="00E24202" w:rsidP="00E24202">
      <w:pPr>
        <w:rPr>
          <w:rFonts w:cstheme="minorHAnsi"/>
          <w:b/>
          <w:bCs/>
          <w:lang w:val="en-GB"/>
        </w:rPr>
      </w:pPr>
      <w:bookmarkStart w:id="24" w:name="_Hlk35422846"/>
      <w:r w:rsidRPr="00FD04E7">
        <w:rPr>
          <w:rFonts w:cstheme="minorHAnsi"/>
          <w:b/>
          <w:bCs/>
          <w:lang w:val="en-GB"/>
        </w:rPr>
        <w:t xml:space="preserve">Recommendation 1: Persons with disabilities </w:t>
      </w:r>
      <w:r w:rsidR="00660D03">
        <w:rPr>
          <w:rFonts w:cstheme="minorHAnsi"/>
          <w:b/>
          <w:bCs/>
          <w:lang w:val="en-GB"/>
        </w:rPr>
        <w:t>should</w:t>
      </w:r>
      <w:r w:rsidR="00660D03" w:rsidRPr="00FD04E7">
        <w:rPr>
          <w:rFonts w:cstheme="minorHAnsi"/>
          <w:b/>
          <w:bCs/>
          <w:lang w:val="en-GB"/>
        </w:rPr>
        <w:t xml:space="preserve"> </w:t>
      </w:r>
      <w:r w:rsidRPr="00FD04E7">
        <w:rPr>
          <w:rFonts w:cstheme="minorHAnsi"/>
          <w:b/>
          <w:bCs/>
          <w:lang w:val="en-GB"/>
        </w:rPr>
        <w:t xml:space="preserve">receive information </w:t>
      </w:r>
      <w:r w:rsidR="008D6304" w:rsidRPr="00FD04E7">
        <w:rPr>
          <w:rFonts w:cstheme="minorHAnsi"/>
          <w:b/>
          <w:bCs/>
          <w:lang w:val="en-GB"/>
        </w:rPr>
        <w:t>in a diversity of accessible formats</w:t>
      </w:r>
      <w:r w:rsidR="008D6304">
        <w:rPr>
          <w:rFonts w:cstheme="minorHAnsi"/>
          <w:b/>
          <w:bCs/>
          <w:lang w:val="en-GB"/>
        </w:rPr>
        <w:t xml:space="preserve">, including </w:t>
      </w:r>
      <w:r w:rsidRPr="00FD04E7">
        <w:rPr>
          <w:rFonts w:cstheme="minorHAnsi"/>
          <w:b/>
          <w:bCs/>
          <w:lang w:val="en-GB"/>
        </w:rPr>
        <w:t>about infection mitigati</w:t>
      </w:r>
      <w:r w:rsidR="00660D03">
        <w:rPr>
          <w:rFonts w:cstheme="minorHAnsi"/>
          <w:b/>
          <w:bCs/>
          <w:lang w:val="en-GB"/>
        </w:rPr>
        <w:t>on</w:t>
      </w:r>
      <w:r w:rsidRPr="00FD04E7">
        <w:rPr>
          <w:rFonts w:cstheme="minorHAnsi"/>
          <w:b/>
          <w:bCs/>
          <w:lang w:val="en-GB"/>
        </w:rPr>
        <w:t>, public restriction plans,</w:t>
      </w:r>
      <w:r w:rsidR="00713F6D">
        <w:rPr>
          <w:rFonts w:cstheme="minorHAnsi"/>
          <w:b/>
          <w:bCs/>
          <w:lang w:val="en-GB"/>
        </w:rPr>
        <w:t xml:space="preserve"> and available</w:t>
      </w:r>
      <w:r w:rsidRPr="00FD04E7">
        <w:rPr>
          <w:rFonts w:cstheme="minorHAnsi"/>
          <w:b/>
          <w:bCs/>
          <w:lang w:val="en-GB"/>
        </w:rPr>
        <w:t xml:space="preserve"> services </w:t>
      </w:r>
    </w:p>
    <w:p w14:paraId="285B568E"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 xml:space="preserve">Mass media communication should include captioning, national sign language, high contrast, large print information. </w:t>
      </w:r>
    </w:p>
    <w:p w14:paraId="53145BFA"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 xml:space="preserve">Digital media should include accessible formats to blind persons and other persons facing restrictions in accessing print. </w:t>
      </w:r>
    </w:p>
    <w:p w14:paraId="4F197038"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 xml:space="preserve">All communication should be in plain language. </w:t>
      </w:r>
    </w:p>
    <w:p w14:paraId="1DF2EB7D"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 xml:space="preserve">In case the public communications are yet to become accessible, alternative phone lines for blind persons and email address for deaf and hard of hearing may be a temporary option. </w:t>
      </w:r>
    </w:p>
    <w:p w14:paraId="0B40D768"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 xml:space="preserve">Sign language interpreters who work in emergency and health settings should be given the same health and safety protections as other health care workers dealing with COVID19. </w:t>
      </w:r>
    </w:p>
    <w:p w14:paraId="51945EB6"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 xml:space="preserve">There may be appropriate alternatives for optimum access, such as interpreters wearing a transparent mask, so that facial expressions and lip movement is still visible, </w:t>
      </w:r>
    </w:p>
    <w:p w14:paraId="44025338"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Alternatives are particularly important as remote interpretation is not accessible for everyone, including people with deaf-blindness. Solutions should be explored with concerned people and organizations representing them.</w:t>
      </w:r>
    </w:p>
    <w:p w14:paraId="283F62C9" w14:textId="11A04646" w:rsidR="00E24202" w:rsidRPr="00FD04E7" w:rsidRDefault="00E24202" w:rsidP="00E24202">
      <w:pPr>
        <w:pStyle w:val="ListBullet"/>
        <w:numPr>
          <w:ilvl w:val="0"/>
          <w:numId w:val="18"/>
        </w:numPr>
        <w:rPr>
          <w:rFonts w:cstheme="minorHAnsi"/>
          <w:lang w:val="en-GB"/>
        </w:rPr>
      </w:pPr>
      <w:r w:rsidRPr="00FD04E7">
        <w:rPr>
          <w:rFonts w:cstheme="minorHAnsi"/>
          <w:lang w:val="en-GB"/>
        </w:rPr>
        <w:t>Assistive technologies should be used</w:t>
      </w:r>
      <w:r w:rsidR="0035530B">
        <w:rPr>
          <w:rFonts w:cstheme="minorHAnsi"/>
          <w:lang w:val="en-GB"/>
        </w:rPr>
        <w:t>,</w:t>
      </w:r>
      <w:r w:rsidRPr="00FD04E7">
        <w:rPr>
          <w:rFonts w:cstheme="minorHAnsi"/>
          <w:lang w:val="en-GB"/>
        </w:rPr>
        <w:t xml:space="preserve"> such as FM systems for communicating with hard of hearing persons</w:t>
      </w:r>
      <w:r w:rsidR="0035530B">
        <w:rPr>
          <w:rFonts w:cstheme="minorHAnsi"/>
          <w:lang w:val="en-GB"/>
        </w:rPr>
        <w:t>, and are</w:t>
      </w:r>
      <w:r w:rsidRPr="00FD04E7">
        <w:rPr>
          <w:rFonts w:cstheme="minorHAnsi"/>
          <w:lang w:val="en-GB"/>
        </w:rPr>
        <w:t xml:space="preserve"> especially important when face masks make lipreading impossible.</w:t>
      </w:r>
    </w:p>
    <w:p w14:paraId="22BD91E3" w14:textId="77777777" w:rsidR="00E24202" w:rsidRPr="00FD04E7" w:rsidRDefault="00E24202" w:rsidP="00E24202">
      <w:pPr>
        <w:rPr>
          <w:rFonts w:cstheme="minorHAnsi"/>
          <w:b/>
          <w:bCs/>
          <w:lang w:val="en-GB"/>
        </w:rPr>
      </w:pPr>
      <w:r w:rsidRPr="00FD04E7">
        <w:rPr>
          <w:rFonts w:cstheme="minorHAnsi"/>
          <w:b/>
          <w:bCs/>
          <w:lang w:val="en-GB"/>
        </w:rPr>
        <w:t xml:space="preserve">Recommendation 2: Additional protective measures must be taken for people with certain types of impairment. </w:t>
      </w:r>
    </w:p>
    <w:p w14:paraId="5D927546"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Disinfection of entrance doors reserved for persons with disabilities, handrails of ramps or staircases, accessibility knobs for doors reserved for people with reduced mobility.</w:t>
      </w:r>
    </w:p>
    <w:p w14:paraId="56A9E707"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 xml:space="preserve">Introducing proactive testing and more strict preventive measures for groups of persons with disabilities who are more susceptible to infection due to the respiratory or other health complications caused by their impairment. </w:t>
      </w:r>
    </w:p>
    <w:p w14:paraId="4F10E743"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The COVID19 crisis and confinement measures may generate fear and anxiety; demonstrating solidarity and community support is important for all, and may be critical for persons with psychosocial disabilities</w:t>
      </w:r>
    </w:p>
    <w:p w14:paraId="5684C882" w14:textId="77777777" w:rsidR="00E24202" w:rsidRPr="00FD04E7" w:rsidRDefault="00E24202" w:rsidP="00E24202">
      <w:pPr>
        <w:rPr>
          <w:rFonts w:cstheme="minorHAnsi"/>
          <w:b/>
          <w:bCs/>
          <w:lang w:val="en-GB"/>
        </w:rPr>
      </w:pPr>
      <w:r w:rsidRPr="00FD04E7">
        <w:rPr>
          <w:rFonts w:cstheme="minorHAnsi"/>
          <w:b/>
          <w:bCs/>
          <w:lang w:val="en-GB"/>
        </w:rPr>
        <w:t>Recommendation 3: Rapid awareness raising and training of personnel involved in the response are essential</w:t>
      </w:r>
    </w:p>
    <w:p w14:paraId="3F0D14E5"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 xml:space="preserve">Government officials and service providers, including emergency responders must be trained on the rights of persons with disabilities, and on risks associated to respiratory complications for people who have specific impairments (e.g. whose health may be jeopardized by coughing). </w:t>
      </w:r>
    </w:p>
    <w:p w14:paraId="73E75DB8"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Awareness raising on support to persons with disabilities should be part of all protection campaigns.</w:t>
      </w:r>
    </w:p>
    <w:p w14:paraId="0E035575" w14:textId="77777777" w:rsidR="00E24202" w:rsidRPr="00FD04E7" w:rsidRDefault="00E24202" w:rsidP="00E24202">
      <w:pPr>
        <w:pStyle w:val="ListBullet"/>
        <w:numPr>
          <w:ilvl w:val="0"/>
          <w:numId w:val="0"/>
        </w:numPr>
        <w:tabs>
          <w:tab w:val="left" w:pos="708"/>
        </w:tabs>
        <w:ind w:left="360"/>
        <w:rPr>
          <w:rFonts w:cstheme="minorHAnsi"/>
          <w:lang w:val="en-GB"/>
        </w:rPr>
      </w:pPr>
    </w:p>
    <w:p w14:paraId="30F2157D" w14:textId="77777777" w:rsidR="00E24202" w:rsidRPr="00FD04E7" w:rsidRDefault="00E24202" w:rsidP="00E24202">
      <w:pPr>
        <w:pStyle w:val="ListBullet"/>
        <w:numPr>
          <w:ilvl w:val="0"/>
          <w:numId w:val="0"/>
        </w:numPr>
        <w:tabs>
          <w:tab w:val="left" w:pos="708"/>
        </w:tabs>
        <w:rPr>
          <w:rFonts w:cstheme="minorHAnsi"/>
          <w:b/>
          <w:bCs/>
          <w:lang w:val="en-GB"/>
        </w:rPr>
      </w:pPr>
      <w:r w:rsidRPr="00FD04E7">
        <w:rPr>
          <w:rFonts w:cstheme="minorHAnsi"/>
          <w:b/>
          <w:bCs/>
          <w:lang w:val="en-GB"/>
        </w:rPr>
        <w:lastRenderedPageBreak/>
        <w:t>Recommendation 4: All preparedness and response plans must be inclusive of and accessible to women with disabilities</w:t>
      </w:r>
    </w:p>
    <w:p w14:paraId="522F27CA"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 xml:space="preserve">Any plans to support women should be inclusive of and accessible to women with disabilities </w:t>
      </w:r>
    </w:p>
    <w:p w14:paraId="76163FE1"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 xml:space="preserve">Programs to support persons with disabilities should include a gender perspective. </w:t>
      </w:r>
    </w:p>
    <w:p w14:paraId="4E9D903A" w14:textId="49378C0C" w:rsidR="00E24202" w:rsidRPr="00FD04E7" w:rsidRDefault="00E24202" w:rsidP="00E24202">
      <w:pPr>
        <w:shd w:val="clear" w:color="auto" w:fill="FFFFFF"/>
        <w:spacing w:before="100" w:beforeAutospacing="1" w:after="100" w:afterAutospacing="1" w:line="288" w:lineRule="atLeast"/>
        <w:rPr>
          <w:rFonts w:cstheme="minorHAnsi"/>
          <w:b/>
          <w:bCs/>
          <w:lang w:val="en-GB"/>
        </w:rPr>
      </w:pPr>
      <w:r w:rsidRPr="00FD04E7">
        <w:rPr>
          <w:rFonts w:cstheme="minorHAnsi"/>
          <w:b/>
          <w:bCs/>
          <w:lang w:val="en-GB"/>
        </w:rPr>
        <w:t xml:space="preserve">Recommendation 5: </w:t>
      </w:r>
      <w:r w:rsidR="0035530B">
        <w:rPr>
          <w:rFonts w:cstheme="minorHAnsi"/>
          <w:b/>
          <w:bCs/>
          <w:lang w:val="en-GB"/>
        </w:rPr>
        <w:t>D</w:t>
      </w:r>
      <w:r w:rsidRPr="00FD04E7">
        <w:rPr>
          <w:rFonts w:cstheme="minorHAnsi"/>
          <w:b/>
          <w:bCs/>
          <w:lang w:val="en-GB"/>
        </w:rPr>
        <w:t xml:space="preserve">isability-based institutionalization and abandonment is </w:t>
      </w:r>
      <w:r w:rsidR="0035530B">
        <w:rPr>
          <w:rFonts w:cstheme="minorHAnsi"/>
          <w:b/>
          <w:bCs/>
          <w:lang w:val="en-GB"/>
        </w:rPr>
        <w:t>un</w:t>
      </w:r>
      <w:r w:rsidRPr="00FD04E7">
        <w:rPr>
          <w:rFonts w:cstheme="minorHAnsi"/>
          <w:b/>
          <w:bCs/>
          <w:lang w:val="en-GB"/>
        </w:rPr>
        <w:t>acceptable</w:t>
      </w:r>
    </w:p>
    <w:p w14:paraId="0DB2D3B8" w14:textId="24734442" w:rsidR="00E24202" w:rsidRPr="00FD04E7" w:rsidRDefault="00E24202" w:rsidP="00E24202">
      <w:pPr>
        <w:pStyle w:val="ListBullet"/>
        <w:numPr>
          <w:ilvl w:val="0"/>
          <w:numId w:val="18"/>
        </w:numPr>
        <w:rPr>
          <w:rFonts w:cstheme="minorHAnsi"/>
          <w:lang w:val="en-GB"/>
        </w:rPr>
      </w:pPr>
      <w:r w:rsidRPr="00FD04E7">
        <w:rPr>
          <w:rFonts w:cstheme="minorHAnsi"/>
          <w:lang w:val="en-GB"/>
        </w:rPr>
        <w:t>Persons with disabilities should not be institutionalized as a consequence of quarantine procedures beyond the minimum necessary to overcome the sickness stage and</w:t>
      </w:r>
      <w:r w:rsidR="0035530B">
        <w:rPr>
          <w:rFonts w:cstheme="minorHAnsi"/>
          <w:lang w:val="en-GB"/>
        </w:rPr>
        <w:t xml:space="preserve"> such actions should be carried out</w:t>
      </w:r>
      <w:r w:rsidRPr="00FD04E7">
        <w:rPr>
          <w:rFonts w:cstheme="minorHAnsi"/>
          <w:lang w:val="en-GB"/>
        </w:rPr>
        <w:t xml:space="preserve"> on an equal basis with others. </w:t>
      </w:r>
    </w:p>
    <w:p w14:paraId="2070FABC" w14:textId="566CDC83" w:rsidR="00E24202" w:rsidRPr="00FD04E7" w:rsidRDefault="00E24202" w:rsidP="00E24202">
      <w:pPr>
        <w:pStyle w:val="ListBullet"/>
        <w:numPr>
          <w:ilvl w:val="0"/>
          <w:numId w:val="18"/>
        </w:numPr>
        <w:rPr>
          <w:rFonts w:cstheme="minorHAnsi"/>
          <w:lang w:val="en-GB"/>
        </w:rPr>
      </w:pPr>
      <w:r w:rsidRPr="00FD04E7">
        <w:rPr>
          <w:rFonts w:cstheme="minorHAnsi"/>
          <w:lang w:val="en-GB"/>
        </w:rPr>
        <w:t>Any disruptions in social services should have the least impact possible on persons with disabilities</w:t>
      </w:r>
      <w:r w:rsidR="00713F6D">
        <w:rPr>
          <w:rFonts w:cstheme="minorHAnsi"/>
          <w:lang w:val="en-GB"/>
        </w:rPr>
        <w:t>.</w:t>
      </w:r>
    </w:p>
    <w:p w14:paraId="294FBD50"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 xml:space="preserve">Support family and social networks, in case of being quarantined, should be replaced by other networks or services. </w:t>
      </w:r>
    </w:p>
    <w:p w14:paraId="731E76AF" w14:textId="77777777" w:rsidR="00E24202" w:rsidRPr="00FD04E7" w:rsidRDefault="00E24202" w:rsidP="00E24202">
      <w:pPr>
        <w:shd w:val="clear" w:color="auto" w:fill="FFFFFF"/>
        <w:spacing w:before="100" w:beforeAutospacing="1" w:after="100" w:afterAutospacing="1" w:line="288" w:lineRule="atLeast"/>
        <w:rPr>
          <w:rFonts w:cstheme="minorHAnsi"/>
          <w:b/>
          <w:bCs/>
          <w:lang w:val="en-GB"/>
        </w:rPr>
      </w:pPr>
      <w:r w:rsidRPr="00FD04E7">
        <w:rPr>
          <w:rFonts w:cstheme="minorHAnsi"/>
          <w:b/>
          <w:bCs/>
          <w:lang w:val="en-GB"/>
        </w:rPr>
        <w:t>Recommendation 6: During quarantine, support services, personal assistance, physical and communication accessibility must be ensured</w:t>
      </w:r>
    </w:p>
    <w:p w14:paraId="72BC027E"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 xml:space="preserve">Quarantined persons with disabilities must have access to interpretation and support services, either through externally provided services or through their family and social network; </w:t>
      </w:r>
    </w:p>
    <w:p w14:paraId="31B8A3C5" w14:textId="295463C2" w:rsidR="00E24202" w:rsidRPr="00FD04E7" w:rsidRDefault="00E24202" w:rsidP="00E24202">
      <w:pPr>
        <w:pStyle w:val="ListBullet"/>
        <w:numPr>
          <w:ilvl w:val="0"/>
          <w:numId w:val="18"/>
        </w:numPr>
        <w:rPr>
          <w:rFonts w:cstheme="minorHAnsi"/>
          <w:lang w:val="en-GB"/>
        </w:rPr>
      </w:pPr>
      <w:r w:rsidRPr="00FD04E7">
        <w:rPr>
          <w:rFonts w:cstheme="minorHAnsi"/>
          <w:lang w:val="en-GB"/>
        </w:rPr>
        <w:t xml:space="preserve">Personal assistants, support workers or interpreters shall accompany them in quarantine, upon both parties agreement and subject to adoption of all protective measures; </w:t>
      </w:r>
    </w:p>
    <w:p w14:paraId="136F8A1F"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Personal assistants, support workers or interpreters should be proactively tested for COVID 19 to minimize the risk of spreading the virus to persons with disabilities</w:t>
      </w:r>
    </w:p>
    <w:p w14:paraId="39127AAA"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 xml:space="preserve">Remote work or education services must be equally accessible for employees/students with disabilities. </w:t>
      </w:r>
    </w:p>
    <w:p w14:paraId="14F89677" w14:textId="77777777" w:rsidR="00E24202" w:rsidRPr="00FD04E7" w:rsidRDefault="00E24202" w:rsidP="00E24202">
      <w:pPr>
        <w:shd w:val="clear" w:color="auto" w:fill="FFFFFF"/>
        <w:spacing w:before="100" w:beforeAutospacing="1" w:after="100" w:afterAutospacing="1" w:line="288" w:lineRule="atLeast"/>
        <w:rPr>
          <w:rFonts w:cstheme="minorHAnsi"/>
          <w:b/>
          <w:bCs/>
          <w:lang w:val="en-GB"/>
        </w:rPr>
      </w:pPr>
      <w:r w:rsidRPr="00FD04E7">
        <w:rPr>
          <w:rFonts w:cstheme="minorHAnsi"/>
          <w:b/>
          <w:bCs/>
          <w:lang w:val="en-GB"/>
        </w:rPr>
        <w:t>Recommendation 7: Measures of public restrictions must consider persons with disabilities on an equal basis with others</w:t>
      </w:r>
    </w:p>
    <w:p w14:paraId="1FB10A61"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 xml:space="preserve">In case of public restriction measures, persons with disabilities must be supported to meet their daily living requirements, including access to food (as needed with specific dietary requirements), housing, healthcare, in-home, school and community support, as well as maintaining employment and access to accessible transportation. </w:t>
      </w:r>
    </w:p>
    <w:p w14:paraId="65E7F916"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 xml:space="preserve">Government planners must consider that mobility and business restrictions disproportionately impact persons with reduced mobility and other persons with disabilities and allow for adaptations. For example, Australia has reserved specific opening hours in supermarket for persons with disabilities and older persons </w:t>
      </w:r>
    </w:p>
    <w:p w14:paraId="0F4BB6A2"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 xml:space="preserve">Providers of support services must have the personal protective equipment and instructions needed to minimize exposure and spread of infection, as well as should be proactively tested for the virus. </w:t>
      </w:r>
    </w:p>
    <w:p w14:paraId="66AA1F12" w14:textId="03D0C86D" w:rsidR="00E24202" w:rsidRPr="00FD04E7" w:rsidRDefault="00E24202" w:rsidP="00E24202">
      <w:pPr>
        <w:pStyle w:val="ListBullet"/>
        <w:numPr>
          <w:ilvl w:val="0"/>
          <w:numId w:val="18"/>
        </w:numPr>
        <w:rPr>
          <w:rFonts w:cstheme="minorHAnsi"/>
          <w:lang w:val="en-GB"/>
        </w:rPr>
      </w:pPr>
      <w:r w:rsidRPr="00FD04E7">
        <w:rPr>
          <w:rFonts w:cstheme="minorHAnsi"/>
          <w:lang w:val="en-GB"/>
        </w:rPr>
        <w:t xml:space="preserve">In case of food or hygienic products shortage, immediate measures must be taken to ensure that people with disabilities are </w:t>
      </w:r>
      <w:r w:rsidR="00660D03">
        <w:rPr>
          <w:rFonts w:cstheme="minorHAnsi"/>
          <w:lang w:val="en-GB"/>
        </w:rPr>
        <w:t>prioriti</w:t>
      </w:r>
      <w:r w:rsidR="00713F6D">
        <w:rPr>
          <w:rFonts w:cstheme="minorHAnsi"/>
          <w:lang w:val="en-GB"/>
        </w:rPr>
        <w:t>z</w:t>
      </w:r>
      <w:r w:rsidR="00660D03">
        <w:rPr>
          <w:rFonts w:cstheme="minorHAnsi"/>
          <w:lang w:val="en-GB"/>
        </w:rPr>
        <w:t>ed,</w:t>
      </w:r>
      <w:r w:rsidRPr="00FD04E7">
        <w:rPr>
          <w:rFonts w:cstheme="minorHAnsi"/>
          <w:lang w:val="en-GB"/>
        </w:rPr>
        <w:t xml:space="preserve"> as they will be </w:t>
      </w:r>
      <w:r w:rsidR="00660D03">
        <w:rPr>
          <w:rFonts w:cstheme="minorHAnsi"/>
          <w:lang w:val="en-GB"/>
        </w:rPr>
        <w:t>among those first affected.</w:t>
      </w:r>
      <w:r w:rsidRPr="00FD04E7">
        <w:rPr>
          <w:rFonts w:cstheme="minorHAnsi"/>
          <w:lang w:val="en-GB"/>
        </w:rPr>
        <w:t xml:space="preserve"> </w:t>
      </w:r>
    </w:p>
    <w:p w14:paraId="2776D48D" w14:textId="7BA5AF6C" w:rsidR="00E24202" w:rsidRPr="00FD04E7" w:rsidRDefault="00E24202" w:rsidP="00E24202">
      <w:pPr>
        <w:pStyle w:val="ListBullet"/>
        <w:numPr>
          <w:ilvl w:val="0"/>
          <w:numId w:val="18"/>
        </w:numPr>
        <w:rPr>
          <w:rFonts w:cstheme="minorHAnsi"/>
          <w:lang w:val="en-GB"/>
        </w:rPr>
      </w:pPr>
      <w:r w:rsidRPr="00FD04E7">
        <w:rPr>
          <w:rFonts w:cstheme="minorHAnsi"/>
          <w:lang w:val="en-GB"/>
        </w:rPr>
        <w:t xml:space="preserve">Any program to provide support to marginalized groups should be disability-inclusive, e.g.  distribution of cash may not be a good option for many people with disabilities as they may not be able to find items they need due to accessibility barriers. </w:t>
      </w:r>
    </w:p>
    <w:p w14:paraId="14C4E4FD" w14:textId="40C78233" w:rsidR="00E24202" w:rsidRPr="00FD04E7" w:rsidRDefault="00E24202" w:rsidP="00E24202">
      <w:pPr>
        <w:shd w:val="clear" w:color="auto" w:fill="FFFFFF"/>
        <w:spacing w:before="100" w:beforeAutospacing="1" w:after="100" w:afterAutospacing="1" w:line="288" w:lineRule="atLeast"/>
        <w:rPr>
          <w:rFonts w:cstheme="minorHAnsi"/>
          <w:shd w:val="clear" w:color="auto" w:fill="FFFFFF"/>
          <w:lang w:val="en-GB"/>
        </w:rPr>
      </w:pPr>
      <w:r w:rsidRPr="00FD04E7">
        <w:rPr>
          <w:rFonts w:cstheme="minorHAnsi"/>
          <w:b/>
          <w:bCs/>
          <w:lang w:val="en-GB"/>
        </w:rPr>
        <w:lastRenderedPageBreak/>
        <w:t>Recommendation 8: Persons with disabilities in need of health services due to COVID19 cannot be</w:t>
      </w:r>
      <w:r w:rsidR="00713F6D">
        <w:rPr>
          <w:rFonts w:cstheme="minorHAnsi"/>
          <w:b/>
          <w:bCs/>
          <w:lang w:val="en-GB"/>
        </w:rPr>
        <w:t xml:space="preserve"> discriminated against</w:t>
      </w:r>
      <w:r w:rsidRPr="00FD04E7">
        <w:rPr>
          <w:rFonts w:cstheme="minorHAnsi"/>
          <w:b/>
          <w:bCs/>
          <w:lang w:val="en-GB"/>
        </w:rPr>
        <w:t xml:space="preserve"> on the ground of their disability</w:t>
      </w:r>
    </w:p>
    <w:p w14:paraId="4A07AE7C" w14:textId="5C792208" w:rsidR="00E24202" w:rsidRPr="00713F6D" w:rsidRDefault="00E24202" w:rsidP="00E24202">
      <w:pPr>
        <w:pStyle w:val="ListBullet"/>
        <w:numPr>
          <w:ilvl w:val="0"/>
          <w:numId w:val="18"/>
        </w:numPr>
        <w:rPr>
          <w:rFonts w:cstheme="minorHAnsi"/>
          <w:b/>
          <w:u w:val="single"/>
          <w:lang w:val="en-GB"/>
        </w:rPr>
      </w:pPr>
      <w:r w:rsidRPr="00FD04E7">
        <w:rPr>
          <w:rFonts w:cstheme="minorHAnsi"/>
          <w:shd w:val="clear" w:color="auto" w:fill="FFFFFF"/>
          <w:lang w:val="en-GB"/>
        </w:rPr>
        <w:t xml:space="preserve">Instructions to health care personnel should highlight equal dignity for people with disabilities and include safeguards against disability-based discrimination. </w:t>
      </w:r>
    </w:p>
    <w:p w14:paraId="2E1B7415" w14:textId="1EE60218" w:rsidR="00713F6D" w:rsidRPr="00713F6D" w:rsidRDefault="00713F6D" w:rsidP="00713F6D">
      <w:pPr>
        <w:pStyle w:val="ListBullet"/>
        <w:numPr>
          <w:ilvl w:val="0"/>
          <w:numId w:val="18"/>
        </w:numPr>
        <w:rPr>
          <w:rFonts w:cstheme="minorHAnsi"/>
          <w:b/>
          <w:u w:val="single"/>
          <w:lang w:val="en-GB"/>
        </w:rPr>
      </w:pPr>
      <w:r w:rsidRPr="00FD04E7">
        <w:rPr>
          <w:rFonts w:cstheme="minorHAnsi"/>
          <w:shd w:val="clear" w:color="auto" w:fill="FFFFFF"/>
          <w:lang w:val="en-GB"/>
        </w:rPr>
        <w:t>Public health communication messages must be respectful and non-discriminatory.</w:t>
      </w:r>
    </w:p>
    <w:p w14:paraId="23BDB05A" w14:textId="6DF73FB3" w:rsidR="00E24202" w:rsidRPr="00FD04E7" w:rsidRDefault="00E24202" w:rsidP="00E24202">
      <w:pPr>
        <w:pStyle w:val="ListBullet"/>
        <w:numPr>
          <w:ilvl w:val="0"/>
          <w:numId w:val="18"/>
        </w:numPr>
        <w:rPr>
          <w:rFonts w:cstheme="minorHAnsi"/>
          <w:lang w:val="en-GB"/>
        </w:rPr>
      </w:pPr>
      <w:r w:rsidRPr="00FD04E7">
        <w:rPr>
          <w:rFonts w:cstheme="minorHAnsi"/>
          <w:lang w:val="en-GB"/>
        </w:rPr>
        <w:t>While we appreciate that the urgency is to deal with the fast-rising number of people infected and in need of hospitalization, rapid awareness-raising of key medical personnel is essential to ensure that persons with disabilities are not left behind or deprioritized in the response to the crisis</w:t>
      </w:r>
      <w:r w:rsidR="00660D03">
        <w:rPr>
          <w:rFonts w:cstheme="minorHAnsi"/>
          <w:lang w:val="en-GB"/>
        </w:rPr>
        <w:t xml:space="preserve"> on a systematic or ad hoc basis</w:t>
      </w:r>
      <w:r w:rsidRPr="00FD04E7">
        <w:rPr>
          <w:rFonts w:cstheme="minorHAnsi"/>
          <w:lang w:val="en-GB"/>
        </w:rPr>
        <w:t>.</w:t>
      </w:r>
    </w:p>
    <w:p w14:paraId="3F23365A" w14:textId="77777777" w:rsidR="00E24202" w:rsidRPr="00FD04E7" w:rsidRDefault="00E24202" w:rsidP="00E24202">
      <w:pPr>
        <w:pStyle w:val="ListBullet"/>
        <w:numPr>
          <w:ilvl w:val="0"/>
          <w:numId w:val="18"/>
        </w:numPr>
        <w:rPr>
          <w:rFonts w:cstheme="minorHAnsi"/>
          <w:b/>
          <w:u w:val="single"/>
          <w:lang w:val="en-GB"/>
        </w:rPr>
      </w:pPr>
      <w:r w:rsidRPr="00FD04E7">
        <w:rPr>
          <w:rFonts w:cstheme="minorHAnsi"/>
          <w:shd w:val="clear" w:color="auto" w:fill="FFFFFF"/>
          <w:lang w:val="en-GB"/>
        </w:rPr>
        <w:t xml:space="preserve">Communications about the stage of the disease and any procedures must be to the person themselves and through accessible means and modes of communication. </w:t>
      </w:r>
    </w:p>
    <w:p w14:paraId="44E8E360" w14:textId="77777777" w:rsidR="00E24202" w:rsidRPr="00FD04E7" w:rsidRDefault="00E24202" w:rsidP="00E24202">
      <w:pPr>
        <w:pStyle w:val="ListBullet"/>
        <w:numPr>
          <w:ilvl w:val="0"/>
          <w:numId w:val="0"/>
        </w:numPr>
        <w:tabs>
          <w:tab w:val="left" w:pos="708"/>
        </w:tabs>
        <w:rPr>
          <w:rFonts w:cstheme="minorHAnsi"/>
          <w:lang w:val="en-GB"/>
        </w:rPr>
      </w:pPr>
    </w:p>
    <w:p w14:paraId="3567BB0F" w14:textId="77777777" w:rsidR="00E24202" w:rsidRPr="00FD04E7" w:rsidRDefault="00E24202" w:rsidP="00E24202">
      <w:pPr>
        <w:pStyle w:val="ListBullet"/>
        <w:numPr>
          <w:ilvl w:val="0"/>
          <w:numId w:val="0"/>
        </w:numPr>
        <w:tabs>
          <w:tab w:val="left" w:pos="708"/>
        </w:tabs>
        <w:rPr>
          <w:rFonts w:cstheme="minorHAnsi"/>
          <w:b/>
          <w:bCs/>
          <w:lang w:val="en-GB"/>
        </w:rPr>
      </w:pPr>
      <w:r w:rsidRPr="00FD04E7">
        <w:rPr>
          <w:rFonts w:cstheme="minorHAnsi"/>
          <w:b/>
          <w:bCs/>
          <w:lang w:val="en-GB"/>
        </w:rPr>
        <w:t xml:space="preserve">Recommendation 9: OPDs can and should play a key role in raising awareness of persons with disabilities and their families. </w:t>
      </w:r>
    </w:p>
    <w:p w14:paraId="677FF87A" w14:textId="77777777" w:rsidR="00E24202" w:rsidRPr="00FD04E7" w:rsidRDefault="00E24202" w:rsidP="00E24202">
      <w:pPr>
        <w:pStyle w:val="ListBullet"/>
        <w:numPr>
          <w:ilvl w:val="0"/>
          <w:numId w:val="0"/>
        </w:numPr>
        <w:tabs>
          <w:tab w:val="left" w:pos="708"/>
        </w:tabs>
        <w:rPr>
          <w:rFonts w:cstheme="minorHAnsi"/>
          <w:b/>
          <w:bCs/>
          <w:lang w:val="en-GB"/>
        </w:rPr>
      </w:pPr>
    </w:p>
    <w:p w14:paraId="336C4BD8"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Prepare COVID19 instructions and guidance in various accessible formats in local languages; please see existing resources produced by IDA members and their members, which we will keep updating</w:t>
      </w:r>
    </w:p>
    <w:p w14:paraId="5CA66A0B"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 xml:space="preserve">Help establish peer-support networks to facilitate support in case of quarantine; </w:t>
      </w:r>
    </w:p>
    <w:p w14:paraId="773F1A42"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 xml:space="preserve">Organize trainings on disability inclusion for responders </w:t>
      </w:r>
    </w:p>
    <w:p w14:paraId="4ADF5641" w14:textId="77777777" w:rsidR="00E24202" w:rsidRPr="00FD04E7" w:rsidRDefault="00E24202" w:rsidP="00E24202">
      <w:pPr>
        <w:pStyle w:val="ListBullet"/>
        <w:numPr>
          <w:ilvl w:val="0"/>
          <w:numId w:val="18"/>
        </w:numPr>
        <w:rPr>
          <w:rFonts w:cstheme="minorHAnsi"/>
          <w:lang w:val="en-GB"/>
        </w:rPr>
      </w:pPr>
      <w:r w:rsidRPr="00FD04E7">
        <w:rPr>
          <w:rFonts w:cstheme="minorHAnsi"/>
          <w:lang w:val="en-GB"/>
        </w:rPr>
        <w:t xml:space="preserve">Compile an updated list of accessible health care and other essential service providers in each area </w:t>
      </w:r>
    </w:p>
    <w:p w14:paraId="74FCD440" w14:textId="77777777" w:rsidR="00E24202" w:rsidRPr="00FD04E7" w:rsidRDefault="00E24202" w:rsidP="00E24202">
      <w:pPr>
        <w:pStyle w:val="ListBullet"/>
        <w:numPr>
          <w:ilvl w:val="0"/>
          <w:numId w:val="0"/>
        </w:numPr>
        <w:tabs>
          <w:tab w:val="left" w:pos="708"/>
        </w:tabs>
        <w:ind w:left="360"/>
        <w:rPr>
          <w:rFonts w:cstheme="minorHAnsi"/>
          <w:lang w:val="en-GB"/>
        </w:rPr>
      </w:pPr>
    </w:p>
    <w:p w14:paraId="226796E2" w14:textId="77777777" w:rsidR="00E24202" w:rsidRPr="00FD04E7" w:rsidRDefault="00E24202" w:rsidP="00E24202">
      <w:pPr>
        <w:pStyle w:val="ListBullet"/>
        <w:numPr>
          <w:ilvl w:val="0"/>
          <w:numId w:val="0"/>
        </w:numPr>
        <w:tabs>
          <w:tab w:val="left" w:pos="708"/>
        </w:tabs>
        <w:ind w:left="360" w:hanging="360"/>
        <w:rPr>
          <w:rFonts w:cstheme="minorHAnsi"/>
          <w:b/>
          <w:bCs/>
          <w:lang w:val="en-GB"/>
        </w:rPr>
      </w:pPr>
      <w:r w:rsidRPr="00FD04E7">
        <w:rPr>
          <w:rFonts w:cstheme="minorHAnsi"/>
          <w:b/>
          <w:bCs/>
          <w:lang w:val="en-GB"/>
        </w:rPr>
        <w:t>Recommendation 10: OPDs can and should play a key role in advocating for disability-inclusive response to the COVID19 crisis</w:t>
      </w:r>
      <w:bookmarkEnd w:id="24"/>
    </w:p>
    <w:p w14:paraId="7B142AD9" w14:textId="2B3CBD65" w:rsidR="00E24202" w:rsidRPr="00FD04E7" w:rsidRDefault="00E24202" w:rsidP="00E24202">
      <w:pPr>
        <w:pStyle w:val="ListBullet"/>
        <w:numPr>
          <w:ilvl w:val="0"/>
          <w:numId w:val="18"/>
        </w:numPr>
        <w:rPr>
          <w:rFonts w:cstheme="minorHAnsi"/>
          <w:lang w:val="en-GB"/>
        </w:rPr>
      </w:pPr>
      <w:r w:rsidRPr="00FD04E7">
        <w:rPr>
          <w:rFonts w:cstheme="minorHAnsi"/>
          <w:lang w:val="en-GB"/>
        </w:rPr>
        <w:t>Proactively reach</w:t>
      </w:r>
      <w:r w:rsidR="00660D03">
        <w:rPr>
          <w:rFonts w:cstheme="minorHAnsi"/>
          <w:lang w:val="en-GB"/>
        </w:rPr>
        <w:t xml:space="preserve"> out</w:t>
      </w:r>
      <w:r w:rsidRPr="00FD04E7">
        <w:rPr>
          <w:rFonts w:cstheme="minorHAnsi"/>
          <w:lang w:val="en-GB"/>
        </w:rPr>
        <w:t xml:space="preserve"> to all related authorities including the health system, the national media, the crisis response headquarters and education authorities to:</w:t>
      </w:r>
    </w:p>
    <w:p w14:paraId="4FBCC35D" w14:textId="77777777" w:rsidR="00E24202" w:rsidRPr="00FD04E7" w:rsidRDefault="00E24202" w:rsidP="00713F6D">
      <w:pPr>
        <w:pStyle w:val="ListBullet"/>
        <w:numPr>
          <w:ilvl w:val="0"/>
          <w:numId w:val="18"/>
        </w:numPr>
        <w:tabs>
          <w:tab w:val="clear" w:pos="360"/>
          <w:tab w:val="num" w:pos="720"/>
        </w:tabs>
        <w:ind w:left="720"/>
        <w:rPr>
          <w:rFonts w:cstheme="minorHAnsi"/>
          <w:lang w:val="en-GB"/>
        </w:rPr>
      </w:pPr>
      <w:r w:rsidRPr="00FD04E7">
        <w:rPr>
          <w:rFonts w:cstheme="minorHAnsi"/>
          <w:lang w:val="en-GB"/>
        </w:rPr>
        <w:t xml:space="preserve">Sensitize authorities on how the pandemic as well as the response plans may disproportionally impact persons with disabilities; </w:t>
      </w:r>
    </w:p>
    <w:p w14:paraId="179F9C6E" w14:textId="30DEDA3B" w:rsidR="00E24202" w:rsidRPr="00FD04E7" w:rsidRDefault="00E24202" w:rsidP="00713F6D">
      <w:pPr>
        <w:pStyle w:val="ListBullet"/>
        <w:numPr>
          <w:ilvl w:val="0"/>
          <w:numId w:val="18"/>
        </w:numPr>
        <w:tabs>
          <w:tab w:val="clear" w:pos="360"/>
          <w:tab w:val="num" w:pos="720"/>
        </w:tabs>
        <w:ind w:left="720"/>
        <w:rPr>
          <w:rFonts w:cstheme="minorHAnsi"/>
          <w:lang w:val="en-GB"/>
        </w:rPr>
      </w:pPr>
      <w:r w:rsidRPr="00FD04E7">
        <w:rPr>
          <w:rFonts w:cstheme="minorHAnsi"/>
          <w:lang w:val="en-GB"/>
        </w:rPr>
        <w:t>Offer tailored practical tips on how to address accessibility barriers or specific measures required by persons with disabilities</w:t>
      </w:r>
      <w:r w:rsidR="00713F6D">
        <w:rPr>
          <w:rFonts w:cstheme="minorHAnsi"/>
          <w:lang w:val="en-GB"/>
        </w:rPr>
        <w:t>; and</w:t>
      </w:r>
    </w:p>
    <w:p w14:paraId="4794377A" w14:textId="77777777" w:rsidR="00713F6D" w:rsidRDefault="00E24202" w:rsidP="00713F6D">
      <w:pPr>
        <w:pStyle w:val="ListBullet"/>
        <w:numPr>
          <w:ilvl w:val="0"/>
          <w:numId w:val="18"/>
        </w:numPr>
        <w:tabs>
          <w:tab w:val="clear" w:pos="360"/>
          <w:tab w:val="num" w:pos="720"/>
        </w:tabs>
        <w:ind w:left="720"/>
        <w:rPr>
          <w:rFonts w:cstheme="minorHAnsi"/>
          <w:lang w:val="en-GB"/>
        </w:rPr>
      </w:pPr>
      <w:r w:rsidRPr="00FD04E7">
        <w:rPr>
          <w:rFonts w:cstheme="minorHAnsi"/>
          <w:lang w:val="en-GB"/>
        </w:rPr>
        <w:t>Based on available resources and capacity, contribute to the national or local emergency response.</w:t>
      </w:r>
    </w:p>
    <w:p w14:paraId="3B4C17E1" w14:textId="77777777" w:rsidR="00713F6D" w:rsidRDefault="00713F6D" w:rsidP="00713F6D">
      <w:pPr>
        <w:pStyle w:val="ListBullet"/>
        <w:numPr>
          <w:ilvl w:val="0"/>
          <w:numId w:val="0"/>
        </w:numPr>
        <w:ind w:left="360" w:hanging="360"/>
      </w:pPr>
    </w:p>
    <w:p w14:paraId="2C6E60E4" w14:textId="7A428EC1" w:rsidR="00713F6D" w:rsidRPr="00713F6D" w:rsidRDefault="000B2C50" w:rsidP="00713F6D">
      <w:pPr>
        <w:rPr>
          <w:lang w:val="en-GB"/>
        </w:rPr>
      </w:pPr>
      <w:r>
        <w:rPr>
          <w:lang w:val="en-GB"/>
        </w:rPr>
        <w:t xml:space="preserve">Check </w:t>
      </w:r>
      <w:hyperlink r:id="rId16" w:history="1">
        <w:r w:rsidRPr="000B2C50">
          <w:rPr>
            <w:rStyle w:val="Hyperlink"/>
            <w:lang w:val="en-GB"/>
          </w:rPr>
          <w:t>here for</w:t>
        </w:r>
        <w:r w:rsidR="00713F6D" w:rsidRPr="000B2C50">
          <w:rPr>
            <w:rStyle w:val="Hyperlink"/>
            <w:lang w:val="en-GB"/>
          </w:rPr>
          <w:t xml:space="preserve"> updated resources</w:t>
        </w:r>
      </w:hyperlink>
      <w:r w:rsidR="00713F6D" w:rsidRPr="00713F6D">
        <w:rPr>
          <w:lang w:val="en-GB"/>
        </w:rPr>
        <w:t xml:space="preserve"> on inclusion of persons with disabilities in COVID-19 prevention and response</w:t>
      </w:r>
      <w:r>
        <w:rPr>
          <w:lang w:val="en-GB"/>
        </w:rPr>
        <w:t>.</w:t>
      </w:r>
    </w:p>
    <w:p w14:paraId="78095891" w14:textId="77777777" w:rsidR="00713F6D" w:rsidRPr="00713F6D" w:rsidRDefault="00713F6D" w:rsidP="00713F6D">
      <w:pPr>
        <w:pStyle w:val="ListBullet"/>
        <w:numPr>
          <w:ilvl w:val="0"/>
          <w:numId w:val="0"/>
        </w:numPr>
        <w:ind w:left="360"/>
        <w:rPr>
          <w:rFonts w:ascii="Times New Roman" w:hAnsi="Times New Roman" w:cs="Times New Roman"/>
          <w:sz w:val="24"/>
          <w:szCs w:val="24"/>
        </w:rPr>
      </w:pPr>
    </w:p>
    <w:p w14:paraId="5CCFC516" w14:textId="77777777" w:rsidR="004C0589" w:rsidRPr="00FD04E7" w:rsidRDefault="004C0589" w:rsidP="004C0589">
      <w:pPr>
        <w:rPr>
          <w:lang w:val="en-GB"/>
        </w:rPr>
      </w:pPr>
    </w:p>
    <w:sectPr w:rsidR="004C0589" w:rsidRPr="00FD04E7" w:rsidSect="009B7818">
      <w:headerReference w:type="default" r:id="rId17"/>
      <w:footerReference w:type="default" r:id="rId1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6D12" w16cex:dateUtc="2021-02-01T17:05:00Z"/>
  <w16cex:commentExtensible w16cex:durableId="23C26DEE" w16cex:dateUtc="2021-02-01T17:09:00Z"/>
  <w16cex:commentExtensible w16cex:durableId="23C26F40" w16cex:dateUtc="2021-02-01T17:14:00Z"/>
  <w16cex:commentExtensible w16cex:durableId="23C27001" w16cex:dateUtc="2021-02-01T17:18:00Z"/>
  <w16cex:commentExtensible w16cex:durableId="23C270F9" w16cex:dateUtc="2021-02-01T17:22:00Z"/>
  <w16cex:commentExtensible w16cex:durableId="23C270E2" w16cex:dateUtc="2021-02-01T17:21:00Z"/>
  <w16cex:commentExtensible w16cex:durableId="23C27179" w16cex:dateUtc="2021-02-01T17: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2B976" w14:textId="77777777" w:rsidR="0032744F" w:rsidRDefault="0032744F" w:rsidP="00CE2578">
      <w:pPr>
        <w:spacing w:after="0" w:line="240" w:lineRule="auto"/>
      </w:pPr>
      <w:r>
        <w:separator/>
      </w:r>
    </w:p>
  </w:endnote>
  <w:endnote w:type="continuationSeparator" w:id="0">
    <w:p w14:paraId="7C93B57E" w14:textId="77777777" w:rsidR="0032744F" w:rsidRDefault="0032744F" w:rsidP="00CE2578">
      <w:pPr>
        <w:spacing w:after="0" w:line="240" w:lineRule="auto"/>
      </w:pPr>
      <w:r>
        <w:continuationSeparator/>
      </w:r>
    </w:p>
  </w:endnote>
  <w:endnote w:type="continuationNotice" w:id="1">
    <w:p w14:paraId="17403429" w14:textId="77777777" w:rsidR="0032744F" w:rsidRDefault="003274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D6E1" w14:textId="77777777" w:rsidR="00713F6D" w:rsidRDefault="00713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3F245" w14:textId="77777777" w:rsidR="0032744F" w:rsidRDefault="0032744F" w:rsidP="00CE2578">
      <w:pPr>
        <w:spacing w:after="0" w:line="240" w:lineRule="auto"/>
      </w:pPr>
      <w:r>
        <w:separator/>
      </w:r>
    </w:p>
  </w:footnote>
  <w:footnote w:type="continuationSeparator" w:id="0">
    <w:p w14:paraId="77A4D83F" w14:textId="77777777" w:rsidR="0032744F" w:rsidRDefault="0032744F" w:rsidP="00CE2578">
      <w:pPr>
        <w:spacing w:after="0" w:line="240" w:lineRule="auto"/>
      </w:pPr>
      <w:r>
        <w:continuationSeparator/>
      </w:r>
    </w:p>
  </w:footnote>
  <w:footnote w:type="continuationNotice" w:id="1">
    <w:p w14:paraId="102588A9" w14:textId="77777777" w:rsidR="0032744F" w:rsidRDefault="0032744F">
      <w:pPr>
        <w:spacing w:after="0" w:line="240" w:lineRule="auto"/>
      </w:pPr>
    </w:p>
  </w:footnote>
  <w:footnote w:id="2">
    <w:p w14:paraId="4EB17DF9" w14:textId="77777777" w:rsidR="00713F6D" w:rsidRPr="00B54BE3" w:rsidRDefault="00713F6D">
      <w:pPr>
        <w:pStyle w:val="FootnoteText"/>
        <w:rPr>
          <w:lang w:val="en-GB"/>
        </w:rPr>
      </w:pPr>
      <w:r>
        <w:rPr>
          <w:rStyle w:val="FootnoteReference"/>
        </w:rPr>
        <w:footnoteRef/>
      </w:r>
      <w:r w:rsidRPr="0035530B">
        <w:rPr>
          <w:lang w:val="en-US"/>
        </w:rPr>
        <w:t xml:space="preserve"> The United Nations (UN) collected many of these proposals in a ‘menu of options’ (UN, 2020, ‘</w:t>
      </w:r>
      <w:hyperlink r:id="rId1" w:history="1">
        <w:r w:rsidRPr="0035530B">
          <w:rPr>
            <w:rStyle w:val="Hyperlink"/>
            <w:lang w:val="en-US"/>
          </w:rPr>
          <w:t>Financing for development in the era of COVID-19 and beyond </w:t>
        </w:r>
      </w:hyperlink>
      <w:r w:rsidRPr="0035530B">
        <w:rPr>
          <w:lang w:val="en-US"/>
        </w:rPr>
        <w:t xml:space="preserve">: menu of options for the consideration of Heads of State and Government’ - Part II). Civil society proposals and analysis are brought together on the </w:t>
      </w:r>
      <w:hyperlink r:id="rId2" w:history="1">
        <w:r w:rsidRPr="0035530B">
          <w:rPr>
            <w:rStyle w:val="Hyperlink"/>
            <w:lang w:val="en-US"/>
          </w:rPr>
          <w:t>Civil Society Financing for Development Group</w:t>
        </w:r>
      </w:hyperlink>
      <w:r w:rsidRPr="0035530B">
        <w:rPr>
          <w:lang w:val="en-US"/>
        </w:rPr>
        <w:t xml:space="preserve"> and </w:t>
      </w:r>
      <w:hyperlink r:id="rId3" w:history="1">
        <w:r w:rsidRPr="0035530B">
          <w:rPr>
            <w:rStyle w:val="Hyperlink"/>
            <w:lang w:val="en-US"/>
          </w:rPr>
          <w:t>Campaign of Campaigns</w:t>
        </w:r>
      </w:hyperlink>
      <w:r w:rsidRPr="0035530B">
        <w:rPr>
          <w:lang w:val="en-US"/>
        </w:rPr>
        <w:t xml:space="preserve"> websites.</w:t>
      </w:r>
    </w:p>
  </w:footnote>
  <w:footnote w:id="3">
    <w:p w14:paraId="0A3A909A" w14:textId="77777777" w:rsidR="00713F6D" w:rsidRPr="00D57008" w:rsidRDefault="00713F6D">
      <w:pPr>
        <w:pStyle w:val="FootnoteText"/>
        <w:rPr>
          <w:lang w:val="en-GB"/>
        </w:rPr>
      </w:pPr>
      <w:r>
        <w:rPr>
          <w:rStyle w:val="FootnoteReference"/>
        </w:rPr>
        <w:footnoteRef/>
      </w:r>
      <w:r w:rsidRPr="0035530B">
        <w:rPr>
          <w:lang w:val="en-US"/>
        </w:rPr>
        <w:t xml:space="preserve"> </w:t>
      </w:r>
      <w:r>
        <w:rPr>
          <w:lang w:val="en-GB"/>
        </w:rPr>
        <w:t xml:space="preserve">World Bank/World Health Organisation, 2011, </w:t>
      </w:r>
      <w:hyperlink r:id="rId4" w:history="1">
        <w:r w:rsidRPr="007E4CCF">
          <w:rPr>
            <w:rStyle w:val="Hyperlink"/>
            <w:lang w:val="en-GB"/>
          </w:rPr>
          <w:t>World Report on Disability</w:t>
        </w:r>
      </w:hyperlink>
      <w:r>
        <w:rPr>
          <w:lang w:val="en-GB"/>
        </w:rPr>
        <w:t>, p.29</w:t>
      </w:r>
    </w:p>
  </w:footnote>
  <w:footnote w:id="4">
    <w:p w14:paraId="461D5D02" w14:textId="77777777" w:rsidR="00713F6D" w:rsidRPr="00ED16DF" w:rsidRDefault="00713F6D" w:rsidP="008661E3">
      <w:pPr>
        <w:pStyle w:val="FootnoteText"/>
        <w:rPr>
          <w:lang w:val="en-GB"/>
        </w:rPr>
      </w:pPr>
      <w:r>
        <w:rPr>
          <w:rStyle w:val="FootnoteReference"/>
        </w:rPr>
        <w:footnoteRef/>
      </w:r>
      <w:r w:rsidRPr="0035530B">
        <w:rPr>
          <w:lang w:val="en-US"/>
        </w:rPr>
        <w:t xml:space="preserve"> </w:t>
      </w:r>
      <w:hyperlink r:id="rId5" w:history="1">
        <w:r w:rsidRPr="00764D38">
          <w:rPr>
            <w:rStyle w:val="Hyperlink"/>
            <w:lang w:val="en-GB"/>
          </w:rPr>
          <w:t>United Nations Convention on the Rights of Persons with Disabilities</w:t>
        </w:r>
      </w:hyperlink>
      <w:r>
        <w:rPr>
          <w:lang w:val="en-GB"/>
        </w:rPr>
        <w:t>, Article 1</w:t>
      </w:r>
    </w:p>
  </w:footnote>
  <w:footnote w:id="5">
    <w:p w14:paraId="45853680" w14:textId="77777777" w:rsidR="00713F6D" w:rsidRPr="0035530B" w:rsidRDefault="00713F6D" w:rsidP="00B543EA">
      <w:pPr>
        <w:rPr>
          <w:rFonts w:ascii="Verdana" w:hAnsi="Verdana"/>
          <w:sz w:val="16"/>
          <w:szCs w:val="16"/>
          <w:lang w:val="en-GB"/>
        </w:rPr>
      </w:pPr>
      <w:r>
        <w:rPr>
          <w:rStyle w:val="FootnoteReference"/>
          <w:rFonts w:ascii="Verdana" w:hAnsi="Verdana"/>
          <w:sz w:val="16"/>
          <w:szCs w:val="16"/>
        </w:rPr>
        <w:footnoteRef/>
      </w:r>
      <w:r w:rsidRPr="0035530B">
        <w:rPr>
          <w:rFonts w:ascii="Verdana" w:hAnsi="Verdana"/>
          <w:sz w:val="16"/>
          <w:szCs w:val="16"/>
          <w:lang w:val="en-GB"/>
        </w:rPr>
        <w:t xml:space="preserve"> </w:t>
      </w:r>
      <w:hyperlink r:id="rId6" w:history="1">
        <w:r w:rsidRPr="0035530B">
          <w:rPr>
            <w:rStyle w:val="Hyperlink"/>
            <w:rFonts w:ascii="Verdana" w:hAnsi="Verdana"/>
            <w:sz w:val="16"/>
            <w:szCs w:val="16"/>
            <w:lang w:val="en-GB"/>
          </w:rPr>
          <w:t>www.internationaldisabilityalliance.org/sites/default/files/master_sgpwd_covid-19_report_-_repaired_via_365_june_22_2020finalfinal.docx</w:t>
        </w:r>
      </w:hyperlink>
    </w:p>
  </w:footnote>
  <w:footnote w:id="6">
    <w:p w14:paraId="0CDE1128" w14:textId="053C578D" w:rsidR="00713F6D" w:rsidRPr="00701F84" w:rsidRDefault="00713F6D">
      <w:pPr>
        <w:pStyle w:val="FootnoteText"/>
        <w:rPr>
          <w:lang w:val="en-GB"/>
        </w:rPr>
      </w:pPr>
      <w:r>
        <w:rPr>
          <w:rStyle w:val="FootnoteReference"/>
        </w:rPr>
        <w:footnoteRef/>
      </w:r>
      <w:r w:rsidRPr="0035530B">
        <w:rPr>
          <w:lang w:val="en-US"/>
        </w:rPr>
        <w:t xml:space="preserve"> United Kingdom Office for National Statistics, ‘</w:t>
      </w:r>
      <w:hyperlink r:id="rId7" w:history="1">
        <w:r w:rsidRPr="0035530B">
          <w:rPr>
            <w:rStyle w:val="Hyperlink"/>
            <w:lang w:val="en-US"/>
          </w:rPr>
          <w:t>Coronavirus (COVID-19) related deaths by disability status, England and Wales : 2 March to 14 July 2020</w:t>
        </w:r>
      </w:hyperlink>
      <w:r w:rsidRPr="0035530B">
        <w:rPr>
          <w:lang w:val="en-US"/>
        </w:rPr>
        <w:t xml:space="preserve">’. Please refer to this page for more detailed information on the methodology used, which if anything is likely to have under-estimated the true correlation between disability status and mortality rates. See also International Commission of Jurists, 2020, </w:t>
      </w:r>
      <w:hyperlink r:id="rId8" w:history="1">
        <w:r w:rsidRPr="0035530B">
          <w:rPr>
            <w:rStyle w:val="Hyperlink"/>
            <w:lang w:val="en-US"/>
          </w:rPr>
          <w:t>Living like people who die slowly : the need for right to health compliant COVID 19 responses</w:t>
        </w:r>
      </w:hyperlink>
      <w:r w:rsidRPr="0035530B">
        <w:rPr>
          <w:lang w:val="en-US"/>
        </w:rPr>
        <w:t>, pp.76-77.</w:t>
      </w:r>
    </w:p>
  </w:footnote>
  <w:footnote w:id="7">
    <w:p w14:paraId="0C84A14B" w14:textId="77777777" w:rsidR="00713F6D" w:rsidRPr="001610CD" w:rsidRDefault="00713F6D" w:rsidP="008661E3">
      <w:pPr>
        <w:pStyle w:val="FootnoteText"/>
        <w:rPr>
          <w:lang w:val="en-GB"/>
        </w:rPr>
      </w:pPr>
      <w:r>
        <w:rPr>
          <w:rStyle w:val="FootnoteReference"/>
        </w:rPr>
        <w:footnoteRef/>
      </w:r>
      <w:r w:rsidRPr="0035530B">
        <w:rPr>
          <w:lang w:val="en-US"/>
        </w:rPr>
        <w:t xml:space="preserve"> </w:t>
      </w:r>
      <w:r>
        <w:rPr>
          <w:lang w:val="en-GB"/>
        </w:rPr>
        <w:t xml:space="preserve">Brennan et al, 2020, </w:t>
      </w:r>
      <w:hyperlink r:id="rId9" w:history="1">
        <w:r w:rsidRPr="001610CD">
          <w:rPr>
            <w:rStyle w:val="Hyperlink"/>
            <w:lang w:val="en-GB"/>
          </w:rPr>
          <w:t>Disability rights during the pandemic: a global report on findings of the COVID-19 Disability Rights Monitor</w:t>
        </w:r>
      </w:hyperlink>
      <w:r>
        <w:rPr>
          <w:lang w:val="en-GB"/>
        </w:rPr>
        <w:t>, p.41</w:t>
      </w:r>
    </w:p>
  </w:footnote>
  <w:footnote w:id="8">
    <w:p w14:paraId="572C6541" w14:textId="77777777" w:rsidR="00713F6D" w:rsidRPr="00EF7C4F" w:rsidRDefault="00713F6D" w:rsidP="008661E3">
      <w:pPr>
        <w:pStyle w:val="FootnoteText"/>
        <w:rPr>
          <w:lang w:val="en-GB"/>
        </w:rPr>
      </w:pPr>
      <w:r>
        <w:rPr>
          <w:rStyle w:val="FootnoteReference"/>
        </w:rPr>
        <w:footnoteRef/>
      </w:r>
      <w:r w:rsidRPr="0035530B">
        <w:rPr>
          <w:lang w:val="en-US"/>
        </w:rPr>
        <w:t xml:space="preserve"> </w:t>
      </w:r>
      <w:r>
        <w:rPr>
          <w:lang w:val="en-GB"/>
        </w:rPr>
        <w:t xml:space="preserve">Brennan et al, 2020, </w:t>
      </w:r>
      <w:hyperlink r:id="rId10" w:history="1">
        <w:r w:rsidRPr="001610CD">
          <w:rPr>
            <w:rStyle w:val="Hyperlink"/>
            <w:lang w:val="en-GB"/>
          </w:rPr>
          <w:t>Disability rights during the pandemic: a global report on findings of the COVID-19 Disability Rights Monitor</w:t>
        </w:r>
      </w:hyperlink>
      <w:r>
        <w:rPr>
          <w:lang w:val="en-GB"/>
        </w:rPr>
        <w:t>, pp. 20, 21, 26</w:t>
      </w:r>
    </w:p>
  </w:footnote>
  <w:footnote w:id="9">
    <w:p w14:paraId="22889FAC" w14:textId="77777777" w:rsidR="00713F6D" w:rsidRPr="0035530B" w:rsidRDefault="00713F6D" w:rsidP="00B543EA">
      <w:pPr>
        <w:rPr>
          <w:rFonts w:ascii="Verdana" w:hAnsi="Verdana"/>
          <w:sz w:val="16"/>
          <w:szCs w:val="16"/>
          <w:lang w:val="en-US"/>
        </w:rPr>
      </w:pPr>
      <w:r>
        <w:rPr>
          <w:rStyle w:val="FootnoteReference"/>
          <w:rFonts w:ascii="Verdana" w:hAnsi="Verdana"/>
          <w:sz w:val="16"/>
          <w:szCs w:val="16"/>
        </w:rPr>
        <w:footnoteRef/>
      </w:r>
      <w:r w:rsidRPr="0035530B">
        <w:rPr>
          <w:rFonts w:ascii="Verdana" w:hAnsi="Verdana"/>
          <w:sz w:val="16"/>
          <w:szCs w:val="16"/>
          <w:lang w:val="en-US"/>
        </w:rPr>
        <w:t xml:space="preserve"> </w:t>
      </w:r>
      <w:proofErr w:type="spellStart"/>
      <w:r w:rsidRPr="0035530B">
        <w:rPr>
          <w:rFonts w:ascii="Verdana" w:hAnsi="Verdana"/>
          <w:iCs/>
          <w:sz w:val="16"/>
          <w:szCs w:val="16"/>
          <w:lang w:val="en-US"/>
        </w:rPr>
        <w:t>Ortoleva</w:t>
      </w:r>
      <w:proofErr w:type="spellEnd"/>
      <w:r w:rsidRPr="0035530B">
        <w:rPr>
          <w:rFonts w:ascii="Verdana" w:hAnsi="Verdana"/>
          <w:iCs/>
          <w:sz w:val="16"/>
          <w:szCs w:val="16"/>
          <w:lang w:val="en-US"/>
        </w:rPr>
        <w:t>, S.</w:t>
      </w:r>
      <w:r w:rsidRPr="0035530B">
        <w:rPr>
          <w:rFonts w:ascii="Verdana" w:hAnsi="Verdana"/>
          <w:sz w:val="16"/>
          <w:szCs w:val="16"/>
          <w:lang w:val="en-US"/>
        </w:rPr>
        <w:t xml:space="preserve"> &amp; </w:t>
      </w:r>
      <w:proofErr w:type="spellStart"/>
      <w:r w:rsidRPr="0035530B">
        <w:rPr>
          <w:rFonts w:ascii="Verdana" w:hAnsi="Verdana"/>
          <w:iCs/>
          <w:sz w:val="16"/>
          <w:szCs w:val="16"/>
          <w:lang w:val="en-US"/>
        </w:rPr>
        <w:t>Holoboff</w:t>
      </w:r>
      <w:proofErr w:type="spellEnd"/>
      <w:r w:rsidRPr="0035530B">
        <w:rPr>
          <w:rFonts w:ascii="Verdana" w:hAnsi="Verdana"/>
          <w:sz w:val="16"/>
          <w:szCs w:val="16"/>
          <w:lang w:val="en-US"/>
        </w:rPr>
        <w:t xml:space="preserve">, A. (February 27, 2020). Women Enabled International. From: </w:t>
      </w:r>
      <w:hyperlink r:id="rId11" w:history="1">
        <w:r w:rsidRPr="0035530B">
          <w:rPr>
            <w:rStyle w:val="Hyperlink"/>
            <w:rFonts w:ascii="Verdana" w:hAnsi="Verdana"/>
            <w:sz w:val="16"/>
            <w:szCs w:val="16"/>
            <w:lang w:val="en-US"/>
          </w:rPr>
          <w:t>https://womenenabled.org/blog/unleashing-the-power-of-women-with-disabilities/</w:t>
        </w:r>
      </w:hyperlink>
      <w:r w:rsidRPr="0035530B">
        <w:rPr>
          <w:rFonts w:ascii="Verdana" w:hAnsi="Verdana"/>
          <w:sz w:val="16"/>
          <w:szCs w:val="16"/>
          <w:lang w:val="en-US"/>
        </w:rPr>
        <w:t xml:space="preserve"> and </w:t>
      </w:r>
      <w:hyperlink r:id="rId12" w:history="1">
        <w:r w:rsidRPr="0035530B">
          <w:rPr>
            <w:rStyle w:val="Hyperlink"/>
            <w:rFonts w:ascii="Verdana" w:hAnsi="Verdana"/>
            <w:sz w:val="16"/>
            <w:szCs w:val="16"/>
            <w:lang w:val="en-US"/>
          </w:rPr>
          <w:t>https://twitter.com/WomenEnabled/status/1247190281658793984?s=20</w:t>
        </w:r>
      </w:hyperlink>
    </w:p>
  </w:footnote>
  <w:footnote w:id="10">
    <w:p w14:paraId="5658A623" w14:textId="658D5F75" w:rsidR="00713F6D" w:rsidRPr="007F392C" w:rsidRDefault="00713F6D">
      <w:pPr>
        <w:pStyle w:val="FootnoteText"/>
        <w:rPr>
          <w:lang w:val="en-GB"/>
        </w:rPr>
      </w:pPr>
      <w:r>
        <w:rPr>
          <w:rStyle w:val="FootnoteReference"/>
        </w:rPr>
        <w:footnoteRef/>
      </w:r>
      <w:r w:rsidRPr="0035530B">
        <w:rPr>
          <w:lang w:val="en-US"/>
        </w:rPr>
        <w:t xml:space="preserve"> </w:t>
      </w:r>
      <w:r>
        <w:rPr>
          <w:lang w:val="en-GB"/>
        </w:rPr>
        <w:t xml:space="preserve">Brennan et al, 2020, </w:t>
      </w:r>
      <w:hyperlink r:id="rId13" w:history="1">
        <w:r w:rsidRPr="001610CD">
          <w:rPr>
            <w:rStyle w:val="Hyperlink"/>
            <w:lang w:val="en-GB"/>
          </w:rPr>
          <w:t>Disability rights during the pandemic: a global report on findings of the COVID-19 Disability Rights Monitor</w:t>
        </w:r>
      </w:hyperlink>
      <w:r>
        <w:rPr>
          <w:lang w:val="en-GB"/>
        </w:rPr>
        <w:t>, pp. 31 32, 42, 43, 44</w:t>
      </w:r>
    </w:p>
  </w:footnote>
  <w:footnote w:id="11">
    <w:p w14:paraId="6E6254C9" w14:textId="77777777" w:rsidR="00713F6D" w:rsidRPr="0035530B" w:rsidRDefault="00713F6D" w:rsidP="00B543EA">
      <w:pPr>
        <w:pStyle w:val="FootnoteText"/>
        <w:rPr>
          <w:rFonts w:ascii="Verdana" w:hAnsi="Verdana"/>
          <w:sz w:val="16"/>
          <w:szCs w:val="16"/>
          <w:lang w:val="en-US"/>
        </w:rPr>
      </w:pPr>
      <w:r>
        <w:rPr>
          <w:rStyle w:val="FootnoteReference"/>
          <w:rFonts w:ascii="Verdana" w:hAnsi="Verdana"/>
          <w:sz w:val="16"/>
          <w:szCs w:val="16"/>
        </w:rPr>
        <w:footnoteRef/>
      </w:r>
      <w:r w:rsidRPr="0035530B">
        <w:rPr>
          <w:rFonts w:ascii="Verdana" w:hAnsi="Verdana"/>
          <w:sz w:val="16"/>
          <w:szCs w:val="16"/>
          <w:lang w:val="en-US"/>
        </w:rPr>
        <w:t xml:space="preserve"> ADD International. (2020). COVID-19: Double Jeopardy for Persons with Disabilities. </w:t>
      </w:r>
    </w:p>
  </w:footnote>
  <w:footnote w:id="12">
    <w:p w14:paraId="6E34BEA8" w14:textId="111AE50C" w:rsidR="00713F6D" w:rsidRPr="0035530B" w:rsidRDefault="00713F6D">
      <w:pPr>
        <w:pStyle w:val="FootnoteText"/>
        <w:rPr>
          <w:lang w:val="en-US"/>
        </w:rPr>
      </w:pPr>
      <w:r>
        <w:rPr>
          <w:rStyle w:val="FootnoteReference"/>
        </w:rPr>
        <w:footnoteRef/>
      </w:r>
      <w:r w:rsidRPr="0035530B">
        <w:rPr>
          <w:lang w:val="en-US"/>
        </w:rPr>
        <w:t xml:space="preserve"> Côte and </w:t>
      </w:r>
      <w:proofErr w:type="spellStart"/>
      <w:r w:rsidRPr="0035530B">
        <w:rPr>
          <w:lang w:val="en-US"/>
        </w:rPr>
        <w:t>Balsubramanian</w:t>
      </w:r>
      <w:proofErr w:type="spellEnd"/>
      <w:r w:rsidRPr="0035530B">
        <w:rPr>
          <w:lang w:val="en-US"/>
        </w:rPr>
        <w:t>, 2020, ‘</w:t>
      </w:r>
      <w:hyperlink r:id="rId14" w:history="1">
        <w:r w:rsidRPr="0035530B">
          <w:rPr>
            <w:rStyle w:val="Hyperlink"/>
            <w:lang w:val="en-US"/>
          </w:rPr>
          <w:t>The new normal : getting governments to spend more and better for inclusion of all persons with disabilities</w:t>
        </w:r>
      </w:hyperlink>
      <w:r w:rsidRPr="0035530B">
        <w:rPr>
          <w:lang w:val="en-US"/>
        </w:rPr>
        <w:t>’, p.4.</w:t>
      </w:r>
    </w:p>
  </w:footnote>
  <w:footnote w:id="13">
    <w:p w14:paraId="2081F3CF" w14:textId="0E94FE96" w:rsidR="00713F6D" w:rsidRPr="0035530B" w:rsidRDefault="00713F6D">
      <w:pPr>
        <w:pStyle w:val="FootnoteText"/>
        <w:rPr>
          <w:lang w:val="en-US"/>
        </w:rPr>
      </w:pPr>
      <w:r>
        <w:rPr>
          <w:rStyle w:val="FootnoteReference"/>
        </w:rPr>
        <w:footnoteRef/>
      </w:r>
      <w:r w:rsidRPr="0035530B">
        <w:rPr>
          <w:lang w:val="en-US"/>
        </w:rPr>
        <w:t xml:space="preserve"> </w:t>
      </w:r>
      <w:proofErr w:type="spellStart"/>
      <w:r w:rsidRPr="0035530B">
        <w:rPr>
          <w:lang w:val="en-US"/>
        </w:rPr>
        <w:t>Brunswijck</w:t>
      </w:r>
      <w:proofErr w:type="spellEnd"/>
      <w:r w:rsidRPr="0035530B">
        <w:rPr>
          <w:lang w:val="en-US"/>
        </w:rPr>
        <w:t>, 2018, ‘</w:t>
      </w:r>
      <w:hyperlink r:id="rId15" w:history="1">
        <w:r w:rsidRPr="0035530B">
          <w:rPr>
            <w:rStyle w:val="Hyperlink"/>
            <w:lang w:val="en-US"/>
          </w:rPr>
          <w:t>Unhealthy conditions: IMF loan conditionality and its impact on health financing</w:t>
        </w:r>
      </w:hyperlink>
      <w:r w:rsidRPr="0035530B">
        <w:rPr>
          <w:lang w:val="en-US"/>
        </w:rPr>
        <w:t>’, p.6;  Hopkins, 2019, ‘The World Bank and gender equality: Development Policy Financing’, p.6 ; Ortiz and Cummins, 2019, ‘</w:t>
      </w:r>
      <w:hyperlink r:id="rId16" w:history="1">
        <w:r w:rsidRPr="0035530B">
          <w:rPr>
            <w:rStyle w:val="Hyperlink"/>
            <w:lang w:val="en-US"/>
          </w:rPr>
          <w:t>Austerity: the new normal. A renewed Washington Consensus 2010 – 2024</w:t>
        </w:r>
      </w:hyperlink>
      <w:r w:rsidRPr="0035530B">
        <w:rPr>
          <w:lang w:val="en-US"/>
        </w:rPr>
        <w:t>’, pp. 22-25</w:t>
      </w:r>
    </w:p>
  </w:footnote>
  <w:footnote w:id="14">
    <w:p w14:paraId="6BC1F712" w14:textId="1CE1DEDA" w:rsidR="00713F6D" w:rsidRPr="00CE23FF" w:rsidRDefault="00713F6D">
      <w:pPr>
        <w:pStyle w:val="FootnoteText"/>
        <w:rPr>
          <w:lang w:val="en-GB"/>
        </w:rPr>
      </w:pPr>
      <w:r>
        <w:rPr>
          <w:rStyle w:val="FootnoteReference"/>
        </w:rPr>
        <w:footnoteRef/>
      </w:r>
      <w:r w:rsidRPr="0035530B">
        <w:rPr>
          <w:lang w:val="en-US"/>
        </w:rPr>
        <w:t xml:space="preserve"> </w:t>
      </w:r>
      <w:r>
        <w:rPr>
          <w:lang w:val="en-GB"/>
        </w:rPr>
        <w:t xml:space="preserve">Development Initiatives, 2020, </w:t>
      </w:r>
      <w:hyperlink r:id="rId17" w:history="1">
        <w:r w:rsidRPr="00B46965">
          <w:rPr>
            <w:rStyle w:val="Hyperlink"/>
            <w:lang w:val="en-GB"/>
          </w:rPr>
          <w:t>Disability-inclusive ODA: aid data on donors, channels and recipients</w:t>
        </w:r>
      </w:hyperlink>
      <w:r>
        <w:rPr>
          <w:lang w:val="en-GB"/>
        </w:rPr>
        <w:t>, p.4. Please note the definition of ‘disability-relevant’ aid is relatively broad and may capture some forms of spending that although relevant to persons with disabilities, are not fully compliant with the UN Convention on the Rights of Persons with Disabilities (e.g. some forms of segregated service provision). More methodological details are given in an annex to the paper.</w:t>
      </w:r>
    </w:p>
  </w:footnote>
  <w:footnote w:id="15">
    <w:p w14:paraId="0A42BE3A" w14:textId="51AC7CCF" w:rsidR="00713F6D" w:rsidRPr="00DC192A" w:rsidRDefault="00713F6D">
      <w:pPr>
        <w:pStyle w:val="FootnoteText"/>
        <w:rPr>
          <w:lang w:val="en-GB"/>
        </w:rPr>
      </w:pPr>
      <w:r>
        <w:rPr>
          <w:rStyle w:val="FootnoteReference"/>
        </w:rPr>
        <w:footnoteRef/>
      </w:r>
      <w:r w:rsidRPr="0035530B">
        <w:rPr>
          <w:lang w:val="en-US"/>
        </w:rPr>
        <w:t xml:space="preserve"> </w:t>
      </w:r>
      <w:r>
        <w:rPr>
          <w:lang w:val="en-GB"/>
        </w:rPr>
        <w:t xml:space="preserve">Office of the High Commissioner for Human Rights, 2020, </w:t>
      </w:r>
      <w:hyperlink r:id="rId18" w:history="1">
        <w:r w:rsidRPr="00DC192A">
          <w:rPr>
            <w:rStyle w:val="Hyperlink"/>
            <w:lang w:val="en-GB"/>
          </w:rPr>
          <w:t>Checklist for a human-rights based approach to socio-economic country responses to COVID-19</w:t>
        </w:r>
      </w:hyperlink>
    </w:p>
  </w:footnote>
  <w:footnote w:id="16">
    <w:p w14:paraId="7C112DC5" w14:textId="4BB3004B" w:rsidR="00713F6D" w:rsidRPr="00DC192A" w:rsidRDefault="00713F6D">
      <w:pPr>
        <w:pStyle w:val="FootnoteText"/>
        <w:rPr>
          <w:lang w:val="en-GB"/>
        </w:rPr>
      </w:pPr>
      <w:r>
        <w:rPr>
          <w:rStyle w:val="FootnoteReference"/>
        </w:rPr>
        <w:footnoteRef/>
      </w:r>
      <w:r w:rsidRPr="0035530B">
        <w:rPr>
          <w:lang w:val="en-US"/>
        </w:rPr>
        <w:t xml:space="preserve"> </w:t>
      </w:r>
      <w:r>
        <w:rPr>
          <w:lang w:val="en-GB"/>
        </w:rPr>
        <w:t>Civil society financing for development group, ‘</w:t>
      </w:r>
      <w:hyperlink r:id="rId19" w:history="1">
        <w:r w:rsidRPr="00DC192A">
          <w:rPr>
            <w:rStyle w:val="Hyperlink"/>
            <w:lang w:val="en-GB"/>
          </w:rPr>
          <w:t>Global Economic Solutions Now!</w:t>
        </w:r>
      </w:hyperlink>
      <w:r>
        <w:rPr>
          <w:lang w:val="en-GB"/>
        </w:rPr>
        <w:t xml:space="preserve">’ webpage </w:t>
      </w:r>
    </w:p>
  </w:footnote>
  <w:footnote w:id="17">
    <w:p w14:paraId="6148B6C6" w14:textId="3EC02A89" w:rsidR="00713F6D" w:rsidRPr="00DC192A" w:rsidRDefault="00713F6D">
      <w:pPr>
        <w:pStyle w:val="FootnoteText"/>
        <w:rPr>
          <w:lang w:val="en-GB"/>
        </w:rPr>
      </w:pPr>
      <w:r>
        <w:rPr>
          <w:rStyle w:val="FootnoteReference"/>
        </w:rPr>
        <w:footnoteRef/>
      </w:r>
      <w:r w:rsidRPr="0035530B">
        <w:rPr>
          <w:lang w:val="en-US"/>
        </w:rPr>
        <w:t xml:space="preserve"> </w:t>
      </w:r>
      <w:r>
        <w:rPr>
          <w:lang w:val="en-GB"/>
        </w:rPr>
        <w:t xml:space="preserve">Feminist response to COVID-19, 2020, </w:t>
      </w:r>
      <w:hyperlink r:id="rId20" w:history="1">
        <w:r w:rsidRPr="00DC192A">
          <w:rPr>
            <w:rStyle w:val="Hyperlink"/>
            <w:lang w:val="en-GB"/>
          </w:rPr>
          <w:t>Key Principles for Feminist Response to COVID-19</w:t>
        </w:r>
      </w:hyperlink>
    </w:p>
  </w:footnote>
  <w:footnote w:id="18">
    <w:p w14:paraId="2B9E81F9" w14:textId="33F730CB" w:rsidR="00713F6D" w:rsidRPr="006801F5" w:rsidRDefault="00713F6D">
      <w:pPr>
        <w:pStyle w:val="FootnoteText"/>
        <w:rPr>
          <w:lang w:val="en-GB"/>
        </w:rPr>
      </w:pPr>
      <w:r>
        <w:rPr>
          <w:rStyle w:val="FootnoteReference"/>
        </w:rPr>
        <w:footnoteRef/>
      </w:r>
      <w:r w:rsidRPr="0035530B">
        <w:rPr>
          <w:lang w:val="en-US"/>
        </w:rPr>
        <w:t xml:space="preserve"> </w:t>
      </w:r>
      <w:r>
        <w:rPr>
          <w:lang w:val="en-GB"/>
        </w:rPr>
        <w:t xml:space="preserve">International Disability Alliance, 2020, </w:t>
      </w:r>
      <w:hyperlink r:id="rId21" w:history="1">
        <w:r w:rsidRPr="006801F5">
          <w:rPr>
            <w:rStyle w:val="Hyperlink"/>
            <w:lang w:val="en-GB"/>
          </w:rPr>
          <w:t>Toward a disability-inclusive COVID-19 response : 10 recommendations from the International Disability Alliance</w:t>
        </w:r>
      </w:hyperlink>
    </w:p>
  </w:footnote>
  <w:footnote w:id="19">
    <w:p w14:paraId="1AE746F2" w14:textId="1EAC53E7" w:rsidR="00713F6D" w:rsidRPr="003C5F65" w:rsidRDefault="00713F6D">
      <w:pPr>
        <w:pStyle w:val="FootnoteText"/>
        <w:rPr>
          <w:lang w:val="en-GB"/>
        </w:rPr>
      </w:pPr>
      <w:r>
        <w:rPr>
          <w:rStyle w:val="FootnoteReference"/>
        </w:rPr>
        <w:footnoteRef/>
      </w:r>
      <w:r w:rsidRPr="0035530B">
        <w:rPr>
          <w:lang w:val="en-US"/>
        </w:rPr>
        <w:t xml:space="preserve"> International Disability Alliance, 2020, ‘</w:t>
      </w:r>
      <w:hyperlink r:id="rId22" w:history="1">
        <w:r w:rsidRPr="0035530B">
          <w:rPr>
            <w:rStyle w:val="Hyperlink"/>
            <w:lang w:val="en-US"/>
          </w:rPr>
          <w:t>Reach the furthest behind first : persons with disabilities must be prioritized in accessing COVID-19 vaccinations</w:t>
        </w:r>
      </w:hyperlink>
      <w:r w:rsidRPr="0035530B">
        <w:rPr>
          <w:lang w:val="en-US"/>
        </w:rPr>
        <w:t>’</w:t>
      </w:r>
    </w:p>
  </w:footnote>
  <w:footnote w:id="20">
    <w:p w14:paraId="79E8440E" w14:textId="38C91C20" w:rsidR="00713F6D" w:rsidRPr="0090564A" w:rsidRDefault="00713F6D">
      <w:pPr>
        <w:pStyle w:val="FootnoteText"/>
        <w:rPr>
          <w:lang w:val="en-GB"/>
        </w:rPr>
      </w:pPr>
      <w:r>
        <w:rPr>
          <w:rStyle w:val="FootnoteReference"/>
        </w:rPr>
        <w:footnoteRef/>
      </w:r>
      <w:r w:rsidRPr="0035530B">
        <w:rPr>
          <w:lang w:val="en-US"/>
        </w:rPr>
        <w:t xml:space="preserve"> Côte</w:t>
      </w:r>
      <w:r>
        <w:rPr>
          <w:lang w:val="en-GB"/>
        </w:rPr>
        <w:t xml:space="preserve">, 2020, </w:t>
      </w:r>
      <w:hyperlink r:id="rId23" w:history="1">
        <w:r>
          <w:rPr>
            <w:rStyle w:val="Hyperlink"/>
            <w:lang w:val="en-GB"/>
          </w:rPr>
          <w:t>Disability-inclusive social protection response to COVID-19 crisis</w:t>
        </w:r>
      </w:hyperlink>
      <w:r>
        <w:rPr>
          <w:lang w:val="en-GB"/>
        </w:rPr>
        <w:t xml:space="preserve">. </w:t>
      </w:r>
    </w:p>
  </w:footnote>
  <w:footnote w:id="21">
    <w:p w14:paraId="1A4487CF" w14:textId="7096CD44" w:rsidR="00713F6D" w:rsidRPr="0077479C" w:rsidRDefault="00713F6D">
      <w:pPr>
        <w:pStyle w:val="FootnoteText"/>
        <w:rPr>
          <w:lang w:val="en-GB"/>
        </w:rPr>
      </w:pPr>
      <w:r>
        <w:rPr>
          <w:rStyle w:val="FootnoteReference"/>
        </w:rPr>
        <w:footnoteRef/>
      </w:r>
      <w:r w:rsidRPr="0035530B">
        <w:rPr>
          <w:lang w:val="en-US"/>
        </w:rPr>
        <w:t xml:space="preserve"> </w:t>
      </w:r>
      <w:r>
        <w:rPr>
          <w:lang w:val="en-GB"/>
        </w:rPr>
        <w:t xml:space="preserve">See for example Women Enabled International, 2020, </w:t>
      </w:r>
      <w:hyperlink r:id="rId24" w:history="1">
        <w:r w:rsidRPr="0035530B">
          <w:rPr>
            <w:rStyle w:val="Hyperlink"/>
            <w:lang w:val="en-US"/>
          </w:rPr>
          <w:t>Statement on Rights at the Intersection of Gender and Disability during COVID-19</w:t>
        </w:r>
      </w:hyperlink>
      <w:r w:rsidRPr="0035530B">
        <w:rPr>
          <w:lang w:val="en-US"/>
        </w:rPr>
        <w:t>, pp 3-4</w:t>
      </w:r>
    </w:p>
  </w:footnote>
  <w:footnote w:id="22">
    <w:p w14:paraId="4E6511A3" w14:textId="0656991A" w:rsidR="00713F6D" w:rsidRPr="00C36138" w:rsidRDefault="00713F6D">
      <w:pPr>
        <w:pStyle w:val="FootnoteText"/>
        <w:rPr>
          <w:lang w:val="en-GB"/>
        </w:rPr>
      </w:pPr>
      <w:r>
        <w:rPr>
          <w:rStyle w:val="FootnoteReference"/>
        </w:rPr>
        <w:footnoteRef/>
      </w:r>
      <w:r w:rsidRPr="0035530B">
        <w:rPr>
          <w:lang w:val="en-US"/>
        </w:rPr>
        <w:t xml:space="preserve"> </w:t>
      </w:r>
      <w:r>
        <w:rPr>
          <w:lang w:val="en-GB"/>
        </w:rPr>
        <w:t xml:space="preserve">See for example Meeks and </w:t>
      </w:r>
      <w:r w:rsidRPr="0035530B">
        <w:rPr>
          <w:lang w:val="en-US"/>
        </w:rPr>
        <w:t xml:space="preserve">Côte, 2018, </w:t>
      </w:r>
      <w:hyperlink r:id="rId25" w:history="1">
        <w:r w:rsidRPr="0035530B">
          <w:rPr>
            <w:rStyle w:val="Hyperlink"/>
            <w:lang w:val="en-US"/>
          </w:rPr>
          <w:t>« Disability is always an afterthought » : why progress on inclusion demands action on budgets</w:t>
        </w:r>
      </w:hyperlink>
      <w:r w:rsidRPr="0035530B">
        <w:rPr>
          <w:lang w:val="en-US"/>
        </w:rPr>
        <w:t>, pp. 9-10</w:t>
      </w:r>
    </w:p>
  </w:footnote>
  <w:footnote w:id="23">
    <w:p w14:paraId="2B5C9628" w14:textId="359E1B71" w:rsidR="00713F6D" w:rsidRPr="002746B7" w:rsidRDefault="00713F6D">
      <w:pPr>
        <w:pStyle w:val="FootnoteText"/>
        <w:rPr>
          <w:lang w:val="en-GB"/>
        </w:rPr>
      </w:pPr>
      <w:r>
        <w:rPr>
          <w:rStyle w:val="FootnoteReference"/>
        </w:rPr>
        <w:footnoteRef/>
      </w:r>
      <w:r w:rsidRPr="0035530B">
        <w:rPr>
          <w:lang w:val="en-US"/>
        </w:rPr>
        <w:t xml:space="preserve"> </w:t>
      </w:r>
      <w:r>
        <w:rPr>
          <w:lang w:val="en-GB"/>
        </w:rPr>
        <w:t xml:space="preserve">UN Committee on Economic, Social and Cultural Rights, 2020, </w:t>
      </w:r>
      <w:hyperlink r:id="rId26" w:history="1">
        <w:r w:rsidRPr="0035530B">
          <w:rPr>
            <w:rStyle w:val="Hyperlink"/>
            <w:lang w:val="en-US"/>
          </w:rPr>
          <w:t>Statement on the coronavirus disease (COVID-19) pandemic and economic, social and cultural rights</w:t>
        </w:r>
      </w:hyperlink>
      <w:r w:rsidRPr="0035530B">
        <w:rPr>
          <w:lang w:val="en-US"/>
        </w:rPr>
        <w:t>, p.3</w:t>
      </w:r>
    </w:p>
  </w:footnote>
  <w:footnote w:id="24">
    <w:p w14:paraId="54B85292" w14:textId="3724386C" w:rsidR="00713F6D" w:rsidRPr="009063C1" w:rsidRDefault="00713F6D">
      <w:pPr>
        <w:pStyle w:val="FootnoteText"/>
        <w:rPr>
          <w:lang w:val="en-GB"/>
        </w:rPr>
      </w:pPr>
      <w:r>
        <w:rPr>
          <w:rStyle w:val="FootnoteReference"/>
        </w:rPr>
        <w:footnoteRef/>
      </w:r>
      <w:r w:rsidRPr="0035530B">
        <w:rPr>
          <w:lang w:val="en-US"/>
        </w:rPr>
        <w:t xml:space="preserve"> </w:t>
      </w:r>
      <w:r>
        <w:rPr>
          <w:lang w:val="en-GB"/>
        </w:rPr>
        <w:t>Organisation for Economic Cooperation and Development</w:t>
      </w:r>
      <w:r w:rsidRPr="0035530B">
        <w:rPr>
          <w:lang w:val="en-US"/>
        </w:rPr>
        <w:t xml:space="preserve"> DAC Working Party on Development Finance Statistics, 2020</w:t>
      </w:r>
      <w:r>
        <w:rPr>
          <w:lang w:val="en-GB"/>
        </w:rPr>
        <w:t xml:space="preserve">, </w:t>
      </w:r>
      <w:hyperlink r:id="rId27" w:history="1">
        <w:r w:rsidRPr="0035530B">
          <w:rPr>
            <w:rStyle w:val="Hyperlink"/>
            <w:lang w:val="en-US"/>
          </w:rPr>
          <w:t>The OECD-DAC policy marker on the inclusion and empowerment of persons with disabilities : handbook for data reporters and users</w:t>
        </w:r>
      </w:hyperlink>
      <w:r w:rsidRPr="0035530B">
        <w:rPr>
          <w:lang w:val="en-US"/>
        </w:rPr>
        <w:t xml:space="preserve"> </w:t>
      </w:r>
    </w:p>
  </w:footnote>
  <w:footnote w:id="25">
    <w:p w14:paraId="092C8A6C" w14:textId="2A7DAA5D" w:rsidR="00713F6D" w:rsidRPr="003F6B70" w:rsidRDefault="00713F6D">
      <w:pPr>
        <w:pStyle w:val="FootnoteText"/>
        <w:rPr>
          <w:lang w:val="en-GB"/>
        </w:rPr>
      </w:pPr>
      <w:r>
        <w:rPr>
          <w:rStyle w:val="FootnoteReference"/>
        </w:rPr>
        <w:footnoteRef/>
      </w:r>
      <w:r w:rsidRPr="0035530B">
        <w:rPr>
          <w:lang w:val="en-US"/>
        </w:rPr>
        <w:t xml:space="preserve"> </w:t>
      </w:r>
      <w:r>
        <w:rPr>
          <w:lang w:val="en-GB"/>
        </w:rPr>
        <w:t xml:space="preserve">For example, Meaney-Davis and Coe, 2020, </w:t>
      </w:r>
      <w:hyperlink r:id="rId28" w:history="1">
        <w:r w:rsidRPr="00650282">
          <w:rPr>
            <w:rStyle w:val="Hyperlink"/>
            <w:lang w:val="en-GB"/>
          </w:rPr>
          <w:t>Addressing barriers to employment for people with disabilities: evidence and lessons learned</w:t>
        </w:r>
      </w:hyperlink>
      <w:r>
        <w:rPr>
          <w:lang w:val="en-GB"/>
        </w:rPr>
        <w:t>, pp. 8-11</w:t>
      </w:r>
    </w:p>
  </w:footnote>
  <w:footnote w:id="26">
    <w:p w14:paraId="27AAAB2C" w14:textId="77777777" w:rsidR="00713F6D" w:rsidRDefault="00713F6D" w:rsidP="002373BB">
      <w:pPr>
        <w:pStyle w:val="FootnoteText"/>
        <w:rPr>
          <w:lang w:val="en-GB"/>
        </w:rPr>
      </w:pPr>
      <w:r>
        <w:rPr>
          <w:rStyle w:val="FootnoteReference"/>
        </w:rPr>
        <w:footnoteRef/>
      </w:r>
      <w:r w:rsidRPr="0035530B">
        <w:rPr>
          <w:lang w:val="en-US"/>
        </w:rPr>
        <w:t xml:space="preserve"> For example, Braithwaite and Mont, 2009, ‘</w:t>
      </w:r>
      <w:hyperlink r:id="rId29" w:history="1">
        <w:r w:rsidRPr="0035530B">
          <w:rPr>
            <w:rStyle w:val="Hyperlink"/>
            <w:lang w:val="en-US"/>
          </w:rPr>
          <w:t>Disability and poverty: a survey of World Bank Poverty Assessments and implications</w:t>
        </w:r>
      </w:hyperlink>
      <w:r w:rsidRPr="0035530B">
        <w:rPr>
          <w:lang w:val="en-US"/>
        </w:rPr>
        <w:t xml:space="preserve">’, pp. 229-230; and </w:t>
      </w:r>
      <w:proofErr w:type="spellStart"/>
      <w:r w:rsidRPr="0035530B">
        <w:rPr>
          <w:lang w:val="en-US"/>
        </w:rPr>
        <w:t>Mitra</w:t>
      </w:r>
      <w:proofErr w:type="spellEnd"/>
      <w:r w:rsidRPr="0035530B">
        <w:rPr>
          <w:lang w:val="en-US"/>
        </w:rPr>
        <w:t xml:space="preserve"> et al, 2017, ‘</w:t>
      </w:r>
      <w:hyperlink r:id="rId30" w:history="1">
        <w:r w:rsidRPr="0035530B">
          <w:rPr>
            <w:rStyle w:val="Hyperlink"/>
            <w:lang w:val="en-US"/>
          </w:rPr>
          <w:t>Extra costs of living with a disability: a review and agenda for research</w:t>
        </w:r>
      </w:hyperlink>
      <w:r w:rsidRPr="0035530B">
        <w:rPr>
          <w:lang w:val="en-US"/>
        </w:rPr>
        <w:t>’, p.480</w:t>
      </w:r>
    </w:p>
  </w:footnote>
  <w:footnote w:id="27">
    <w:p w14:paraId="40652F54" w14:textId="5139EEB2" w:rsidR="00713F6D" w:rsidRPr="00AB59B5" w:rsidRDefault="00713F6D">
      <w:pPr>
        <w:pStyle w:val="FootnoteText"/>
        <w:rPr>
          <w:lang w:val="en-GB"/>
        </w:rPr>
      </w:pPr>
      <w:r>
        <w:rPr>
          <w:rStyle w:val="FootnoteReference"/>
        </w:rPr>
        <w:footnoteRef/>
      </w:r>
      <w:r w:rsidRPr="0035530B">
        <w:rPr>
          <w:lang w:val="en-US"/>
        </w:rPr>
        <w:t xml:space="preserve"> </w:t>
      </w:r>
      <w:proofErr w:type="spellStart"/>
      <w:r w:rsidRPr="0035530B">
        <w:rPr>
          <w:color w:val="000000"/>
          <w:shd w:val="clear" w:color="auto" w:fill="FFFFFF"/>
          <w:lang w:val="en-US"/>
        </w:rPr>
        <w:t>Mizunoya</w:t>
      </w:r>
      <w:proofErr w:type="spellEnd"/>
      <w:r w:rsidRPr="0035530B">
        <w:rPr>
          <w:color w:val="000000"/>
          <w:shd w:val="clear" w:color="auto" w:fill="FFFFFF"/>
          <w:lang w:val="en-US"/>
        </w:rPr>
        <w:t xml:space="preserve"> S., </w:t>
      </w:r>
      <w:proofErr w:type="spellStart"/>
      <w:r w:rsidRPr="0035530B">
        <w:rPr>
          <w:color w:val="000000"/>
          <w:shd w:val="clear" w:color="auto" w:fill="FFFFFF"/>
          <w:lang w:val="en-US"/>
        </w:rPr>
        <w:t>Mitra</w:t>
      </w:r>
      <w:proofErr w:type="spellEnd"/>
      <w:r w:rsidRPr="0035530B">
        <w:rPr>
          <w:color w:val="000000"/>
          <w:shd w:val="clear" w:color="auto" w:fill="FFFFFF"/>
          <w:lang w:val="en-US"/>
        </w:rPr>
        <w:t xml:space="preserve"> S. Is there a disability gap in employment rates in developing countries? </w:t>
      </w:r>
      <w:r w:rsidRPr="0035530B">
        <w:rPr>
          <w:rStyle w:val="ref-journal"/>
          <w:color w:val="000000"/>
          <w:shd w:val="clear" w:color="auto" w:fill="FFFFFF"/>
          <w:lang w:val="en-US"/>
        </w:rPr>
        <w:t>World Development. </w:t>
      </w:r>
      <w:r w:rsidRPr="0035530B">
        <w:rPr>
          <w:color w:val="000000"/>
          <w:shd w:val="clear" w:color="auto" w:fill="FFFFFF"/>
          <w:lang w:val="en-US"/>
        </w:rPr>
        <w:t>2013;</w:t>
      </w:r>
      <w:r w:rsidRPr="0035530B">
        <w:rPr>
          <w:rStyle w:val="ref-vol"/>
          <w:color w:val="000000"/>
          <w:shd w:val="clear" w:color="auto" w:fill="FFFFFF"/>
          <w:lang w:val="en-US"/>
        </w:rPr>
        <w:t>42</w:t>
      </w:r>
      <w:r w:rsidRPr="0035530B">
        <w:rPr>
          <w:color w:val="000000"/>
          <w:shd w:val="clear" w:color="auto" w:fill="FFFFFF"/>
          <w:lang w:val="en-US"/>
        </w:rPr>
        <w:t xml:space="preserve">:28–43, quoted in </w:t>
      </w:r>
      <w:r>
        <w:rPr>
          <w:lang w:val="en-GB"/>
        </w:rPr>
        <w:t xml:space="preserve">Banks et al, 2020, </w:t>
      </w:r>
      <w:hyperlink r:id="rId31" w:anchor="b0100" w:history="1">
        <w:r w:rsidRPr="00AB59B5">
          <w:rPr>
            <w:rStyle w:val="Hyperlink"/>
            <w:lang w:val="en-GB"/>
          </w:rPr>
          <w:t>Disability-inclusive responses to COVID-19: lessons learnt from research on social protection in low- and middle-income countries</w:t>
        </w:r>
      </w:hyperlink>
      <w:r>
        <w:rPr>
          <w:lang w:val="en-GB"/>
        </w:rPr>
        <w:t xml:space="preserve">, </w:t>
      </w:r>
      <w:hyperlink r:id="rId32" w:history="1">
        <w:r w:rsidRPr="00AB59B5">
          <w:rPr>
            <w:lang w:val="en-GB"/>
          </w:rPr>
          <w:t>World Dev</w:t>
        </w:r>
      </w:hyperlink>
      <w:r w:rsidRPr="00AB59B5">
        <w:rPr>
          <w:lang w:val="en-GB"/>
        </w:rPr>
        <w:t>. 2021 Jan; 137: 105178</w:t>
      </w:r>
      <w:r>
        <w:rPr>
          <w:lang w:val="en-GB"/>
        </w:rPr>
        <w:t xml:space="preserve">; </w:t>
      </w:r>
      <w:r w:rsidRPr="0035530B">
        <w:rPr>
          <w:lang w:val="en-US"/>
        </w:rPr>
        <w:t xml:space="preserve">Hiroyuki </w:t>
      </w:r>
      <w:proofErr w:type="spellStart"/>
      <w:r w:rsidRPr="0035530B">
        <w:rPr>
          <w:lang w:val="en-US"/>
        </w:rPr>
        <w:t>Konuma</w:t>
      </w:r>
      <w:proofErr w:type="spellEnd"/>
      <w:r w:rsidRPr="0035530B">
        <w:rPr>
          <w:lang w:val="en-US"/>
        </w:rPr>
        <w:t xml:space="preserve"> (Assistant Director-General of the Food and Agriculture Organization), 2013, welcome remarks at the </w:t>
      </w:r>
      <w:hyperlink r:id="rId33" w:history="1">
        <w:r w:rsidRPr="0035530B">
          <w:rPr>
            <w:rStyle w:val="Hyperlink"/>
            <w:lang w:val="en-US"/>
          </w:rPr>
          <w:t>regional workshop on disability-inclusive agribusiness development in the Asia-Pacific region</w:t>
        </w:r>
      </w:hyperlink>
      <w:r w:rsidRPr="0035530B">
        <w:rPr>
          <w:lang w:val="en-US"/>
        </w:rPr>
        <w:t>, p.21</w:t>
      </w:r>
    </w:p>
  </w:footnote>
  <w:footnote w:id="28">
    <w:p w14:paraId="065ABC76" w14:textId="7E17978F" w:rsidR="00713F6D" w:rsidRPr="0035530B" w:rsidRDefault="00713F6D" w:rsidP="00FB69DC">
      <w:pPr>
        <w:spacing w:after="0"/>
        <w:rPr>
          <w:sz w:val="20"/>
          <w:szCs w:val="20"/>
          <w:lang w:val="en-US"/>
        </w:rPr>
      </w:pPr>
      <w:r>
        <w:rPr>
          <w:rStyle w:val="FootnoteReference"/>
        </w:rPr>
        <w:footnoteRef/>
      </w:r>
      <w:r w:rsidRPr="0035530B">
        <w:rPr>
          <w:lang w:val="en-US"/>
        </w:rPr>
        <w:t xml:space="preserve"> </w:t>
      </w:r>
      <w:r w:rsidRPr="0035530B">
        <w:rPr>
          <w:sz w:val="20"/>
          <w:szCs w:val="20"/>
          <w:lang w:val="en-US"/>
        </w:rPr>
        <w:t xml:space="preserve">For the purposes of this briefing, we define ‘private sector instruments’ are as the investment of official development finance in private sector enterprises, through loans and equity investments, as well as the use of official development finance to support private sector enterprises through guarantees. </w:t>
      </w:r>
    </w:p>
  </w:footnote>
  <w:footnote w:id="29">
    <w:p w14:paraId="7B7272E5" w14:textId="7D8D67F9" w:rsidR="00713F6D" w:rsidRPr="00DC3935" w:rsidRDefault="00713F6D">
      <w:pPr>
        <w:pStyle w:val="FootnoteText"/>
        <w:rPr>
          <w:lang w:val="en-GB"/>
        </w:rPr>
      </w:pPr>
      <w:r>
        <w:rPr>
          <w:rStyle w:val="FootnoteReference"/>
        </w:rPr>
        <w:footnoteRef/>
      </w:r>
      <w:r w:rsidRPr="0035530B">
        <w:rPr>
          <w:lang w:val="en-US"/>
        </w:rPr>
        <w:t xml:space="preserve"> </w:t>
      </w:r>
      <w:r>
        <w:rPr>
          <w:lang w:val="en-GB"/>
        </w:rPr>
        <w:t xml:space="preserve">Meeks, 2020, </w:t>
      </w:r>
      <w:hyperlink r:id="rId34" w:history="1">
        <w:r w:rsidRPr="00DC3935">
          <w:rPr>
            <w:rStyle w:val="Hyperlink"/>
            <w:lang w:val="en-GB"/>
          </w:rPr>
          <w:t>Submission</w:t>
        </w:r>
      </w:hyperlink>
      <w:r>
        <w:rPr>
          <w:lang w:val="en-GB"/>
        </w:rPr>
        <w:t xml:space="preserve"> to the UN Special Rapporteur on the rights of persons with disabilities</w:t>
      </w:r>
    </w:p>
  </w:footnote>
  <w:footnote w:id="30">
    <w:p w14:paraId="2C2BE448" w14:textId="03120EFE" w:rsidR="00713F6D" w:rsidRPr="00696F08" w:rsidRDefault="00713F6D">
      <w:pPr>
        <w:pStyle w:val="FootnoteText"/>
        <w:rPr>
          <w:lang w:val="en-GB"/>
        </w:rPr>
      </w:pPr>
      <w:r>
        <w:rPr>
          <w:rStyle w:val="FootnoteReference"/>
        </w:rPr>
        <w:footnoteRef/>
      </w:r>
      <w:r w:rsidRPr="0035530B">
        <w:rPr>
          <w:lang w:val="en-US"/>
        </w:rPr>
        <w:t xml:space="preserve"> </w:t>
      </w:r>
      <w:r>
        <w:rPr>
          <w:lang w:val="en-GB"/>
        </w:rPr>
        <w:t xml:space="preserve">UN Special Rapporteur on the rights of persons with disabilities, 2020, </w:t>
      </w:r>
      <w:r w:rsidRPr="0035530B">
        <w:rPr>
          <w:lang w:val="en-US"/>
        </w:rPr>
        <w:t xml:space="preserve">A/75/186, </w:t>
      </w:r>
      <w:hyperlink r:id="rId35" w:history="1">
        <w:r w:rsidRPr="0035530B">
          <w:rPr>
            <w:rStyle w:val="Hyperlink"/>
            <w:lang w:val="en-US"/>
          </w:rPr>
          <w:t>Disability inclusive international cooperation</w:t>
        </w:r>
      </w:hyperlink>
      <w:r w:rsidRPr="0035530B">
        <w:rPr>
          <w:lang w:val="en-US"/>
        </w:rPr>
        <w:t>, p.19</w:t>
      </w:r>
    </w:p>
  </w:footnote>
  <w:footnote w:id="31">
    <w:p w14:paraId="4381C4AF" w14:textId="752A9C26" w:rsidR="00713F6D" w:rsidRPr="003F2849" w:rsidRDefault="00713F6D">
      <w:pPr>
        <w:pStyle w:val="FootnoteText"/>
        <w:rPr>
          <w:lang w:val="en-GB"/>
        </w:rPr>
      </w:pPr>
      <w:r>
        <w:rPr>
          <w:rStyle w:val="FootnoteReference"/>
        </w:rPr>
        <w:footnoteRef/>
      </w:r>
      <w:r w:rsidRPr="0035530B">
        <w:rPr>
          <w:lang w:val="en-US"/>
        </w:rPr>
        <w:t xml:space="preserve"> </w:t>
      </w:r>
      <w:r>
        <w:rPr>
          <w:lang w:val="en-GB"/>
        </w:rPr>
        <w:t xml:space="preserve">These recommendations are drawn from </w:t>
      </w:r>
      <w:hyperlink r:id="rId36" w:history="1">
        <w:r w:rsidRPr="00BB64B4">
          <w:rPr>
            <w:rStyle w:val="Hyperlink"/>
            <w:lang w:val="en-GB"/>
          </w:rPr>
          <w:t>those made by the global civil society financing for development group</w:t>
        </w:r>
      </w:hyperlink>
      <w:r>
        <w:rPr>
          <w:lang w:val="en-GB"/>
        </w:rPr>
        <w:t>, but have been edited to avoid duplication with recommendations whose disability rights implications are unpacked in more detail elsewhere in this briefing.</w:t>
      </w:r>
    </w:p>
  </w:footnote>
  <w:footnote w:id="32">
    <w:p w14:paraId="6D2349BA" w14:textId="7B1FFCEB" w:rsidR="00713F6D" w:rsidRPr="00B2448C" w:rsidRDefault="00713F6D">
      <w:pPr>
        <w:pStyle w:val="FootnoteText"/>
        <w:rPr>
          <w:lang w:val="en-GB"/>
        </w:rPr>
      </w:pPr>
      <w:r>
        <w:rPr>
          <w:rStyle w:val="FootnoteReference"/>
        </w:rPr>
        <w:footnoteRef/>
      </w:r>
      <w:r w:rsidRPr="0035530B">
        <w:rPr>
          <w:lang w:val="en-US"/>
        </w:rPr>
        <w:t xml:space="preserve"> </w:t>
      </w:r>
      <w:r>
        <w:rPr>
          <w:lang w:val="en-GB"/>
        </w:rPr>
        <w:t xml:space="preserve">Jubilee Debt Campaign, 2020, </w:t>
      </w:r>
      <w:hyperlink r:id="rId37" w:history="1">
        <w:r w:rsidRPr="00B2448C">
          <w:rPr>
            <w:rStyle w:val="Hyperlink"/>
            <w:lang w:val="en-GB"/>
          </w:rPr>
          <w:t>Comparing debt payments with health spending</w:t>
        </w:r>
      </w:hyperlink>
      <w:r>
        <w:rPr>
          <w:lang w:val="en-GB"/>
        </w:rPr>
        <w:t xml:space="preserve">. For further analysis on the impact of the COVID-19 crisis on debt sustainability, see for example </w:t>
      </w:r>
      <w:proofErr w:type="spellStart"/>
      <w:r>
        <w:rPr>
          <w:lang w:val="en-GB"/>
        </w:rPr>
        <w:t>Fresnillo</w:t>
      </w:r>
      <w:proofErr w:type="spellEnd"/>
      <w:r>
        <w:rPr>
          <w:lang w:val="en-GB"/>
        </w:rPr>
        <w:t xml:space="preserve">, 2020, </w:t>
      </w:r>
      <w:hyperlink r:id="rId38" w:history="1">
        <w:r w:rsidRPr="00E20DDF">
          <w:rPr>
            <w:rStyle w:val="Hyperlink"/>
            <w:lang w:val="en-GB"/>
          </w:rPr>
          <w:t>The G20 Debt Service Suspension Initiative: draining out the Titanic with a bucket?</w:t>
        </w:r>
      </w:hyperlink>
    </w:p>
  </w:footnote>
  <w:footnote w:id="33">
    <w:p w14:paraId="668922C0" w14:textId="7754BB56" w:rsidR="00713F6D" w:rsidRPr="007B5FB8" w:rsidRDefault="00713F6D">
      <w:pPr>
        <w:pStyle w:val="FootnoteText"/>
        <w:rPr>
          <w:lang w:val="en-GB"/>
        </w:rPr>
      </w:pPr>
      <w:r>
        <w:rPr>
          <w:rStyle w:val="FootnoteReference"/>
        </w:rPr>
        <w:footnoteRef/>
      </w:r>
      <w:r w:rsidRPr="0035530B">
        <w:rPr>
          <w:lang w:val="en-US"/>
        </w:rPr>
        <w:t xml:space="preserve"> </w:t>
      </w:r>
      <w:r>
        <w:rPr>
          <w:lang w:val="en-GB"/>
        </w:rPr>
        <w:t xml:space="preserve">International Monetary Fund, 2020, </w:t>
      </w:r>
      <w:hyperlink r:id="rId39" w:history="1">
        <w:r w:rsidRPr="007B5FB8">
          <w:rPr>
            <w:rStyle w:val="Hyperlink"/>
            <w:lang w:val="en-GB"/>
          </w:rPr>
          <w:t>Fact sheet: Special Drawing Right</w:t>
        </w:r>
      </w:hyperlink>
      <w:r>
        <w:rPr>
          <w:lang w:val="en-GB"/>
        </w:rPr>
        <w:t xml:space="preserve">; Ellmers, 2020, </w:t>
      </w:r>
      <w:hyperlink r:id="rId40" w:history="1">
        <w:r w:rsidRPr="007B5FB8">
          <w:rPr>
            <w:rStyle w:val="Hyperlink"/>
            <w:lang w:val="en-GB"/>
          </w:rPr>
          <w:t>Financing for Development in the era of COVID-19 and beyond: an analysis and assessment of innovative policy options</w:t>
        </w:r>
      </w:hyperlink>
      <w:r>
        <w:rPr>
          <w:lang w:val="en-GB"/>
        </w:rPr>
        <w:t>, p.5.</w:t>
      </w:r>
    </w:p>
  </w:footnote>
  <w:footnote w:id="34">
    <w:p w14:paraId="5EE7CBB0" w14:textId="1A0750C6" w:rsidR="00713F6D" w:rsidRPr="00957439" w:rsidRDefault="00713F6D">
      <w:pPr>
        <w:pStyle w:val="FootnoteText"/>
        <w:rPr>
          <w:lang w:val="en-GB"/>
        </w:rPr>
      </w:pPr>
      <w:r>
        <w:rPr>
          <w:rStyle w:val="FootnoteReference"/>
        </w:rPr>
        <w:footnoteRef/>
      </w:r>
      <w:r w:rsidRPr="0035530B">
        <w:rPr>
          <w:lang w:val="en-US"/>
        </w:rPr>
        <w:t xml:space="preserve"> </w:t>
      </w:r>
      <w:proofErr w:type="spellStart"/>
      <w:r w:rsidRPr="0035530B">
        <w:rPr>
          <w:lang w:val="en-US"/>
        </w:rPr>
        <w:t>Brunswijck</w:t>
      </w:r>
      <w:proofErr w:type="spellEnd"/>
      <w:r w:rsidRPr="0035530B">
        <w:rPr>
          <w:lang w:val="en-US"/>
        </w:rPr>
        <w:t>, 2018, ‘</w:t>
      </w:r>
      <w:hyperlink r:id="rId41" w:history="1">
        <w:r w:rsidRPr="0035530B">
          <w:rPr>
            <w:rStyle w:val="Hyperlink"/>
            <w:lang w:val="en-US"/>
          </w:rPr>
          <w:t>Unhealthy conditions: IMF loan conditionality and its impact on health financing</w:t>
        </w:r>
      </w:hyperlink>
      <w:r w:rsidRPr="0035530B">
        <w:rPr>
          <w:lang w:val="en-US"/>
        </w:rPr>
        <w:t>’, p.12 ; Hopkins, 2019, ‘The World Bank and gender equality: Development Policy Financing’, p.9</w:t>
      </w:r>
    </w:p>
  </w:footnote>
  <w:footnote w:id="35">
    <w:p w14:paraId="7FA9E3D7" w14:textId="77777777" w:rsidR="00713F6D" w:rsidRDefault="00713F6D" w:rsidP="00102E7D">
      <w:pPr>
        <w:pStyle w:val="FootnoteText"/>
        <w:rPr>
          <w:lang w:val="en-GB"/>
        </w:rPr>
      </w:pPr>
      <w:r>
        <w:rPr>
          <w:rStyle w:val="FootnoteReference"/>
        </w:rPr>
        <w:footnoteRef/>
      </w:r>
      <w:r w:rsidRPr="0035530B">
        <w:rPr>
          <w:lang w:val="en-US"/>
        </w:rPr>
        <w:t xml:space="preserve"> Ortiz and Cummins, 2019, ‘</w:t>
      </w:r>
      <w:hyperlink r:id="rId42" w:history="1">
        <w:r w:rsidRPr="0035530B">
          <w:rPr>
            <w:rStyle w:val="Hyperlink"/>
            <w:lang w:val="en-US"/>
          </w:rPr>
          <w:t>Austerity: the new normal. A renewed Washington Consensus 2010 – 2024</w:t>
        </w:r>
      </w:hyperlink>
      <w:r w:rsidRPr="0035530B">
        <w:rPr>
          <w:lang w:val="en-US"/>
        </w:rPr>
        <w:t>’, pp. 22-25.</w:t>
      </w:r>
    </w:p>
  </w:footnote>
  <w:footnote w:id="36">
    <w:p w14:paraId="00E3E865" w14:textId="77777777" w:rsidR="00713F6D" w:rsidRPr="00326179" w:rsidRDefault="00713F6D" w:rsidP="002046C8">
      <w:pPr>
        <w:pStyle w:val="FootnoteText"/>
        <w:rPr>
          <w:lang w:val="en-GB"/>
        </w:rPr>
      </w:pPr>
      <w:r>
        <w:rPr>
          <w:rStyle w:val="FootnoteReference"/>
        </w:rPr>
        <w:footnoteRef/>
      </w:r>
      <w:r w:rsidRPr="0035530B">
        <w:rPr>
          <w:lang w:val="en-US"/>
        </w:rPr>
        <w:t xml:space="preserve"> For example, Braithwaite and Mont, 2009, ‘</w:t>
      </w:r>
      <w:hyperlink r:id="rId43" w:history="1">
        <w:r w:rsidRPr="0035530B">
          <w:rPr>
            <w:rStyle w:val="Hyperlink"/>
            <w:lang w:val="en-US"/>
          </w:rPr>
          <w:t>Disability and poverty: a survey of World Bank Poverty Assessments and implications</w:t>
        </w:r>
      </w:hyperlink>
      <w:r w:rsidRPr="0035530B">
        <w:rPr>
          <w:lang w:val="en-US"/>
        </w:rPr>
        <w:t xml:space="preserve">’, pp. 229-230; and </w:t>
      </w:r>
      <w:proofErr w:type="spellStart"/>
      <w:r w:rsidRPr="0035530B">
        <w:rPr>
          <w:lang w:val="en-US"/>
        </w:rPr>
        <w:t>Mitra</w:t>
      </w:r>
      <w:proofErr w:type="spellEnd"/>
      <w:r w:rsidRPr="0035530B">
        <w:rPr>
          <w:lang w:val="en-US"/>
        </w:rPr>
        <w:t xml:space="preserve"> et al, 2017, ‘</w:t>
      </w:r>
      <w:hyperlink r:id="rId44" w:history="1">
        <w:r w:rsidRPr="0035530B">
          <w:rPr>
            <w:rStyle w:val="Hyperlink"/>
            <w:lang w:val="en-US"/>
          </w:rPr>
          <w:t>Extra costs of living with a disability: a review and agenda for research</w:t>
        </w:r>
      </w:hyperlink>
      <w:r w:rsidRPr="0035530B">
        <w:rPr>
          <w:lang w:val="en-US"/>
        </w:rPr>
        <w:t>’, p.480</w:t>
      </w:r>
    </w:p>
  </w:footnote>
  <w:footnote w:id="37">
    <w:p w14:paraId="10DB091B" w14:textId="77777777" w:rsidR="00713F6D" w:rsidRPr="0035530B" w:rsidRDefault="00713F6D" w:rsidP="00D0435F">
      <w:pPr>
        <w:pStyle w:val="FootnoteText"/>
        <w:rPr>
          <w:lang w:val="en-US"/>
        </w:rPr>
      </w:pPr>
      <w:r>
        <w:rPr>
          <w:rStyle w:val="FootnoteReference"/>
        </w:rPr>
        <w:footnoteRef/>
      </w:r>
      <w:r w:rsidRPr="0035530B">
        <w:rPr>
          <w:lang w:val="en-US"/>
        </w:rPr>
        <w:t xml:space="preserve"> Office of the High Commissioner for Human Rights, 2013, ‘</w:t>
      </w:r>
      <w:hyperlink r:id="rId45" w:history="1">
        <w:r w:rsidRPr="0035530B">
          <w:rPr>
            <w:rStyle w:val="Hyperlink"/>
            <w:lang w:val="en-US"/>
          </w:rPr>
          <w:t>Report on austerity measures and economic and social rights</w:t>
        </w:r>
      </w:hyperlink>
      <w:r w:rsidRPr="0035530B">
        <w:rPr>
          <w:lang w:val="en-US"/>
        </w:rPr>
        <w:t xml:space="preserve">’, p.21. For recent analysis on how austerity policies linked to IMF loans </w:t>
      </w:r>
      <w:proofErr w:type="spellStart"/>
      <w:r w:rsidRPr="0035530B">
        <w:rPr>
          <w:lang w:val="en-US"/>
        </w:rPr>
        <w:t>jeopardised</w:t>
      </w:r>
      <w:proofErr w:type="spellEnd"/>
      <w:r w:rsidRPr="0035530B">
        <w:rPr>
          <w:lang w:val="en-US"/>
        </w:rPr>
        <w:t xml:space="preserve"> access to healthcare and social protection for persons with disabilities in Argentina, see </w:t>
      </w:r>
      <w:proofErr w:type="spellStart"/>
      <w:r w:rsidRPr="0035530B">
        <w:rPr>
          <w:lang w:val="en-US"/>
        </w:rPr>
        <w:t>Associación</w:t>
      </w:r>
      <w:proofErr w:type="spellEnd"/>
      <w:r w:rsidRPr="0035530B">
        <w:rPr>
          <w:lang w:val="en-US"/>
        </w:rPr>
        <w:t xml:space="preserve"> Civil </w:t>
      </w:r>
      <w:proofErr w:type="spellStart"/>
      <w:r w:rsidRPr="0035530B">
        <w:rPr>
          <w:lang w:val="en-US"/>
        </w:rPr>
        <w:t>por</w:t>
      </w:r>
      <w:proofErr w:type="spellEnd"/>
      <w:r w:rsidRPr="0035530B">
        <w:rPr>
          <w:lang w:val="en-US"/>
        </w:rPr>
        <w:t xml:space="preserve"> la </w:t>
      </w:r>
      <w:proofErr w:type="spellStart"/>
      <w:r w:rsidRPr="0035530B">
        <w:rPr>
          <w:lang w:val="en-US"/>
        </w:rPr>
        <w:t>Igualdad</w:t>
      </w:r>
      <w:proofErr w:type="spellEnd"/>
      <w:r w:rsidRPr="0035530B">
        <w:rPr>
          <w:lang w:val="en-US"/>
        </w:rPr>
        <w:t xml:space="preserve"> y la </w:t>
      </w:r>
      <w:proofErr w:type="spellStart"/>
      <w:r w:rsidRPr="0035530B">
        <w:rPr>
          <w:lang w:val="en-US"/>
        </w:rPr>
        <w:t>Justicia</w:t>
      </w:r>
      <w:proofErr w:type="spellEnd"/>
      <w:r w:rsidRPr="0035530B">
        <w:rPr>
          <w:lang w:val="en-US"/>
        </w:rPr>
        <w:t>, 2019, ‘</w:t>
      </w:r>
      <w:hyperlink r:id="rId46" w:history="1">
        <w:r w:rsidRPr="0035530B">
          <w:rPr>
            <w:rStyle w:val="Hyperlink"/>
            <w:lang w:val="en-US"/>
          </w:rPr>
          <w:t xml:space="preserve">Las personas con </w:t>
        </w:r>
        <w:proofErr w:type="spellStart"/>
        <w:r w:rsidRPr="0035530B">
          <w:rPr>
            <w:rStyle w:val="Hyperlink"/>
            <w:lang w:val="en-US"/>
          </w:rPr>
          <w:t>discapacidad</w:t>
        </w:r>
        <w:proofErr w:type="spellEnd"/>
        <w:r w:rsidRPr="0035530B">
          <w:rPr>
            <w:rStyle w:val="Hyperlink"/>
            <w:lang w:val="en-US"/>
          </w:rPr>
          <w:t xml:space="preserve"> no son </w:t>
        </w:r>
        <w:proofErr w:type="spellStart"/>
        <w:r w:rsidRPr="0035530B">
          <w:rPr>
            <w:rStyle w:val="Hyperlink"/>
            <w:lang w:val="en-US"/>
          </w:rPr>
          <w:t>una</w:t>
        </w:r>
        <w:proofErr w:type="spellEnd"/>
        <w:r w:rsidRPr="0035530B">
          <w:rPr>
            <w:rStyle w:val="Hyperlink"/>
            <w:lang w:val="en-US"/>
          </w:rPr>
          <w:t xml:space="preserve"> </w:t>
        </w:r>
        <w:proofErr w:type="spellStart"/>
        <w:r w:rsidRPr="0035530B">
          <w:rPr>
            <w:rStyle w:val="Hyperlink"/>
            <w:lang w:val="en-US"/>
          </w:rPr>
          <w:t>prioridad</w:t>
        </w:r>
        <w:proofErr w:type="spellEnd"/>
        <w:r w:rsidRPr="0035530B">
          <w:rPr>
            <w:rStyle w:val="Hyperlink"/>
            <w:lang w:val="en-US"/>
          </w:rPr>
          <w:t xml:space="preserve"> para el </w:t>
        </w:r>
        <w:proofErr w:type="spellStart"/>
        <w:r w:rsidRPr="0035530B">
          <w:rPr>
            <w:rStyle w:val="Hyperlink"/>
            <w:lang w:val="en-US"/>
          </w:rPr>
          <w:t>Gobierno</w:t>
        </w:r>
        <w:proofErr w:type="spellEnd"/>
        <w:r w:rsidRPr="0035530B">
          <w:rPr>
            <w:rStyle w:val="Hyperlink"/>
            <w:lang w:val="en-US"/>
          </w:rPr>
          <w:t xml:space="preserve"> </w:t>
        </w:r>
        <w:proofErr w:type="spellStart"/>
        <w:r w:rsidRPr="0035530B">
          <w:rPr>
            <w:rStyle w:val="Hyperlink"/>
            <w:lang w:val="en-US"/>
          </w:rPr>
          <w:t>argentino</w:t>
        </w:r>
        <w:proofErr w:type="spellEnd"/>
      </w:hyperlink>
      <w:r w:rsidRPr="0035530B">
        <w:rPr>
          <w:lang w:val="en-US"/>
        </w:rPr>
        <w:t xml:space="preserve">’; and </w:t>
      </w:r>
      <w:proofErr w:type="spellStart"/>
      <w:r w:rsidRPr="0035530B">
        <w:rPr>
          <w:lang w:val="en-US"/>
        </w:rPr>
        <w:t>Brunswijck</w:t>
      </w:r>
      <w:proofErr w:type="spellEnd"/>
      <w:r w:rsidRPr="0035530B">
        <w:rPr>
          <w:lang w:val="en-US"/>
        </w:rPr>
        <w:t>, Meeks and Viera, 2019, ‘</w:t>
      </w:r>
      <w:hyperlink r:id="rId47" w:history="1">
        <w:r w:rsidRPr="0035530B">
          <w:rPr>
            <w:rStyle w:val="Hyperlink"/>
            <w:lang w:val="en-US"/>
          </w:rPr>
          <w:t>IMF is failing people with disabilities in Argentina</w:t>
        </w:r>
      </w:hyperlink>
      <w:r w:rsidRPr="0035530B">
        <w:rPr>
          <w:lang w:val="en-US"/>
        </w:rPr>
        <w:t>’.</w:t>
      </w:r>
    </w:p>
  </w:footnote>
  <w:footnote w:id="38">
    <w:p w14:paraId="7006637C" w14:textId="627E2F6D" w:rsidR="00713F6D" w:rsidRPr="00583BD8" w:rsidRDefault="00713F6D">
      <w:pPr>
        <w:pStyle w:val="FootnoteText"/>
        <w:rPr>
          <w:lang w:val="en-GB"/>
        </w:rPr>
      </w:pPr>
      <w:r>
        <w:rPr>
          <w:rStyle w:val="FootnoteReference"/>
        </w:rPr>
        <w:footnoteRef/>
      </w:r>
      <w:r w:rsidRPr="0035530B">
        <w:rPr>
          <w:lang w:val="en-US"/>
        </w:rPr>
        <w:t xml:space="preserve"> </w:t>
      </w:r>
      <w:proofErr w:type="spellStart"/>
      <w:r w:rsidRPr="0035530B">
        <w:rPr>
          <w:color w:val="000000"/>
          <w:shd w:val="clear" w:color="auto" w:fill="FFFFFF"/>
          <w:lang w:val="en-US"/>
        </w:rPr>
        <w:t>Mizunoya</w:t>
      </w:r>
      <w:proofErr w:type="spellEnd"/>
      <w:r w:rsidRPr="0035530B">
        <w:rPr>
          <w:color w:val="000000"/>
          <w:shd w:val="clear" w:color="auto" w:fill="FFFFFF"/>
          <w:lang w:val="en-US"/>
        </w:rPr>
        <w:t xml:space="preserve"> S., </w:t>
      </w:r>
      <w:proofErr w:type="spellStart"/>
      <w:r w:rsidRPr="0035530B">
        <w:rPr>
          <w:color w:val="000000"/>
          <w:shd w:val="clear" w:color="auto" w:fill="FFFFFF"/>
          <w:lang w:val="en-US"/>
        </w:rPr>
        <w:t>Mitra</w:t>
      </w:r>
      <w:proofErr w:type="spellEnd"/>
      <w:r w:rsidRPr="0035530B">
        <w:rPr>
          <w:color w:val="000000"/>
          <w:shd w:val="clear" w:color="auto" w:fill="FFFFFF"/>
          <w:lang w:val="en-US"/>
        </w:rPr>
        <w:t xml:space="preserve"> S. Is there a disability gap in employment rates in developing countries? </w:t>
      </w:r>
      <w:r w:rsidRPr="0035530B">
        <w:rPr>
          <w:rStyle w:val="ref-journal"/>
          <w:color w:val="000000"/>
          <w:shd w:val="clear" w:color="auto" w:fill="FFFFFF"/>
          <w:lang w:val="en-US"/>
        </w:rPr>
        <w:t>World Development. </w:t>
      </w:r>
      <w:r w:rsidRPr="0035530B">
        <w:rPr>
          <w:color w:val="000000"/>
          <w:shd w:val="clear" w:color="auto" w:fill="FFFFFF"/>
          <w:lang w:val="en-US"/>
        </w:rPr>
        <w:t>2013;</w:t>
      </w:r>
      <w:r w:rsidRPr="0035530B">
        <w:rPr>
          <w:rStyle w:val="ref-vol"/>
          <w:color w:val="000000"/>
          <w:shd w:val="clear" w:color="auto" w:fill="FFFFFF"/>
          <w:lang w:val="en-US"/>
        </w:rPr>
        <w:t>42</w:t>
      </w:r>
      <w:r w:rsidRPr="0035530B">
        <w:rPr>
          <w:color w:val="000000"/>
          <w:shd w:val="clear" w:color="auto" w:fill="FFFFFF"/>
          <w:lang w:val="en-US"/>
        </w:rPr>
        <w:t xml:space="preserve">:28–43, quoted in </w:t>
      </w:r>
      <w:r>
        <w:rPr>
          <w:lang w:val="en-GB"/>
        </w:rPr>
        <w:t xml:space="preserve">Banks et al, 2020, </w:t>
      </w:r>
      <w:hyperlink r:id="rId48" w:anchor="b0100" w:history="1">
        <w:r w:rsidRPr="00AB59B5">
          <w:rPr>
            <w:rStyle w:val="Hyperlink"/>
            <w:lang w:val="en-GB"/>
          </w:rPr>
          <w:t>Disability-inclusive responses to COVID-19: lessons learnt from research on social protection in low- and middle-income countries</w:t>
        </w:r>
      </w:hyperlink>
      <w:r>
        <w:rPr>
          <w:lang w:val="en-GB"/>
        </w:rPr>
        <w:t xml:space="preserve">, </w:t>
      </w:r>
      <w:hyperlink r:id="rId49" w:history="1">
        <w:r w:rsidRPr="00AB59B5">
          <w:rPr>
            <w:lang w:val="en-GB"/>
          </w:rPr>
          <w:t>World Dev</w:t>
        </w:r>
      </w:hyperlink>
      <w:r w:rsidRPr="00AB59B5">
        <w:rPr>
          <w:lang w:val="en-GB"/>
        </w:rPr>
        <w:t>. 2021 Jan; 137: 105178</w:t>
      </w:r>
    </w:p>
  </w:footnote>
  <w:footnote w:id="39">
    <w:p w14:paraId="5B4DB2CB" w14:textId="1154D375" w:rsidR="00713F6D" w:rsidRPr="008C54B5" w:rsidRDefault="00713F6D">
      <w:pPr>
        <w:pStyle w:val="FootnoteText"/>
        <w:rPr>
          <w:lang w:val="en-GB"/>
        </w:rPr>
      </w:pPr>
      <w:r>
        <w:rPr>
          <w:rStyle w:val="FootnoteReference"/>
        </w:rPr>
        <w:footnoteRef/>
      </w:r>
      <w:r w:rsidRPr="0035530B">
        <w:rPr>
          <w:lang w:val="en-US"/>
        </w:rPr>
        <w:t xml:space="preserve"> </w:t>
      </w:r>
      <w:r>
        <w:rPr>
          <w:lang w:val="en-GB"/>
        </w:rPr>
        <w:t>Office of the High Commissioner for Human Rights, 2015, ‘</w:t>
      </w:r>
      <w:hyperlink r:id="rId50" w:history="1">
        <w:r w:rsidRPr="008C54B5">
          <w:rPr>
            <w:rStyle w:val="Hyperlink"/>
            <w:lang w:val="en-GB"/>
          </w:rPr>
          <w:t>UN experts voice concern over adverse impact of free trade and investment agreements on human rights</w:t>
        </w:r>
      </w:hyperlink>
      <w:r>
        <w:rPr>
          <w:lang w:val="en-GB"/>
        </w:rPr>
        <w:t xml:space="preserve">’. </w:t>
      </w:r>
    </w:p>
  </w:footnote>
  <w:footnote w:id="40">
    <w:p w14:paraId="1F9BC4A2" w14:textId="40F02C2B" w:rsidR="00713F6D" w:rsidRPr="006B399A" w:rsidRDefault="00713F6D">
      <w:pPr>
        <w:pStyle w:val="FootnoteText"/>
        <w:rPr>
          <w:lang w:val="en-GB"/>
        </w:rPr>
      </w:pPr>
      <w:r>
        <w:rPr>
          <w:rStyle w:val="FootnoteReference"/>
        </w:rPr>
        <w:footnoteRef/>
      </w:r>
      <w:r w:rsidRPr="0035530B">
        <w:rPr>
          <w:lang w:val="en-US"/>
        </w:rPr>
        <w:t xml:space="preserve"> </w:t>
      </w:r>
      <w:r>
        <w:rPr>
          <w:lang w:val="en-GB"/>
        </w:rPr>
        <w:t>UN News, 18 January, ‘</w:t>
      </w:r>
      <w:hyperlink r:id="rId51" w:history="1">
        <w:r w:rsidRPr="006B399A">
          <w:rPr>
            <w:rStyle w:val="Hyperlink"/>
            <w:lang w:val="en-GB"/>
          </w:rPr>
          <w:t>WHO chief warns against “catastrophic moral failure” in COVID-19 vaccine access</w:t>
        </w:r>
      </w:hyperlink>
      <w:r>
        <w:rPr>
          <w:lang w:val="en-GB"/>
        </w:rPr>
        <w:t xml:space="preserve">’. For an example on inequalities in access to therapeutics, see </w:t>
      </w:r>
      <w:proofErr w:type="spellStart"/>
      <w:r>
        <w:rPr>
          <w:lang w:val="en-GB"/>
        </w:rPr>
        <w:t>Medecins</w:t>
      </w:r>
      <w:proofErr w:type="spellEnd"/>
      <w:r>
        <w:rPr>
          <w:lang w:val="en-GB"/>
        </w:rPr>
        <w:t xml:space="preserve"> Sans </w:t>
      </w:r>
      <w:proofErr w:type="spellStart"/>
      <w:r>
        <w:rPr>
          <w:lang w:val="en-GB"/>
        </w:rPr>
        <w:t>Fronti</w:t>
      </w:r>
      <w:bookmarkStart w:id="17" w:name="_Hlk39775848"/>
      <w:r w:rsidRPr="0035530B">
        <w:rPr>
          <w:lang w:val="en-US"/>
        </w:rPr>
        <w:t>è</w:t>
      </w:r>
      <w:bookmarkEnd w:id="17"/>
      <w:r w:rsidRPr="0035530B">
        <w:rPr>
          <w:lang w:val="en-US"/>
        </w:rPr>
        <w:t>res</w:t>
      </w:r>
      <w:proofErr w:type="spellEnd"/>
      <w:r>
        <w:rPr>
          <w:lang w:val="en-GB"/>
        </w:rPr>
        <w:t xml:space="preserve">, 2020, </w:t>
      </w:r>
      <w:hyperlink r:id="rId52" w:history="1">
        <w:r w:rsidRPr="00695B2E">
          <w:rPr>
            <w:rStyle w:val="Hyperlink"/>
            <w:lang w:val="en-GB"/>
          </w:rPr>
          <w:t xml:space="preserve">Briefing document: </w:t>
        </w:r>
        <w:r w:rsidRPr="0035530B">
          <w:rPr>
            <w:rStyle w:val="Hyperlink"/>
            <w:lang w:val="en-US"/>
          </w:rPr>
          <w:t>India and South Africa proposal for WTO waiver from intellectual property protections for COVID-19-related medical technologies</w:t>
        </w:r>
      </w:hyperlink>
      <w:r w:rsidRPr="0035530B">
        <w:rPr>
          <w:lang w:val="en-US"/>
        </w:rPr>
        <w:t>, pp. 6-7</w:t>
      </w:r>
    </w:p>
  </w:footnote>
  <w:footnote w:id="41">
    <w:p w14:paraId="22F08717" w14:textId="24FC5AFB" w:rsidR="00713F6D" w:rsidRPr="007B46AD" w:rsidRDefault="00713F6D">
      <w:pPr>
        <w:pStyle w:val="FootnoteText"/>
        <w:rPr>
          <w:lang w:val="en-GB"/>
        </w:rPr>
      </w:pPr>
      <w:r>
        <w:rPr>
          <w:rStyle w:val="FootnoteReference"/>
        </w:rPr>
        <w:footnoteRef/>
      </w:r>
      <w:r w:rsidRPr="0035530B">
        <w:rPr>
          <w:lang w:val="en-US"/>
        </w:rPr>
        <w:t xml:space="preserve"> </w:t>
      </w:r>
      <w:r>
        <w:rPr>
          <w:lang w:val="en-GB"/>
        </w:rPr>
        <w:t xml:space="preserve">Office of the High Commissioner for Human Rights, 2020, </w:t>
      </w:r>
      <w:hyperlink r:id="rId53" w:history="1">
        <w:r w:rsidRPr="007B46AD">
          <w:rPr>
            <w:rStyle w:val="Hyperlink"/>
            <w:lang w:val="en-GB"/>
          </w:rPr>
          <w:t>Statement by UN Human Rights Experts: Universal access to vaccines is essential for prevention and containment of COVID-19 around the worl</w:t>
        </w:r>
      </w:hyperlink>
      <w:r w:rsidRPr="007B46AD">
        <w:rPr>
          <w:lang w:val="en-GB"/>
        </w:rPr>
        <w:t>d</w:t>
      </w:r>
    </w:p>
  </w:footnote>
  <w:footnote w:id="42">
    <w:p w14:paraId="7BD290C4" w14:textId="05BDD585" w:rsidR="00713F6D" w:rsidRPr="003A3C1B" w:rsidRDefault="00713F6D">
      <w:pPr>
        <w:pStyle w:val="FootnoteText"/>
        <w:rPr>
          <w:lang w:val="en-GB"/>
        </w:rPr>
      </w:pPr>
      <w:r>
        <w:rPr>
          <w:rStyle w:val="FootnoteReference"/>
        </w:rPr>
        <w:footnoteRef/>
      </w:r>
      <w:r w:rsidRPr="0035530B">
        <w:rPr>
          <w:lang w:val="en-US"/>
        </w:rPr>
        <w:t xml:space="preserve"> </w:t>
      </w:r>
      <w:r>
        <w:rPr>
          <w:lang w:val="en-GB"/>
        </w:rPr>
        <w:t xml:space="preserve">In particular, the World Health Organisation’s </w:t>
      </w:r>
      <w:r w:rsidRPr="0035530B">
        <w:rPr>
          <w:lang w:val="en-US"/>
        </w:rPr>
        <w:t>COVID-19 Technology Access Pool (C-TAP)</w:t>
      </w:r>
    </w:p>
  </w:footnote>
  <w:footnote w:id="43">
    <w:p w14:paraId="6651F8DA" w14:textId="478716A5" w:rsidR="00713F6D" w:rsidRPr="001F07EF" w:rsidRDefault="00713F6D">
      <w:pPr>
        <w:pStyle w:val="FootnoteText"/>
        <w:rPr>
          <w:lang w:val="en-GB"/>
        </w:rPr>
      </w:pPr>
      <w:r>
        <w:rPr>
          <w:rStyle w:val="FootnoteReference"/>
        </w:rPr>
        <w:footnoteRef/>
      </w:r>
      <w:r w:rsidRPr="0035530B">
        <w:rPr>
          <w:lang w:val="en-US"/>
        </w:rPr>
        <w:t xml:space="preserve"> For more information on these flexibilities, please see </w:t>
      </w:r>
      <w:proofErr w:type="spellStart"/>
      <w:r>
        <w:rPr>
          <w:lang w:val="en-GB"/>
        </w:rPr>
        <w:t>Medecins</w:t>
      </w:r>
      <w:proofErr w:type="spellEnd"/>
      <w:r>
        <w:rPr>
          <w:lang w:val="en-GB"/>
        </w:rPr>
        <w:t xml:space="preserve"> Sans </w:t>
      </w:r>
      <w:proofErr w:type="spellStart"/>
      <w:r>
        <w:rPr>
          <w:lang w:val="en-GB"/>
        </w:rPr>
        <w:t>Fronti</w:t>
      </w:r>
      <w:r w:rsidRPr="0035530B">
        <w:rPr>
          <w:lang w:val="en-US"/>
        </w:rPr>
        <w:t>ères</w:t>
      </w:r>
      <w:proofErr w:type="spellEnd"/>
      <w:r>
        <w:rPr>
          <w:lang w:val="en-GB"/>
        </w:rPr>
        <w:t xml:space="preserve">, 2020, </w:t>
      </w:r>
      <w:hyperlink r:id="rId54" w:history="1">
        <w:r w:rsidRPr="00695B2E">
          <w:rPr>
            <w:rStyle w:val="Hyperlink"/>
            <w:lang w:val="en-GB"/>
          </w:rPr>
          <w:t xml:space="preserve">Briefing document: </w:t>
        </w:r>
        <w:r w:rsidRPr="0035530B">
          <w:rPr>
            <w:rStyle w:val="Hyperlink"/>
            <w:lang w:val="en-US"/>
          </w:rPr>
          <w:t>India and South Africa proposal for WTO waiver from intellectual property protections for COVID-19-related medical technologies</w:t>
        </w:r>
      </w:hyperlink>
      <w:r w:rsidRPr="0035530B">
        <w:rPr>
          <w:lang w:val="en-US"/>
        </w:rPr>
        <w:t>, pp. 5-6</w:t>
      </w:r>
    </w:p>
  </w:footnote>
  <w:footnote w:id="44">
    <w:p w14:paraId="4C610AF3" w14:textId="59398B11" w:rsidR="00713F6D" w:rsidRPr="004B4D03" w:rsidRDefault="00713F6D">
      <w:pPr>
        <w:pStyle w:val="FootnoteText"/>
        <w:rPr>
          <w:lang w:val="en-GB"/>
        </w:rPr>
      </w:pPr>
      <w:r>
        <w:rPr>
          <w:rStyle w:val="FootnoteReference"/>
        </w:rPr>
        <w:footnoteRef/>
      </w:r>
      <w:r w:rsidRPr="0035530B">
        <w:rPr>
          <w:lang w:val="en-US"/>
        </w:rPr>
        <w:t xml:space="preserve"> </w:t>
      </w:r>
      <w:hyperlink r:id="rId55" w:history="1">
        <w:r w:rsidRPr="0035530B">
          <w:rPr>
            <w:rStyle w:val="Hyperlink"/>
            <w:lang w:val="en-US"/>
          </w:rPr>
          <w:t>Waiver from certain provisions of the TRIPS agreement for the prevention, containment and treatment of COVID-19</w:t>
        </w:r>
      </w:hyperlink>
      <w:r w:rsidRPr="0035530B">
        <w:rPr>
          <w:lang w:val="en-US"/>
        </w:rPr>
        <w:t xml:space="preserve">, communication from India and South Africa, 2020. The waiver was supported by over 300 civil society </w:t>
      </w:r>
      <w:proofErr w:type="spellStart"/>
      <w:r w:rsidRPr="0035530B">
        <w:rPr>
          <w:lang w:val="en-US"/>
        </w:rPr>
        <w:t>organisations</w:t>
      </w:r>
      <w:proofErr w:type="spellEnd"/>
      <w:r w:rsidRPr="0035530B">
        <w:rPr>
          <w:lang w:val="en-US"/>
        </w:rPr>
        <w:t xml:space="preserve"> globally (source : </w:t>
      </w:r>
      <w:proofErr w:type="spellStart"/>
      <w:r w:rsidRPr="0035530B">
        <w:rPr>
          <w:lang w:val="en-US"/>
        </w:rPr>
        <w:t>Medecins</w:t>
      </w:r>
      <w:proofErr w:type="spellEnd"/>
      <w:r w:rsidRPr="0035530B">
        <w:rPr>
          <w:lang w:val="en-US"/>
        </w:rPr>
        <w:t xml:space="preserve"> Sans Front</w:t>
      </w:r>
      <w:proofErr w:type="spellStart"/>
      <w:r>
        <w:rPr>
          <w:lang w:val="en-GB"/>
        </w:rPr>
        <w:t>i</w:t>
      </w:r>
      <w:r w:rsidRPr="0035530B">
        <w:rPr>
          <w:lang w:val="en-US"/>
        </w:rPr>
        <w:t>ères</w:t>
      </w:r>
      <w:proofErr w:type="spellEnd"/>
      <w:r w:rsidRPr="0035530B">
        <w:rPr>
          <w:lang w:val="en-US"/>
        </w:rPr>
        <w:t>, 2020, ‘</w:t>
      </w:r>
      <w:hyperlink r:id="rId56" w:history="1">
        <w:r w:rsidRPr="0035530B">
          <w:rPr>
            <w:rStyle w:val="Hyperlink"/>
            <w:lang w:val="en-US"/>
          </w:rPr>
          <w:t>Civil society to WTO members : support India and South Africa’s proposal for a waiver from IP protections for COVID-19 medical technologies</w:t>
        </w:r>
      </w:hyperlink>
      <w:r w:rsidRPr="0035530B">
        <w:rPr>
          <w:lang w:val="en-US"/>
        </w:rPr>
        <w:t xml:space="preserve">’). It was also supported by and a number of international </w:t>
      </w:r>
      <w:proofErr w:type="spellStart"/>
      <w:r w:rsidRPr="0035530B">
        <w:rPr>
          <w:lang w:val="en-US"/>
        </w:rPr>
        <w:t>organisations</w:t>
      </w:r>
      <w:proofErr w:type="spellEnd"/>
      <w:r w:rsidRPr="0035530B">
        <w:rPr>
          <w:lang w:val="en-US"/>
        </w:rPr>
        <w:t xml:space="preserve"> including WHO and UNAIDS (source : </w:t>
      </w:r>
      <w:hyperlink r:id="rId57" w:history="1">
        <w:r w:rsidRPr="0035530B">
          <w:rPr>
            <w:rStyle w:val="Hyperlink"/>
            <w:lang w:val="en-US"/>
          </w:rPr>
          <w:t>Civil society letter [to the EU] on supporting the proposal to a waiver from certain provisions under the TRIPS agreement during the COVID-19 pandemic</w:t>
        </w:r>
      </w:hyperlink>
      <w:r w:rsidRPr="0035530B">
        <w:rPr>
          <w:lang w:val="en-US"/>
        </w:rPr>
        <w:t>, end-note v).</w:t>
      </w:r>
    </w:p>
  </w:footnote>
  <w:footnote w:id="45">
    <w:p w14:paraId="4DCDD072" w14:textId="170C64DF" w:rsidR="00713F6D" w:rsidRPr="00374DDC" w:rsidRDefault="00713F6D">
      <w:pPr>
        <w:pStyle w:val="FootnoteText"/>
        <w:rPr>
          <w:lang w:val="en-GB"/>
        </w:rPr>
      </w:pPr>
      <w:r>
        <w:rPr>
          <w:rStyle w:val="FootnoteReference"/>
        </w:rPr>
        <w:footnoteRef/>
      </w:r>
      <w:r w:rsidRPr="0035530B">
        <w:rPr>
          <w:lang w:val="en-US"/>
        </w:rPr>
        <w:t xml:space="preserve"> Côte and </w:t>
      </w:r>
      <w:proofErr w:type="spellStart"/>
      <w:r w:rsidRPr="0035530B">
        <w:rPr>
          <w:lang w:val="en-US"/>
        </w:rPr>
        <w:t>Balsubramanian</w:t>
      </w:r>
      <w:proofErr w:type="spellEnd"/>
      <w:r w:rsidRPr="0035530B">
        <w:rPr>
          <w:lang w:val="en-US"/>
        </w:rPr>
        <w:t>, 2020, ‘</w:t>
      </w:r>
      <w:hyperlink r:id="rId58" w:history="1">
        <w:r w:rsidRPr="0035530B">
          <w:rPr>
            <w:rStyle w:val="Hyperlink"/>
            <w:lang w:val="en-US"/>
          </w:rPr>
          <w:t>The new normal : getting governments to spend more and better for inclusion of all persons with disabilities</w:t>
        </w:r>
      </w:hyperlink>
      <w:r w:rsidRPr="0035530B">
        <w:rPr>
          <w:lang w:val="en-US"/>
        </w:rPr>
        <w:t>’, pp. 9-10</w:t>
      </w:r>
    </w:p>
  </w:footnote>
  <w:footnote w:id="46">
    <w:p w14:paraId="05529550" w14:textId="7E174149" w:rsidR="00713F6D" w:rsidRPr="00374DDC" w:rsidRDefault="00713F6D">
      <w:pPr>
        <w:pStyle w:val="FootnoteText"/>
        <w:rPr>
          <w:lang w:val="en-GB"/>
        </w:rPr>
      </w:pPr>
      <w:r>
        <w:rPr>
          <w:rStyle w:val="FootnoteReference"/>
        </w:rPr>
        <w:footnoteRef/>
      </w:r>
      <w:r w:rsidRPr="0035530B">
        <w:rPr>
          <w:lang w:val="en-US"/>
        </w:rPr>
        <w:t xml:space="preserve"> International Commission of Jurists, 2020, </w:t>
      </w:r>
      <w:hyperlink r:id="rId59" w:history="1">
        <w:r w:rsidRPr="0035530B">
          <w:rPr>
            <w:rStyle w:val="Hyperlink"/>
            <w:lang w:val="en-US"/>
          </w:rPr>
          <w:t>Living like people who die slowly : the need for right to health compliant COVID 19 responses</w:t>
        </w:r>
      </w:hyperlink>
      <w:r w:rsidRPr="0035530B">
        <w:rPr>
          <w:lang w:val="en-US"/>
        </w:rPr>
        <w:t>, pp.77-78</w:t>
      </w:r>
    </w:p>
  </w:footnote>
  <w:footnote w:id="47">
    <w:p w14:paraId="1E794F16" w14:textId="72C4186B" w:rsidR="00713F6D" w:rsidRPr="00AF62F4" w:rsidRDefault="00713F6D">
      <w:pPr>
        <w:pStyle w:val="FootnoteText"/>
        <w:rPr>
          <w:lang w:val="en-GB"/>
        </w:rPr>
      </w:pPr>
      <w:r>
        <w:rPr>
          <w:rStyle w:val="FootnoteReference"/>
        </w:rPr>
        <w:footnoteRef/>
      </w:r>
      <w:r w:rsidRPr="0035530B">
        <w:rPr>
          <w:lang w:val="en-US"/>
        </w:rPr>
        <w:t xml:space="preserve"> </w:t>
      </w:r>
      <w:r>
        <w:rPr>
          <w:lang w:val="en-GB"/>
        </w:rPr>
        <w:t xml:space="preserve">For more on this point, please see </w:t>
      </w:r>
      <w:r w:rsidRPr="0035530B">
        <w:rPr>
          <w:lang w:val="en-US"/>
        </w:rPr>
        <w:t xml:space="preserve">Côte and </w:t>
      </w:r>
      <w:proofErr w:type="spellStart"/>
      <w:r w:rsidRPr="0035530B">
        <w:rPr>
          <w:lang w:val="en-US"/>
        </w:rPr>
        <w:t>Balsubramanian</w:t>
      </w:r>
      <w:proofErr w:type="spellEnd"/>
      <w:r w:rsidRPr="0035530B">
        <w:rPr>
          <w:lang w:val="en-US"/>
        </w:rPr>
        <w:t>, 2020, ‘</w:t>
      </w:r>
      <w:hyperlink r:id="rId60" w:history="1">
        <w:r w:rsidRPr="0035530B">
          <w:rPr>
            <w:rStyle w:val="Hyperlink"/>
            <w:lang w:val="en-US"/>
          </w:rPr>
          <w:t>The new normal : getting governments to spend more and better for inclusion of all persons with disabilities</w:t>
        </w:r>
      </w:hyperlink>
      <w:r w:rsidRPr="0035530B">
        <w:rPr>
          <w:lang w:val="en-US"/>
        </w:rPr>
        <w:t>’, pp. 9-10.</w:t>
      </w:r>
    </w:p>
  </w:footnote>
  <w:footnote w:id="48">
    <w:p w14:paraId="44F7E125" w14:textId="0677EF80" w:rsidR="00713F6D" w:rsidRPr="009076D5" w:rsidRDefault="00713F6D">
      <w:pPr>
        <w:pStyle w:val="FootnoteText"/>
        <w:rPr>
          <w:lang w:val="en-GB"/>
        </w:rPr>
      </w:pPr>
      <w:r>
        <w:rPr>
          <w:rStyle w:val="FootnoteReference"/>
        </w:rPr>
        <w:footnoteRef/>
      </w:r>
      <w:r w:rsidRPr="0035530B">
        <w:rPr>
          <w:lang w:val="en-US"/>
        </w:rPr>
        <w:t xml:space="preserve"> </w:t>
      </w:r>
      <w:r>
        <w:rPr>
          <w:lang w:val="en-GB"/>
        </w:rPr>
        <w:t xml:space="preserve">Meeks, 2018, </w:t>
      </w:r>
      <w:hyperlink r:id="rId61" w:history="1">
        <w:r w:rsidRPr="009076D5">
          <w:rPr>
            <w:rStyle w:val="Hyperlink"/>
            <w:lang w:val="en-GB"/>
          </w:rPr>
          <w:t>Development, untied: unleashing the catalytic power of Official Development Assistance through renewed action on untying</w:t>
        </w:r>
      </w:hyperlink>
      <w:r>
        <w:rPr>
          <w:lang w:val="en-GB"/>
        </w:rPr>
        <w:t>, p.5</w:t>
      </w:r>
    </w:p>
  </w:footnote>
  <w:footnote w:id="49">
    <w:p w14:paraId="6977F29A" w14:textId="608F1DF6" w:rsidR="00713F6D" w:rsidRPr="00375CC9" w:rsidRDefault="00713F6D">
      <w:pPr>
        <w:pStyle w:val="FootnoteText"/>
        <w:rPr>
          <w:lang w:val="en-GB"/>
        </w:rPr>
      </w:pPr>
      <w:r>
        <w:rPr>
          <w:rStyle w:val="FootnoteReference"/>
        </w:rPr>
        <w:footnoteRef/>
      </w:r>
      <w:r w:rsidRPr="0035530B">
        <w:rPr>
          <w:lang w:val="en-US"/>
        </w:rPr>
        <w:t xml:space="preserve"> </w:t>
      </w:r>
      <w:r>
        <w:rPr>
          <w:lang w:val="en-GB"/>
        </w:rPr>
        <w:t xml:space="preserve">European Commission, </w:t>
      </w:r>
      <w:hyperlink r:id="rId62" w:history="1">
        <w:r>
          <w:rPr>
            <w:rStyle w:val="Hyperlink"/>
            <w:lang w:val="en-GB"/>
          </w:rPr>
          <w:t>Practical Guide</w:t>
        </w:r>
      </w:hyperlink>
      <w:r>
        <w:rPr>
          <w:lang w:val="en-GB"/>
        </w:rPr>
        <w:t>, S</w:t>
      </w:r>
      <w:r w:rsidRPr="00931B32">
        <w:rPr>
          <w:lang w:val="en-GB"/>
        </w:rPr>
        <w:t>ection 2.8</w:t>
      </w:r>
      <w:r>
        <w:rPr>
          <w:lang w:val="en-GB"/>
        </w:rPr>
        <w:t xml:space="preserve">; Swedish </w:t>
      </w:r>
      <w:hyperlink r:id="rId63" w:history="1">
        <w:r w:rsidRPr="00375CC9">
          <w:rPr>
            <w:rStyle w:val="Hyperlink"/>
            <w:lang w:val="en-GB"/>
          </w:rPr>
          <w:t>Public Procurement Act (</w:t>
        </w:r>
        <w:r w:rsidRPr="0035530B">
          <w:rPr>
            <w:rStyle w:val="Hyperlink"/>
            <w:lang w:val="en-US"/>
          </w:rPr>
          <w:t>2016:1145)</w:t>
        </w:r>
      </w:hyperlink>
      <w:r w:rsidRPr="0035530B">
        <w:rPr>
          <w:lang w:val="en-US"/>
        </w:rPr>
        <w:t xml:space="preserve">, Chapter 4 Section 18 and Chapter 9 Section 2 ; USAID, </w:t>
      </w:r>
      <w:hyperlink r:id="rId64" w:history="1">
        <w:r w:rsidRPr="0035530B">
          <w:rPr>
            <w:rStyle w:val="Hyperlink"/>
            <w:lang w:val="en-US"/>
          </w:rPr>
          <w:t>ADS Chapter 302</w:t>
        </w:r>
      </w:hyperlink>
      <w:r w:rsidRPr="0035530B">
        <w:rPr>
          <w:lang w:val="en-US"/>
        </w:rPr>
        <w:t xml:space="preserve">, pp. 36, 47, 48, 57, 58 and </w:t>
      </w:r>
      <w:hyperlink r:id="rId65" w:history="1">
        <w:r w:rsidRPr="00375CC9">
          <w:rPr>
            <w:rStyle w:val="Hyperlink"/>
            <w:lang w:val="en-GB"/>
          </w:rPr>
          <w:t xml:space="preserve">ADS Reference 302 </w:t>
        </w:r>
        <w:proofErr w:type="spellStart"/>
        <w:r w:rsidRPr="00375CC9">
          <w:rPr>
            <w:rStyle w:val="Hyperlink"/>
            <w:lang w:val="en-GB"/>
          </w:rPr>
          <w:t>mak</w:t>
        </w:r>
        <w:proofErr w:type="spellEnd"/>
      </w:hyperlink>
    </w:p>
  </w:footnote>
  <w:footnote w:id="50">
    <w:p w14:paraId="6BB1B579" w14:textId="07FC5FD2" w:rsidR="00713F6D" w:rsidRPr="000D6DC2" w:rsidRDefault="00713F6D">
      <w:pPr>
        <w:pStyle w:val="FootnoteText"/>
        <w:rPr>
          <w:lang w:val="en-GB"/>
        </w:rPr>
      </w:pPr>
      <w:r>
        <w:rPr>
          <w:rStyle w:val="FootnoteReference"/>
        </w:rPr>
        <w:footnoteRef/>
      </w:r>
      <w:r w:rsidRPr="0035530B">
        <w:rPr>
          <w:lang w:val="en-US"/>
        </w:rPr>
        <w:t xml:space="preserve"> </w:t>
      </w:r>
      <w:r>
        <w:rPr>
          <w:lang w:val="en-GB"/>
        </w:rPr>
        <w:t xml:space="preserve">See Meeks, 2018, </w:t>
      </w:r>
      <w:hyperlink r:id="rId66" w:history="1">
        <w:r w:rsidRPr="009076D5">
          <w:rPr>
            <w:rStyle w:val="Hyperlink"/>
            <w:lang w:val="en-GB"/>
          </w:rPr>
          <w:t>Development, untied: unleashing the catalytic power of Official Development Assistance through renewed action on untying</w:t>
        </w:r>
      </w:hyperlink>
      <w:r>
        <w:rPr>
          <w:lang w:val="en-GB"/>
        </w:rPr>
        <w:t>, p.20</w:t>
      </w:r>
    </w:p>
  </w:footnote>
  <w:footnote w:id="51">
    <w:p w14:paraId="0DC33813" w14:textId="33A543A9" w:rsidR="00713F6D" w:rsidRPr="007C7C7C" w:rsidRDefault="00713F6D">
      <w:pPr>
        <w:pStyle w:val="FootnoteText"/>
        <w:rPr>
          <w:lang w:val="en-GB"/>
        </w:rPr>
      </w:pPr>
      <w:r>
        <w:rPr>
          <w:rStyle w:val="FootnoteReference"/>
        </w:rPr>
        <w:footnoteRef/>
      </w:r>
      <w:r w:rsidRPr="0035530B">
        <w:rPr>
          <w:lang w:val="en-US"/>
        </w:rPr>
        <w:t xml:space="preserve"> </w:t>
      </w:r>
      <w:r>
        <w:rPr>
          <w:lang w:val="en-GB"/>
        </w:rPr>
        <w:t xml:space="preserve">For more on this point, please see </w:t>
      </w:r>
      <w:r w:rsidRPr="0035530B">
        <w:rPr>
          <w:lang w:val="en-US"/>
        </w:rPr>
        <w:t xml:space="preserve">Côte and </w:t>
      </w:r>
      <w:proofErr w:type="spellStart"/>
      <w:r w:rsidRPr="0035530B">
        <w:rPr>
          <w:lang w:val="en-US"/>
        </w:rPr>
        <w:t>Balsubramanian</w:t>
      </w:r>
      <w:proofErr w:type="spellEnd"/>
      <w:r w:rsidRPr="0035530B">
        <w:rPr>
          <w:lang w:val="en-US"/>
        </w:rPr>
        <w:t>, 2020, ‘</w:t>
      </w:r>
      <w:hyperlink r:id="rId67" w:history="1">
        <w:r w:rsidRPr="0035530B">
          <w:rPr>
            <w:rStyle w:val="Hyperlink"/>
            <w:lang w:val="en-US"/>
          </w:rPr>
          <w:t>The new normal : getting governments to spend more and better for inclusion of all persons with disabilities</w:t>
        </w:r>
      </w:hyperlink>
      <w:r w:rsidRPr="0035530B">
        <w:rPr>
          <w:lang w:val="en-US"/>
        </w:rPr>
        <w:t>’, pp. 11, 24</w:t>
      </w:r>
    </w:p>
  </w:footnote>
  <w:footnote w:id="52">
    <w:p w14:paraId="46B49729" w14:textId="5F0E75A5" w:rsidR="00713F6D" w:rsidRPr="00310A44" w:rsidRDefault="00713F6D">
      <w:pPr>
        <w:pStyle w:val="FootnoteText"/>
        <w:rPr>
          <w:lang w:val="en-GB"/>
        </w:rPr>
      </w:pPr>
      <w:r>
        <w:rPr>
          <w:rStyle w:val="FootnoteReference"/>
        </w:rPr>
        <w:footnoteRef/>
      </w:r>
      <w:r w:rsidRPr="0035530B">
        <w:rPr>
          <w:lang w:val="en-US"/>
        </w:rPr>
        <w:t xml:space="preserve"> </w:t>
      </w:r>
      <w:r>
        <w:rPr>
          <w:lang w:val="en-GB"/>
        </w:rPr>
        <w:t xml:space="preserve">Business and Human Rights Resource Centre and </w:t>
      </w:r>
      <w:proofErr w:type="spellStart"/>
      <w:r>
        <w:rPr>
          <w:lang w:val="en-GB"/>
        </w:rPr>
        <w:t>Center</w:t>
      </w:r>
      <w:proofErr w:type="spellEnd"/>
      <w:r>
        <w:rPr>
          <w:lang w:val="en-GB"/>
        </w:rPr>
        <w:t xml:space="preserve"> for Economic and Social Rights, 2020, </w:t>
      </w:r>
      <w:hyperlink r:id="rId68" w:history="1">
        <w:r w:rsidRPr="00310A44">
          <w:rPr>
            <w:rStyle w:val="Hyperlink"/>
            <w:lang w:val="en-GB"/>
          </w:rPr>
          <w:t>Recovering rights: business and human rights in a just recovery</w:t>
        </w:r>
      </w:hyperlink>
      <w:r>
        <w:rPr>
          <w:lang w:val="en-GB"/>
        </w:rPr>
        <w:t>, p.1</w:t>
      </w:r>
    </w:p>
  </w:footnote>
  <w:footnote w:id="53">
    <w:p w14:paraId="5FC09409" w14:textId="77777777" w:rsidR="00713F6D" w:rsidRPr="00FA3C44" w:rsidRDefault="00713F6D" w:rsidP="00FA3C44">
      <w:pPr>
        <w:pStyle w:val="FootnoteText"/>
        <w:rPr>
          <w:lang w:val="en-GB"/>
        </w:rPr>
      </w:pPr>
      <w:r>
        <w:rPr>
          <w:rStyle w:val="FootnoteReference"/>
        </w:rPr>
        <w:footnoteRef/>
      </w:r>
      <w:r w:rsidRPr="0035530B">
        <w:rPr>
          <w:lang w:val="en-US"/>
        </w:rPr>
        <w:t xml:space="preserve"> </w:t>
      </w:r>
      <w:r>
        <w:rPr>
          <w:lang w:val="en-GB"/>
        </w:rPr>
        <w:t xml:space="preserve">These recommendations draw on those made by the </w:t>
      </w:r>
      <w:hyperlink r:id="rId69" w:history="1">
        <w:r w:rsidRPr="00FA3C44">
          <w:rPr>
            <w:rStyle w:val="Hyperlink"/>
            <w:lang w:val="en-GB"/>
          </w:rPr>
          <w:t>global civil society financing for development group</w:t>
        </w:r>
      </w:hyperlink>
      <w:r>
        <w:rPr>
          <w:lang w:val="en-GB"/>
        </w:rPr>
        <w:t xml:space="preserve">, and in Business and Human Rights Resource Centre and the </w:t>
      </w:r>
      <w:proofErr w:type="spellStart"/>
      <w:r>
        <w:rPr>
          <w:lang w:val="en-GB"/>
        </w:rPr>
        <w:t>Center</w:t>
      </w:r>
      <w:proofErr w:type="spellEnd"/>
      <w:r>
        <w:rPr>
          <w:lang w:val="en-GB"/>
        </w:rPr>
        <w:t xml:space="preserve"> for Economic and Social Rights, 2020, </w:t>
      </w:r>
      <w:hyperlink r:id="rId70" w:history="1">
        <w:r w:rsidRPr="00310A44">
          <w:rPr>
            <w:rStyle w:val="Hyperlink"/>
            <w:lang w:val="en-GB"/>
          </w:rPr>
          <w:t>Recovering rights: business and human rights in a just recovery</w:t>
        </w:r>
      </w:hyperlink>
    </w:p>
  </w:footnote>
  <w:footnote w:id="54">
    <w:p w14:paraId="4A2C368C" w14:textId="3FA93731" w:rsidR="00713F6D" w:rsidRPr="009C44DE" w:rsidRDefault="00713F6D">
      <w:pPr>
        <w:pStyle w:val="FootnoteText"/>
        <w:rPr>
          <w:lang w:val="en-GB"/>
        </w:rPr>
      </w:pPr>
      <w:r>
        <w:rPr>
          <w:rStyle w:val="FootnoteReference"/>
        </w:rPr>
        <w:footnoteRef/>
      </w:r>
      <w:r w:rsidRPr="0035530B">
        <w:rPr>
          <w:lang w:val="en-US"/>
        </w:rPr>
        <w:t xml:space="preserve"> </w:t>
      </w:r>
      <w:r>
        <w:rPr>
          <w:lang w:val="en-GB"/>
        </w:rPr>
        <w:t xml:space="preserve">Office of the UN High Commissioner for Human Rights, 2020, </w:t>
      </w:r>
      <w:hyperlink r:id="rId71" w:history="1">
        <w:r w:rsidRPr="0035530B">
          <w:rPr>
            <w:rStyle w:val="Hyperlink"/>
            <w:lang w:val="en-US"/>
          </w:rPr>
          <w:t>Analytical study on the promotion and protection of the rights of persons with disabilities in the context of climate change</w:t>
        </w:r>
      </w:hyperlink>
      <w:r w:rsidRPr="0035530B">
        <w:rPr>
          <w:lang w:val="en-US"/>
        </w:rPr>
        <w:t xml:space="preserve">, p.15. See also Keogh and </w:t>
      </w:r>
      <w:proofErr w:type="spellStart"/>
      <w:r w:rsidRPr="0035530B">
        <w:rPr>
          <w:lang w:val="en-US"/>
        </w:rPr>
        <w:t>Acula</w:t>
      </w:r>
      <w:proofErr w:type="spellEnd"/>
      <w:r w:rsidRPr="0035530B">
        <w:rPr>
          <w:lang w:val="en-US"/>
        </w:rPr>
        <w:t xml:space="preserve"> Gonzalez, 2020, </w:t>
      </w:r>
      <w:hyperlink r:id="rId72" w:history="1">
        <w:r w:rsidRPr="0035530B">
          <w:rPr>
            <w:rStyle w:val="Hyperlink"/>
            <w:lang w:val="en-US"/>
          </w:rPr>
          <w:t>Climate change : this century’s defining issue</w:t>
        </w:r>
      </w:hyperlink>
      <w:r w:rsidRPr="0035530B">
        <w:rPr>
          <w:lang w:val="en-US"/>
        </w:rPr>
        <w:t>.</w:t>
      </w:r>
    </w:p>
  </w:footnote>
  <w:footnote w:id="55">
    <w:p w14:paraId="1DA6C8A1" w14:textId="3BD2DF22" w:rsidR="00713F6D" w:rsidRPr="006C4E19" w:rsidRDefault="00713F6D" w:rsidP="00C3281B">
      <w:pPr>
        <w:pStyle w:val="FootnoteText"/>
        <w:rPr>
          <w:lang w:val="en-GB"/>
        </w:rPr>
      </w:pPr>
      <w:r>
        <w:rPr>
          <w:rStyle w:val="FootnoteReference"/>
        </w:rPr>
        <w:footnoteRef/>
      </w:r>
      <w:r>
        <w:rPr>
          <w:lang w:val="en-GB"/>
        </w:rPr>
        <w:t xml:space="preserve"> UN </w:t>
      </w:r>
      <w:r w:rsidRPr="00EF65B0">
        <w:rPr>
          <w:lang w:val="en-GB"/>
        </w:rPr>
        <w:t>Special Rapporteur on the rights to freedom of peaceful assembly and of association</w:t>
      </w:r>
      <w:r>
        <w:rPr>
          <w:lang w:val="en-GB"/>
        </w:rPr>
        <w:t>, 14 April 2020, ‘</w:t>
      </w:r>
      <w:hyperlink r:id="rId73" w:history="1">
        <w:r w:rsidRPr="00EF65B0">
          <w:rPr>
            <w:rStyle w:val="Hyperlink"/>
            <w:lang w:val="en-GB"/>
          </w:rPr>
          <w:t>States responses to Covid 19 threat should not halt freedoms of assembly and association</w:t>
        </w:r>
      </w:hyperlink>
      <w:r>
        <w:rPr>
          <w:lang w:val="en-GB"/>
        </w:rPr>
        <w:t>’</w:t>
      </w:r>
      <w:r w:rsidRPr="0035530B">
        <w:rPr>
          <w:lang w:val="en-US"/>
        </w:rPr>
        <w:t xml:space="preserve"> </w:t>
      </w:r>
      <w:hyperlink r:id="rId74" w:history="1">
        <w:r w:rsidRPr="0035530B">
          <w:rPr>
            <w:rStyle w:val="Hyperlink"/>
            <w:lang w:val="en-US"/>
          </w:rPr>
          <w:t>https://www.ohchr.org/EN/NewsEvents/Pages/DisplayNews.aspx?NewsID=25788&amp;LangID=E</w:t>
        </w:r>
      </w:hyperlink>
      <w:r w:rsidRPr="0035530B">
        <w:rPr>
          <w:lang w:val="en-US"/>
        </w:rPr>
        <w:t xml:space="preserve"> </w:t>
      </w:r>
    </w:p>
  </w:footnote>
  <w:footnote w:id="56">
    <w:p w14:paraId="7CE622DE" w14:textId="77777777" w:rsidR="00713F6D" w:rsidRDefault="00713F6D" w:rsidP="0084684F">
      <w:pPr>
        <w:pStyle w:val="NormalWeb"/>
        <w:spacing w:before="0" w:beforeAutospacing="0" w:after="0" w:afterAutospacing="0"/>
        <w:rPr>
          <w:rFonts w:ascii="Verdana" w:hAnsi="Verdana"/>
          <w:sz w:val="16"/>
          <w:szCs w:val="16"/>
        </w:rPr>
      </w:pPr>
      <w:r>
        <w:rPr>
          <w:rStyle w:val="FootnoteReference"/>
          <w:rFonts w:ascii="Verdana" w:hAnsi="Verdana"/>
          <w:sz w:val="16"/>
          <w:szCs w:val="16"/>
        </w:rPr>
        <w:footnoteRef/>
      </w:r>
      <w:r>
        <w:rPr>
          <w:rFonts w:ascii="Verdana" w:hAnsi="Verdana"/>
          <w:sz w:val="16"/>
          <w:szCs w:val="16"/>
        </w:rPr>
        <w:t xml:space="preserve"> For more information refer to the International Disability Alliance’s key recommendations to support a </w:t>
      </w:r>
      <w:hyperlink r:id="rId75" w:history="1">
        <w:r>
          <w:rPr>
            <w:rStyle w:val="Hyperlink"/>
            <w:rFonts w:ascii="Verdana" w:eastAsiaTheme="majorEastAsia" w:hAnsi="Verdana"/>
            <w:sz w:val="16"/>
            <w:szCs w:val="16"/>
          </w:rPr>
          <w:t>disability-inclusive response</w:t>
        </w:r>
      </w:hyperlink>
      <w:r>
        <w:rPr>
          <w:rFonts w:ascii="Verdana" w:hAnsi="Verdana"/>
          <w:sz w:val="16"/>
          <w:szCs w:val="16"/>
        </w:rPr>
        <w:t xml:space="preserve"> to the COVID19 crisis. </w:t>
      </w:r>
    </w:p>
    <w:p w14:paraId="23D48E25" w14:textId="77777777" w:rsidR="00713F6D" w:rsidRPr="0035530B" w:rsidRDefault="00713F6D" w:rsidP="0084684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55DE" w14:textId="77777777" w:rsidR="00713F6D" w:rsidRDefault="00713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6893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556587"/>
    <w:multiLevelType w:val="hybridMultilevel"/>
    <w:tmpl w:val="74543D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839060A"/>
    <w:multiLevelType w:val="hybridMultilevel"/>
    <w:tmpl w:val="C7E2A5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8CC785D"/>
    <w:multiLevelType w:val="hybridMultilevel"/>
    <w:tmpl w:val="95CA14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267290"/>
    <w:multiLevelType w:val="multilevel"/>
    <w:tmpl w:val="88BADB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C89587C"/>
    <w:multiLevelType w:val="multilevel"/>
    <w:tmpl w:val="E42CFF1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0A515CF"/>
    <w:multiLevelType w:val="multilevel"/>
    <w:tmpl w:val="AACE2C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8632A4"/>
    <w:multiLevelType w:val="multilevel"/>
    <w:tmpl w:val="0E2A9E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6270524"/>
    <w:multiLevelType w:val="hybridMultilevel"/>
    <w:tmpl w:val="D670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A027C8"/>
    <w:multiLevelType w:val="multilevel"/>
    <w:tmpl w:val="DA7420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FAB210D"/>
    <w:multiLevelType w:val="multilevel"/>
    <w:tmpl w:val="413E77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A967CAA"/>
    <w:multiLevelType w:val="multilevel"/>
    <w:tmpl w:val="AF2A7B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C061EE9"/>
    <w:multiLevelType w:val="hybridMultilevel"/>
    <w:tmpl w:val="07CEB0CA"/>
    <w:lvl w:ilvl="0" w:tplc="FC4207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396207"/>
    <w:multiLevelType w:val="hybridMultilevel"/>
    <w:tmpl w:val="427CE5F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01253AE"/>
    <w:multiLevelType w:val="multilevel"/>
    <w:tmpl w:val="FA34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59443C"/>
    <w:multiLevelType w:val="hybridMultilevel"/>
    <w:tmpl w:val="EDDCA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825A5B"/>
    <w:multiLevelType w:val="multilevel"/>
    <w:tmpl w:val="29E807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FE130A8"/>
    <w:multiLevelType w:val="multilevel"/>
    <w:tmpl w:val="C6A6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8"/>
  </w:num>
  <w:num w:numId="4">
    <w:abstractNumId w:val="1"/>
  </w:num>
  <w:num w:numId="5">
    <w:abstractNumId w:val="3"/>
  </w:num>
  <w:num w:numId="6">
    <w:abstractNumId w:val="0"/>
  </w:num>
  <w:num w:numId="7">
    <w:abstractNumId w:val="2"/>
  </w:num>
  <w:num w:numId="8">
    <w:abstractNumId w:val="13"/>
  </w:num>
  <w:num w:numId="9">
    <w:abstractNumId w:val="6"/>
  </w:num>
  <w:num w:numId="10">
    <w:abstractNumId w:val="9"/>
  </w:num>
  <w:num w:numId="11">
    <w:abstractNumId w:val="11"/>
  </w:num>
  <w:num w:numId="12">
    <w:abstractNumId w:val="7"/>
  </w:num>
  <w:num w:numId="13">
    <w:abstractNumId w:val="14"/>
  </w:num>
  <w:num w:numId="14">
    <w:abstractNumId w:val="4"/>
  </w:num>
  <w:num w:numId="15">
    <w:abstractNumId w:val="16"/>
  </w:num>
  <w:num w:numId="16">
    <w:abstractNumId w:val="17"/>
  </w:num>
  <w:num w:numId="17">
    <w:abstractNumId w:val="10"/>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C9"/>
    <w:rsid w:val="00000A66"/>
    <w:rsid w:val="0000296B"/>
    <w:rsid w:val="00005A60"/>
    <w:rsid w:val="00006FA4"/>
    <w:rsid w:val="000114F1"/>
    <w:rsid w:val="00012CB4"/>
    <w:rsid w:val="000136C9"/>
    <w:rsid w:val="000149F7"/>
    <w:rsid w:val="00014D7E"/>
    <w:rsid w:val="00015DE6"/>
    <w:rsid w:val="00016E38"/>
    <w:rsid w:val="00017A01"/>
    <w:rsid w:val="00020A0A"/>
    <w:rsid w:val="000219C7"/>
    <w:rsid w:val="0002330B"/>
    <w:rsid w:val="000233C5"/>
    <w:rsid w:val="00024B1E"/>
    <w:rsid w:val="00025630"/>
    <w:rsid w:val="00026FC9"/>
    <w:rsid w:val="00032E27"/>
    <w:rsid w:val="0003502A"/>
    <w:rsid w:val="00035F41"/>
    <w:rsid w:val="00037B31"/>
    <w:rsid w:val="000439A1"/>
    <w:rsid w:val="00044CA3"/>
    <w:rsid w:val="00045795"/>
    <w:rsid w:val="000459BB"/>
    <w:rsid w:val="00045A50"/>
    <w:rsid w:val="00052DC6"/>
    <w:rsid w:val="00053090"/>
    <w:rsid w:val="00054040"/>
    <w:rsid w:val="00057F30"/>
    <w:rsid w:val="00062424"/>
    <w:rsid w:val="00066DBE"/>
    <w:rsid w:val="00070B77"/>
    <w:rsid w:val="00072269"/>
    <w:rsid w:val="00072A92"/>
    <w:rsid w:val="00075381"/>
    <w:rsid w:val="00080EA3"/>
    <w:rsid w:val="00083E12"/>
    <w:rsid w:val="0008406C"/>
    <w:rsid w:val="000859BA"/>
    <w:rsid w:val="00086330"/>
    <w:rsid w:val="0009026E"/>
    <w:rsid w:val="00096607"/>
    <w:rsid w:val="000966B6"/>
    <w:rsid w:val="000A3174"/>
    <w:rsid w:val="000B2C50"/>
    <w:rsid w:val="000B39C7"/>
    <w:rsid w:val="000B3E9A"/>
    <w:rsid w:val="000B4120"/>
    <w:rsid w:val="000B47A3"/>
    <w:rsid w:val="000C07DA"/>
    <w:rsid w:val="000C3811"/>
    <w:rsid w:val="000C4181"/>
    <w:rsid w:val="000C64C5"/>
    <w:rsid w:val="000D6780"/>
    <w:rsid w:val="000D6DC2"/>
    <w:rsid w:val="000E4A59"/>
    <w:rsid w:val="000E69B5"/>
    <w:rsid w:val="000E6D14"/>
    <w:rsid w:val="000F1A47"/>
    <w:rsid w:val="000F7C19"/>
    <w:rsid w:val="00100236"/>
    <w:rsid w:val="00101A3A"/>
    <w:rsid w:val="00102E7D"/>
    <w:rsid w:val="00102F6F"/>
    <w:rsid w:val="0010400A"/>
    <w:rsid w:val="0010431A"/>
    <w:rsid w:val="00106B91"/>
    <w:rsid w:val="001126C5"/>
    <w:rsid w:val="00112B1A"/>
    <w:rsid w:val="00115188"/>
    <w:rsid w:val="00117FC1"/>
    <w:rsid w:val="001207D1"/>
    <w:rsid w:val="00123E8C"/>
    <w:rsid w:val="001262EC"/>
    <w:rsid w:val="00130A7D"/>
    <w:rsid w:val="001323D0"/>
    <w:rsid w:val="0014035E"/>
    <w:rsid w:val="001404C1"/>
    <w:rsid w:val="001404CD"/>
    <w:rsid w:val="0014134A"/>
    <w:rsid w:val="00142D2B"/>
    <w:rsid w:val="00145ABE"/>
    <w:rsid w:val="0014638F"/>
    <w:rsid w:val="00146547"/>
    <w:rsid w:val="001500FE"/>
    <w:rsid w:val="00157801"/>
    <w:rsid w:val="00160F09"/>
    <w:rsid w:val="001610CD"/>
    <w:rsid w:val="00163945"/>
    <w:rsid w:val="00165511"/>
    <w:rsid w:val="00167052"/>
    <w:rsid w:val="0017128D"/>
    <w:rsid w:val="00171B1F"/>
    <w:rsid w:val="00173937"/>
    <w:rsid w:val="00175EC4"/>
    <w:rsid w:val="00180DCA"/>
    <w:rsid w:val="00183A9E"/>
    <w:rsid w:val="00186A83"/>
    <w:rsid w:val="0019252E"/>
    <w:rsid w:val="00194A15"/>
    <w:rsid w:val="001A0855"/>
    <w:rsid w:val="001A0AB4"/>
    <w:rsid w:val="001A0F37"/>
    <w:rsid w:val="001A34FF"/>
    <w:rsid w:val="001A7547"/>
    <w:rsid w:val="001B1C5E"/>
    <w:rsid w:val="001B214D"/>
    <w:rsid w:val="001B5A70"/>
    <w:rsid w:val="001C3539"/>
    <w:rsid w:val="001C674E"/>
    <w:rsid w:val="001D2F31"/>
    <w:rsid w:val="001E7332"/>
    <w:rsid w:val="001F07EF"/>
    <w:rsid w:val="001F5D3D"/>
    <w:rsid w:val="001F7C69"/>
    <w:rsid w:val="002046C8"/>
    <w:rsid w:val="00206DCC"/>
    <w:rsid w:val="00211D4D"/>
    <w:rsid w:val="00211DB0"/>
    <w:rsid w:val="00212A42"/>
    <w:rsid w:val="00213820"/>
    <w:rsid w:val="00213DDF"/>
    <w:rsid w:val="0021568F"/>
    <w:rsid w:val="0021716F"/>
    <w:rsid w:val="00217678"/>
    <w:rsid w:val="002208B5"/>
    <w:rsid w:val="00224530"/>
    <w:rsid w:val="00227007"/>
    <w:rsid w:val="00230ECD"/>
    <w:rsid w:val="00233184"/>
    <w:rsid w:val="00236E4F"/>
    <w:rsid w:val="002373BB"/>
    <w:rsid w:val="00237734"/>
    <w:rsid w:val="0024298A"/>
    <w:rsid w:val="00244F21"/>
    <w:rsid w:val="00250912"/>
    <w:rsid w:val="00250D3C"/>
    <w:rsid w:val="00255B62"/>
    <w:rsid w:val="002562E7"/>
    <w:rsid w:val="00256541"/>
    <w:rsid w:val="002571D5"/>
    <w:rsid w:val="002572D1"/>
    <w:rsid w:val="00257747"/>
    <w:rsid w:val="00266AC6"/>
    <w:rsid w:val="002717A9"/>
    <w:rsid w:val="00271D00"/>
    <w:rsid w:val="0027248F"/>
    <w:rsid w:val="002746B7"/>
    <w:rsid w:val="00276D17"/>
    <w:rsid w:val="00277580"/>
    <w:rsid w:val="00282AB1"/>
    <w:rsid w:val="00285499"/>
    <w:rsid w:val="00287089"/>
    <w:rsid w:val="00292B25"/>
    <w:rsid w:val="00294F52"/>
    <w:rsid w:val="00296D17"/>
    <w:rsid w:val="002A25DF"/>
    <w:rsid w:val="002A2B18"/>
    <w:rsid w:val="002A35FE"/>
    <w:rsid w:val="002A3C65"/>
    <w:rsid w:val="002A4FD7"/>
    <w:rsid w:val="002B214A"/>
    <w:rsid w:val="002B2E4F"/>
    <w:rsid w:val="002B51FD"/>
    <w:rsid w:val="002C0624"/>
    <w:rsid w:val="002C1098"/>
    <w:rsid w:val="002C2C16"/>
    <w:rsid w:val="002C2FED"/>
    <w:rsid w:val="002C491D"/>
    <w:rsid w:val="002C4B8F"/>
    <w:rsid w:val="002C6BA2"/>
    <w:rsid w:val="002C6C02"/>
    <w:rsid w:val="002D1512"/>
    <w:rsid w:val="002D1BEE"/>
    <w:rsid w:val="002D2ECD"/>
    <w:rsid w:val="002D3BD7"/>
    <w:rsid w:val="002D676E"/>
    <w:rsid w:val="002E038C"/>
    <w:rsid w:val="002E2AAC"/>
    <w:rsid w:val="002E50C8"/>
    <w:rsid w:val="002E5EC8"/>
    <w:rsid w:val="002F1440"/>
    <w:rsid w:val="002F14CD"/>
    <w:rsid w:val="002F18EB"/>
    <w:rsid w:val="00303737"/>
    <w:rsid w:val="00303D94"/>
    <w:rsid w:val="003048CF"/>
    <w:rsid w:val="00310A44"/>
    <w:rsid w:val="00312875"/>
    <w:rsid w:val="00315125"/>
    <w:rsid w:val="00316E04"/>
    <w:rsid w:val="00317479"/>
    <w:rsid w:val="0032335C"/>
    <w:rsid w:val="00326179"/>
    <w:rsid w:val="0032744F"/>
    <w:rsid w:val="00327661"/>
    <w:rsid w:val="00336C3E"/>
    <w:rsid w:val="00341737"/>
    <w:rsid w:val="00344B25"/>
    <w:rsid w:val="0034665D"/>
    <w:rsid w:val="0035013B"/>
    <w:rsid w:val="0035530B"/>
    <w:rsid w:val="00355850"/>
    <w:rsid w:val="0035751A"/>
    <w:rsid w:val="00357620"/>
    <w:rsid w:val="003603EA"/>
    <w:rsid w:val="003610B9"/>
    <w:rsid w:val="00362334"/>
    <w:rsid w:val="00365A2D"/>
    <w:rsid w:val="003661EF"/>
    <w:rsid w:val="00374DDC"/>
    <w:rsid w:val="00375CC9"/>
    <w:rsid w:val="00375E35"/>
    <w:rsid w:val="00377262"/>
    <w:rsid w:val="0038300E"/>
    <w:rsid w:val="0038325B"/>
    <w:rsid w:val="003840D9"/>
    <w:rsid w:val="00391D15"/>
    <w:rsid w:val="0039235C"/>
    <w:rsid w:val="00394564"/>
    <w:rsid w:val="003973D7"/>
    <w:rsid w:val="003A3C1B"/>
    <w:rsid w:val="003B2C5A"/>
    <w:rsid w:val="003C0D32"/>
    <w:rsid w:val="003C3847"/>
    <w:rsid w:val="003C5F65"/>
    <w:rsid w:val="003C6DE2"/>
    <w:rsid w:val="003C783D"/>
    <w:rsid w:val="003D62B3"/>
    <w:rsid w:val="003D7AD3"/>
    <w:rsid w:val="003E235E"/>
    <w:rsid w:val="003E280D"/>
    <w:rsid w:val="003E2EC6"/>
    <w:rsid w:val="003E3196"/>
    <w:rsid w:val="003E39D7"/>
    <w:rsid w:val="003E7CA6"/>
    <w:rsid w:val="003E7DCB"/>
    <w:rsid w:val="003F1103"/>
    <w:rsid w:val="003F2849"/>
    <w:rsid w:val="003F3EE4"/>
    <w:rsid w:val="003F57CD"/>
    <w:rsid w:val="003F6B70"/>
    <w:rsid w:val="003F6DA2"/>
    <w:rsid w:val="00401597"/>
    <w:rsid w:val="0040683B"/>
    <w:rsid w:val="00407AC3"/>
    <w:rsid w:val="00407D50"/>
    <w:rsid w:val="004113AC"/>
    <w:rsid w:val="00411F51"/>
    <w:rsid w:val="00412185"/>
    <w:rsid w:val="004216BE"/>
    <w:rsid w:val="00422491"/>
    <w:rsid w:val="004226C3"/>
    <w:rsid w:val="00422C3E"/>
    <w:rsid w:val="00425D6A"/>
    <w:rsid w:val="00430BB2"/>
    <w:rsid w:val="0043479B"/>
    <w:rsid w:val="0043608B"/>
    <w:rsid w:val="00437CAC"/>
    <w:rsid w:val="0044019B"/>
    <w:rsid w:val="00440ED4"/>
    <w:rsid w:val="00441383"/>
    <w:rsid w:val="004413AE"/>
    <w:rsid w:val="004435B2"/>
    <w:rsid w:val="00445AF0"/>
    <w:rsid w:val="00447705"/>
    <w:rsid w:val="004500A0"/>
    <w:rsid w:val="00453276"/>
    <w:rsid w:val="00460EAF"/>
    <w:rsid w:val="004670F0"/>
    <w:rsid w:val="00474412"/>
    <w:rsid w:val="00480261"/>
    <w:rsid w:val="004807A5"/>
    <w:rsid w:val="00480B8A"/>
    <w:rsid w:val="0048176F"/>
    <w:rsid w:val="00483C90"/>
    <w:rsid w:val="004845FA"/>
    <w:rsid w:val="00493391"/>
    <w:rsid w:val="00496260"/>
    <w:rsid w:val="00496564"/>
    <w:rsid w:val="004976C9"/>
    <w:rsid w:val="004A159E"/>
    <w:rsid w:val="004B2D9B"/>
    <w:rsid w:val="004B4BFF"/>
    <w:rsid w:val="004B4D03"/>
    <w:rsid w:val="004C0589"/>
    <w:rsid w:val="004C115C"/>
    <w:rsid w:val="004C564B"/>
    <w:rsid w:val="004D0E54"/>
    <w:rsid w:val="004D16D2"/>
    <w:rsid w:val="004D1B1E"/>
    <w:rsid w:val="004E0746"/>
    <w:rsid w:val="004E1A06"/>
    <w:rsid w:val="004E782B"/>
    <w:rsid w:val="004F751D"/>
    <w:rsid w:val="005004C7"/>
    <w:rsid w:val="00512635"/>
    <w:rsid w:val="0051294F"/>
    <w:rsid w:val="005177C3"/>
    <w:rsid w:val="0051783D"/>
    <w:rsid w:val="00520ABD"/>
    <w:rsid w:val="005212C6"/>
    <w:rsid w:val="005212FA"/>
    <w:rsid w:val="00522CAF"/>
    <w:rsid w:val="00522FD9"/>
    <w:rsid w:val="00527E75"/>
    <w:rsid w:val="00530C14"/>
    <w:rsid w:val="00532EE7"/>
    <w:rsid w:val="00534053"/>
    <w:rsid w:val="005364C7"/>
    <w:rsid w:val="00543BBF"/>
    <w:rsid w:val="005474B8"/>
    <w:rsid w:val="005511AA"/>
    <w:rsid w:val="00561AD3"/>
    <w:rsid w:val="00567985"/>
    <w:rsid w:val="00577363"/>
    <w:rsid w:val="00583BD8"/>
    <w:rsid w:val="00584431"/>
    <w:rsid w:val="00584DB3"/>
    <w:rsid w:val="0058560F"/>
    <w:rsid w:val="00591541"/>
    <w:rsid w:val="005926A2"/>
    <w:rsid w:val="00593620"/>
    <w:rsid w:val="00593F16"/>
    <w:rsid w:val="00596713"/>
    <w:rsid w:val="00597312"/>
    <w:rsid w:val="005A075C"/>
    <w:rsid w:val="005A63B5"/>
    <w:rsid w:val="005B072E"/>
    <w:rsid w:val="005B0F2B"/>
    <w:rsid w:val="005B1905"/>
    <w:rsid w:val="005B1AAC"/>
    <w:rsid w:val="005B41AE"/>
    <w:rsid w:val="005B617A"/>
    <w:rsid w:val="005B71E3"/>
    <w:rsid w:val="005B73F1"/>
    <w:rsid w:val="005C1BBC"/>
    <w:rsid w:val="005C2FD6"/>
    <w:rsid w:val="005C48B3"/>
    <w:rsid w:val="005D1D32"/>
    <w:rsid w:val="005D2057"/>
    <w:rsid w:val="005D3E94"/>
    <w:rsid w:val="005D407E"/>
    <w:rsid w:val="005D7411"/>
    <w:rsid w:val="005E08C7"/>
    <w:rsid w:val="005E698A"/>
    <w:rsid w:val="005F0116"/>
    <w:rsid w:val="005F1058"/>
    <w:rsid w:val="005F2963"/>
    <w:rsid w:val="005F2BD4"/>
    <w:rsid w:val="005F57C3"/>
    <w:rsid w:val="00600B11"/>
    <w:rsid w:val="00604123"/>
    <w:rsid w:val="0061083D"/>
    <w:rsid w:val="00611BEE"/>
    <w:rsid w:val="00613F61"/>
    <w:rsid w:val="006163EA"/>
    <w:rsid w:val="00617C2D"/>
    <w:rsid w:val="006232A1"/>
    <w:rsid w:val="006241AD"/>
    <w:rsid w:val="00624776"/>
    <w:rsid w:val="00626598"/>
    <w:rsid w:val="00630AEB"/>
    <w:rsid w:val="0063123A"/>
    <w:rsid w:val="00632519"/>
    <w:rsid w:val="00633AB2"/>
    <w:rsid w:val="00634B73"/>
    <w:rsid w:val="00637AB0"/>
    <w:rsid w:val="00641D59"/>
    <w:rsid w:val="0064244A"/>
    <w:rsid w:val="00643B7B"/>
    <w:rsid w:val="00647204"/>
    <w:rsid w:val="00650282"/>
    <w:rsid w:val="006515AC"/>
    <w:rsid w:val="00653809"/>
    <w:rsid w:val="0065386F"/>
    <w:rsid w:val="00654741"/>
    <w:rsid w:val="00657586"/>
    <w:rsid w:val="00660D03"/>
    <w:rsid w:val="00661228"/>
    <w:rsid w:val="00661900"/>
    <w:rsid w:val="00664162"/>
    <w:rsid w:val="006652FD"/>
    <w:rsid w:val="006656ED"/>
    <w:rsid w:val="006722BC"/>
    <w:rsid w:val="00673528"/>
    <w:rsid w:val="006739CB"/>
    <w:rsid w:val="00673EBB"/>
    <w:rsid w:val="006801F5"/>
    <w:rsid w:val="006813A0"/>
    <w:rsid w:val="0068402C"/>
    <w:rsid w:val="00685253"/>
    <w:rsid w:val="006913F6"/>
    <w:rsid w:val="00693005"/>
    <w:rsid w:val="006937CD"/>
    <w:rsid w:val="00693AD0"/>
    <w:rsid w:val="00693B82"/>
    <w:rsid w:val="00695B2E"/>
    <w:rsid w:val="00696345"/>
    <w:rsid w:val="006965D2"/>
    <w:rsid w:val="00696F08"/>
    <w:rsid w:val="006A4BCA"/>
    <w:rsid w:val="006B399A"/>
    <w:rsid w:val="006B402B"/>
    <w:rsid w:val="006B65B8"/>
    <w:rsid w:val="006B79A8"/>
    <w:rsid w:val="006C122F"/>
    <w:rsid w:val="006C295C"/>
    <w:rsid w:val="006C4E19"/>
    <w:rsid w:val="006C5CD5"/>
    <w:rsid w:val="006C7332"/>
    <w:rsid w:val="006C7F20"/>
    <w:rsid w:val="006D03C2"/>
    <w:rsid w:val="006D2CFA"/>
    <w:rsid w:val="006D393C"/>
    <w:rsid w:val="006D54BC"/>
    <w:rsid w:val="006D5D09"/>
    <w:rsid w:val="006D6E34"/>
    <w:rsid w:val="006D7A23"/>
    <w:rsid w:val="006D7FDC"/>
    <w:rsid w:val="006E1582"/>
    <w:rsid w:val="006E4AE4"/>
    <w:rsid w:val="006E5E5F"/>
    <w:rsid w:val="006E6785"/>
    <w:rsid w:val="006F16B4"/>
    <w:rsid w:val="006F4A9B"/>
    <w:rsid w:val="006F597C"/>
    <w:rsid w:val="006F60F7"/>
    <w:rsid w:val="006F70EA"/>
    <w:rsid w:val="007004F0"/>
    <w:rsid w:val="00700A5F"/>
    <w:rsid w:val="00701F84"/>
    <w:rsid w:val="00703D9C"/>
    <w:rsid w:val="0070466B"/>
    <w:rsid w:val="00705FF8"/>
    <w:rsid w:val="0070650C"/>
    <w:rsid w:val="00711FA3"/>
    <w:rsid w:val="00713A09"/>
    <w:rsid w:val="00713F6D"/>
    <w:rsid w:val="00716C4F"/>
    <w:rsid w:val="00717C70"/>
    <w:rsid w:val="007253A5"/>
    <w:rsid w:val="007277F8"/>
    <w:rsid w:val="0073290D"/>
    <w:rsid w:val="0074253E"/>
    <w:rsid w:val="00743BEF"/>
    <w:rsid w:val="00743F11"/>
    <w:rsid w:val="0074617B"/>
    <w:rsid w:val="0075209C"/>
    <w:rsid w:val="0075222E"/>
    <w:rsid w:val="00755ECA"/>
    <w:rsid w:val="007579E1"/>
    <w:rsid w:val="00760EDE"/>
    <w:rsid w:val="007615F0"/>
    <w:rsid w:val="00761B68"/>
    <w:rsid w:val="00763FE2"/>
    <w:rsid w:val="00764D38"/>
    <w:rsid w:val="00766E33"/>
    <w:rsid w:val="0077479C"/>
    <w:rsid w:val="007758D2"/>
    <w:rsid w:val="007807D8"/>
    <w:rsid w:val="00781A22"/>
    <w:rsid w:val="00786512"/>
    <w:rsid w:val="00786515"/>
    <w:rsid w:val="00786897"/>
    <w:rsid w:val="00786AAD"/>
    <w:rsid w:val="00792559"/>
    <w:rsid w:val="00795FB5"/>
    <w:rsid w:val="007A3398"/>
    <w:rsid w:val="007A5809"/>
    <w:rsid w:val="007B162D"/>
    <w:rsid w:val="007B16FD"/>
    <w:rsid w:val="007B2D08"/>
    <w:rsid w:val="007B37EC"/>
    <w:rsid w:val="007B46AD"/>
    <w:rsid w:val="007B4BFF"/>
    <w:rsid w:val="007B58B2"/>
    <w:rsid w:val="007B5FB8"/>
    <w:rsid w:val="007B6E72"/>
    <w:rsid w:val="007C0F62"/>
    <w:rsid w:val="007C185D"/>
    <w:rsid w:val="007C1C27"/>
    <w:rsid w:val="007C2B5D"/>
    <w:rsid w:val="007C7A7E"/>
    <w:rsid w:val="007C7C7C"/>
    <w:rsid w:val="007D104C"/>
    <w:rsid w:val="007D5A06"/>
    <w:rsid w:val="007D5A7C"/>
    <w:rsid w:val="007E12A6"/>
    <w:rsid w:val="007E1A0E"/>
    <w:rsid w:val="007E27A4"/>
    <w:rsid w:val="007E2DE2"/>
    <w:rsid w:val="007E4CCF"/>
    <w:rsid w:val="007E66A1"/>
    <w:rsid w:val="007F1A04"/>
    <w:rsid w:val="007F392C"/>
    <w:rsid w:val="007F79D2"/>
    <w:rsid w:val="00800AAB"/>
    <w:rsid w:val="008015FA"/>
    <w:rsid w:val="00801B5B"/>
    <w:rsid w:val="008028CF"/>
    <w:rsid w:val="008029FA"/>
    <w:rsid w:val="00803CE9"/>
    <w:rsid w:val="008053FE"/>
    <w:rsid w:val="00806E23"/>
    <w:rsid w:val="00807BEB"/>
    <w:rsid w:val="0081092D"/>
    <w:rsid w:val="00811D92"/>
    <w:rsid w:val="00816AF8"/>
    <w:rsid w:val="0082065D"/>
    <w:rsid w:val="00821DC7"/>
    <w:rsid w:val="00822B5E"/>
    <w:rsid w:val="00826887"/>
    <w:rsid w:val="0083419D"/>
    <w:rsid w:val="00834D9C"/>
    <w:rsid w:val="00835440"/>
    <w:rsid w:val="00835AA9"/>
    <w:rsid w:val="0083611A"/>
    <w:rsid w:val="00837F8E"/>
    <w:rsid w:val="00841180"/>
    <w:rsid w:val="008415F2"/>
    <w:rsid w:val="00844023"/>
    <w:rsid w:val="0084684F"/>
    <w:rsid w:val="008477E7"/>
    <w:rsid w:val="00851D83"/>
    <w:rsid w:val="008545C5"/>
    <w:rsid w:val="00854CFC"/>
    <w:rsid w:val="0085510C"/>
    <w:rsid w:val="00855B40"/>
    <w:rsid w:val="00860CB3"/>
    <w:rsid w:val="00861556"/>
    <w:rsid w:val="00861648"/>
    <w:rsid w:val="00862612"/>
    <w:rsid w:val="008645B2"/>
    <w:rsid w:val="008661E3"/>
    <w:rsid w:val="008666E3"/>
    <w:rsid w:val="008700DD"/>
    <w:rsid w:val="00871E1A"/>
    <w:rsid w:val="008806F9"/>
    <w:rsid w:val="0088215A"/>
    <w:rsid w:val="00884750"/>
    <w:rsid w:val="008905C9"/>
    <w:rsid w:val="00892E31"/>
    <w:rsid w:val="00894A6F"/>
    <w:rsid w:val="00894B30"/>
    <w:rsid w:val="008A0234"/>
    <w:rsid w:val="008A0E1E"/>
    <w:rsid w:val="008A2D0E"/>
    <w:rsid w:val="008A3ACA"/>
    <w:rsid w:val="008A5971"/>
    <w:rsid w:val="008B07AC"/>
    <w:rsid w:val="008B0842"/>
    <w:rsid w:val="008B0B6C"/>
    <w:rsid w:val="008B1A17"/>
    <w:rsid w:val="008B4164"/>
    <w:rsid w:val="008B5A08"/>
    <w:rsid w:val="008B7E75"/>
    <w:rsid w:val="008C54B5"/>
    <w:rsid w:val="008C62E1"/>
    <w:rsid w:val="008C72B2"/>
    <w:rsid w:val="008D0B61"/>
    <w:rsid w:val="008D113F"/>
    <w:rsid w:val="008D126B"/>
    <w:rsid w:val="008D1F79"/>
    <w:rsid w:val="008D491D"/>
    <w:rsid w:val="008D53D0"/>
    <w:rsid w:val="008D555D"/>
    <w:rsid w:val="008D6304"/>
    <w:rsid w:val="008D730A"/>
    <w:rsid w:val="008E0681"/>
    <w:rsid w:val="008E142D"/>
    <w:rsid w:val="008E26EF"/>
    <w:rsid w:val="008E2EF6"/>
    <w:rsid w:val="008E310C"/>
    <w:rsid w:val="008E4307"/>
    <w:rsid w:val="008E58A6"/>
    <w:rsid w:val="008E6711"/>
    <w:rsid w:val="008F1BB7"/>
    <w:rsid w:val="008F416A"/>
    <w:rsid w:val="008F4640"/>
    <w:rsid w:val="008F48B7"/>
    <w:rsid w:val="008F5D29"/>
    <w:rsid w:val="00903815"/>
    <w:rsid w:val="0090564A"/>
    <w:rsid w:val="009063C1"/>
    <w:rsid w:val="009076D5"/>
    <w:rsid w:val="0091343F"/>
    <w:rsid w:val="00915C0C"/>
    <w:rsid w:val="009172AC"/>
    <w:rsid w:val="00921CEC"/>
    <w:rsid w:val="009222AC"/>
    <w:rsid w:val="0092605F"/>
    <w:rsid w:val="00926759"/>
    <w:rsid w:val="00930C71"/>
    <w:rsid w:val="009361C2"/>
    <w:rsid w:val="009373DB"/>
    <w:rsid w:val="00940E68"/>
    <w:rsid w:val="00942DB1"/>
    <w:rsid w:val="00942E46"/>
    <w:rsid w:val="0094332E"/>
    <w:rsid w:val="00945E5F"/>
    <w:rsid w:val="00952757"/>
    <w:rsid w:val="00952D80"/>
    <w:rsid w:val="00953141"/>
    <w:rsid w:val="00954887"/>
    <w:rsid w:val="00957439"/>
    <w:rsid w:val="009574D9"/>
    <w:rsid w:val="009655F3"/>
    <w:rsid w:val="00966B7F"/>
    <w:rsid w:val="009672DA"/>
    <w:rsid w:val="009702CB"/>
    <w:rsid w:val="00973C9D"/>
    <w:rsid w:val="009744F7"/>
    <w:rsid w:val="00977138"/>
    <w:rsid w:val="00983E24"/>
    <w:rsid w:val="009845C3"/>
    <w:rsid w:val="00984D57"/>
    <w:rsid w:val="00985A4F"/>
    <w:rsid w:val="00991CC0"/>
    <w:rsid w:val="00992AB8"/>
    <w:rsid w:val="009934F7"/>
    <w:rsid w:val="00994107"/>
    <w:rsid w:val="009A0D37"/>
    <w:rsid w:val="009A13D5"/>
    <w:rsid w:val="009A1F20"/>
    <w:rsid w:val="009B3B4D"/>
    <w:rsid w:val="009B3F95"/>
    <w:rsid w:val="009B4678"/>
    <w:rsid w:val="009B5FD8"/>
    <w:rsid w:val="009B669B"/>
    <w:rsid w:val="009B7818"/>
    <w:rsid w:val="009B7C4E"/>
    <w:rsid w:val="009C1D05"/>
    <w:rsid w:val="009C44DE"/>
    <w:rsid w:val="009C6C92"/>
    <w:rsid w:val="009C7832"/>
    <w:rsid w:val="009D18C3"/>
    <w:rsid w:val="009D3F71"/>
    <w:rsid w:val="009D628F"/>
    <w:rsid w:val="009E0CA9"/>
    <w:rsid w:val="009E2D61"/>
    <w:rsid w:val="009E30E5"/>
    <w:rsid w:val="009E46BC"/>
    <w:rsid w:val="009F2821"/>
    <w:rsid w:val="009F3018"/>
    <w:rsid w:val="009F433F"/>
    <w:rsid w:val="009F49EF"/>
    <w:rsid w:val="00A020C3"/>
    <w:rsid w:val="00A036AC"/>
    <w:rsid w:val="00A04E0F"/>
    <w:rsid w:val="00A05DC6"/>
    <w:rsid w:val="00A122CB"/>
    <w:rsid w:val="00A12A58"/>
    <w:rsid w:val="00A13820"/>
    <w:rsid w:val="00A14C93"/>
    <w:rsid w:val="00A171C9"/>
    <w:rsid w:val="00A205B5"/>
    <w:rsid w:val="00A2068B"/>
    <w:rsid w:val="00A2069D"/>
    <w:rsid w:val="00A20B0C"/>
    <w:rsid w:val="00A2282F"/>
    <w:rsid w:val="00A2514E"/>
    <w:rsid w:val="00A26319"/>
    <w:rsid w:val="00A300FF"/>
    <w:rsid w:val="00A301D1"/>
    <w:rsid w:val="00A30C0B"/>
    <w:rsid w:val="00A3344E"/>
    <w:rsid w:val="00A34524"/>
    <w:rsid w:val="00A36668"/>
    <w:rsid w:val="00A42443"/>
    <w:rsid w:val="00A44B87"/>
    <w:rsid w:val="00A51FE3"/>
    <w:rsid w:val="00A5384A"/>
    <w:rsid w:val="00A54243"/>
    <w:rsid w:val="00A55CB4"/>
    <w:rsid w:val="00A55E73"/>
    <w:rsid w:val="00A567C1"/>
    <w:rsid w:val="00A5695F"/>
    <w:rsid w:val="00A60217"/>
    <w:rsid w:val="00A6204E"/>
    <w:rsid w:val="00A62B8F"/>
    <w:rsid w:val="00A64A0F"/>
    <w:rsid w:val="00A70086"/>
    <w:rsid w:val="00A71521"/>
    <w:rsid w:val="00A744AA"/>
    <w:rsid w:val="00A77B2B"/>
    <w:rsid w:val="00A80F6A"/>
    <w:rsid w:val="00A81011"/>
    <w:rsid w:val="00A812EC"/>
    <w:rsid w:val="00A81F09"/>
    <w:rsid w:val="00A85EC9"/>
    <w:rsid w:val="00A87104"/>
    <w:rsid w:val="00A871B4"/>
    <w:rsid w:val="00A87F70"/>
    <w:rsid w:val="00A91A22"/>
    <w:rsid w:val="00A93AB3"/>
    <w:rsid w:val="00A95413"/>
    <w:rsid w:val="00A97300"/>
    <w:rsid w:val="00A977D8"/>
    <w:rsid w:val="00AA0768"/>
    <w:rsid w:val="00AA0940"/>
    <w:rsid w:val="00AA3150"/>
    <w:rsid w:val="00AA420F"/>
    <w:rsid w:val="00AA6D9E"/>
    <w:rsid w:val="00AA747F"/>
    <w:rsid w:val="00AB0F19"/>
    <w:rsid w:val="00AB59B5"/>
    <w:rsid w:val="00AB5B7F"/>
    <w:rsid w:val="00AC1983"/>
    <w:rsid w:val="00AC1BFD"/>
    <w:rsid w:val="00AC3668"/>
    <w:rsid w:val="00AC721A"/>
    <w:rsid w:val="00AD0884"/>
    <w:rsid w:val="00AD1BBB"/>
    <w:rsid w:val="00AD7F22"/>
    <w:rsid w:val="00AE08CD"/>
    <w:rsid w:val="00AE0BC9"/>
    <w:rsid w:val="00AE1B21"/>
    <w:rsid w:val="00AE3885"/>
    <w:rsid w:val="00AE3CDF"/>
    <w:rsid w:val="00AE4DAA"/>
    <w:rsid w:val="00AE4F32"/>
    <w:rsid w:val="00AE516D"/>
    <w:rsid w:val="00AF0E4E"/>
    <w:rsid w:val="00AF1390"/>
    <w:rsid w:val="00AF62F4"/>
    <w:rsid w:val="00B00325"/>
    <w:rsid w:val="00B00663"/>
    <w:rsid w:val="00B01093"/>
    <w:rsid w:val="00B02688"/>
    <w:rsid w:val="00B0423F"/>
    <w:rsid w:val="00B05928"/>
    <w:rsid w:val="00B07B88"/>
    <w:rsid w:val="00B136B9"/>
    <w:rsid w:val="00B14F6D"/>
    <w:rsid w:val="00B174F8"/>
    <w:rsid w:val="00B22084"/>
    <w:rsid w:val="00B240CF"/>
    <w:rsid w:val="00B2448C"/>
    <w:rsid w:val="00B24EF6"/>
    <w:rsid w:val="00B2781A"/>
    <w:rsid w:val="00B30CB5"/>
    <w:rsid w:val="00B35CB5"/>
    <w:rsid w:val="00B422A3"/>
    <w:rsid w:val="00B42BC8"/>
    <w:rsid w:val="00B46965"/>
    <w:rsid w:val="00B522E2"/>
    <w:rsid w:val="00B543EA"/>
    <w:rsid w:val="00B54BE3"/>
    <w:rsid w:val="00B61750"/>
    <w:rsid w:val="00B61CA3"/>
    <w:rsid w:val="00B6210C"/>
    <w:rsid w:val="00B63617"/>
    <w:rsid w:val="00B65A0E"/>
    <w:rsid w:val="00B66142"/>
    <w:rsid w:val="00B6671B"/>
    <w:rsid w:val="00B70CB2"/>
    <w:rsid w:val="00B72BA7"/>
    <w:rsid w:val="00B73BC4"/>
    <w:rsid w:val="00B74CB5"/>
    <w:rsid w:val="00B777C0"/>
    <w:rsid w:val="00B8146B"/>
    <w:rsid w:val="00B81E8B"/>
    <w:rsid w:val="00B824CE"/>
    <w:rsid w:val="00B956BF"/>
    <w:rsid w:val="00B962DD"/>
    <w:rsid w:val="00BA35C2"/>
    <w:rsid w:val="00BA6261"/>
    <w:rsid w:val="00BA6E4E"/>
    <w:rsid w:val="00BB0200"/>
    <w:rsid w:val="00BB1A9C"/>
    <w:rsid w:val="00BB3221"/>
    <w:rsid w:val="00BB64B4"/>
    <w:rsid w:val="00BB7B78"/>
    <w:rsid w:val="00BC0399"/>
    <w:rsid w:val="00BC06FE"/>
    <w:rsid w:val="00BC1BE2"/>
    <w:rsid w:val="00BC2479"/>
    <w:rsid w:val="00BC3301"/>
    <w:rsid w:val="00BC7693"/>
    <w:rsid w:val="00BD0FD9"/>
    <w:rsid w:val="00BD4DF4"/>
    <w:rsid w:val="00BD7E93"/>
    <w:rsid w:val="00BE10D8"/>
    <w:rsid w:val="00BE2400"/>
    <w:rsid w:val="00BE2D3F"/>
    <w:rsid w:val="00BE4FB5"/>
    <w:rsid w:val="00BE5C56"/>
    <w:rsid w:val="00BE6FD6"/>
    <w:rsid w:val="00BE76C9"/>
    <w:rsid w:val="00BF0857"/>
    <w:rsid w:val="00BF1096"/>
    <w:rsid w:val="00BF1866"/>
    <w:rsid w:val="00BF6CAD"/>
    <w:rsid w:val="00C01166"/>
    <w:rsid w:val="00C0286D"/>
    <w:rsid w:val="00C032ED"/>
    <w:rsid w:val="00C07CB7"/>
    <w:rsid w:val="00C11184"/>
    <w:rsid w:val="00C15C12"/>
    <w:rsid w:val="00C17D2D"/>
    <w:rsid w:val="00C2248E"/>
    <w:rsid w:val="00C230E4"/>
    <w:rsid w:val="00C24A9B"/>
    <w:rsid w:val="00C2558A"/>
    <w:rsid w:val="00C30462"/>
    <w:rsid w:val="00C3281B"/>
    <w:rsid w:val="00C34A5A"/>
    <w:rsid w:val="00C35F5D"/>
    <w:rsid w:val="00C36138"/>
    <w:rsid w:val="00C37CD7"/>
    <w:rsid w:val="00C408E0"/>
    <w:rsid w:val="00C41FFB"/>
    <w:rsid w:val="00C44B80"/>
    <w:rsid w:val="00C453D2"/>
    <w:rsid w:val="00C470EA"/>
    <w:rsid w:val="00C47F3F"/>
    <w:rsid w:val="00C50F7B"/>
    <w:rsid w:val="00C5494B"/>
    <w:rsid w:val="00C608B6"/>
    <w:rsid w:val="00C63914"/>
    <w:rsid w:val="00C668FF"/>
    <w:rsid w:val="00C66FFD"/>
    <w:rsid w:val="00C70F76"/>
    <w:rsid w:val="00C72E29"/>
    <w:rsid w:val="00C741AD"/>
    <w:rsid w:val="00C75A1D"/>
    <w:rsid w:val="00C75DAD"/>
    <w:rsid w:val="00C816CE"/>
    <w:rsid w:val="00C837A9"/>
    <w:rsid w:val="00C84051"/>
    <w:rsid w:val="00C9684D"/>
    <w:rsid w:val="00C9732D"/>
    <w:rsid w:val="00CA0182"/>
    <w:rsid w:val="00CA0FF4"/>
    <w:rsid w:val="00CA3107"/>
    <w:rsid w:val="00CA57BB"/>
    <w:rsid w:val="00CA61F9"/>
    <w:rsid w:val="00CB2073"/>
    <w:rsid w:val="00CB3727"/>
    <w:rsid w:val="00CB3A0A"/>
    <w:rsid w:val="00CB4B65"/>
    <w:rsid w:val="00CB50D0"/>
    <w:rsid w:val="00CB6B6F"/>
    <w:rsid w:val="00CC119F"/>
    <w:rsid w:val="00CC39A4"/>
    <w:rsid w:val="00CC74B0"/>
    <w:rsid w:val="00CD0543"/>
    <w:rsid w:val="00CD1A11"/>
    <w:rsid w:val="00CD4937"/>
    <w:rsid w:val="00CD606B"/>
    <w:rsid w:val="00CE14C8"/>
    <w:rsid w:val="00CE23FF"/>
    <w:rsid w:val="00CE2578"/>
    <w:rsid w:val="00CE3432"/>
    <w:rsid w:val="00CE36E1"/>
    <w:rsid w:val="00CE7B27"/>
    <w:rsid w:val="00CF3F09"/>
    <w:rsid w:val="00CF483A"/>
    <w:rsid w:val="00CF5802"/>
    <w:rsid w:val="00CF7D64"/>
    <w:rsid w:val="00D0023F"/>
    <w:rsid w:val="00D00275"/>
    <w:rsid w:val="00D00AEA"/>
    <w:rsid w:val="00D0332C"/>
    <w:rsid w:val="00D0435F"/>
    <w:rsid w:val="00D05316"/>
    <w:rsid w:val="00D0608B"/>
    <w:rsid w:val="00D06A75"/>
    <w:rsid w:val="00D06CA6"/>
    <w:rsid w:val="00D072F5"/>
    <w:rsid w:val="00D07341"/>
    <w:rsid w:val="00D07FD3"/>
    <w:rsid w:val="00D16B59"/>
    <w:rsid w:val="00D16F75"/>
    <w:rsid w:val="00D17D63"/>
    <w:rsid w:val="00D20F02"/>
    <w:rsid w:val="00D21641"/>
    <w:rsid w:val="00D23249"/>
    <w:rsid w:val="00D26434"/>
    <w:rsid w:val="00D2685C"/>
    <w:rsid w:val="00D26EDB"/>
    <w:rsid w:val="00D3099E"/>
    <w:rsid w:val="00D33CEA"/>
    <w:rsid w:val="00D35512"/>
    <w:rsid w:val="00D40606"/>
    <w:rsid w:val="00D4246B"/>
    <w:rsid w:val="00D42FF3"/>
    <w:rsid w:val="00D43333"/>
    <w:rsid w:val="00D4447B"/>
    <w:rsid w:val="00D44E86"/>
    <w:rsid w:val="00D46CC0"/>
    <w:rsid w:val="00D51A2D"/>
    <w:rsid w:val="00D51EB9"/>
    <w:rsid w:val="00D56FBE"/>
    <w:rsid w:val="00D57008"/>
    <w:rsid w:val="00D642E3"/>
    <w:rsid w:val="00D674EF"/>
    <w:rsid w:val="00D67682"/>
    <w:rsid w:val="00D677DB"/>
    <w:rsid w:val="00D702E2"/>
    <w:rsid w:val="00D71072"/>
    <w:rsid w:val="00D754B3"/>
    <w:rsid w:val="00D75C28"/>
    <w:rsid w:val="00D75CF1"/>
    <w:rsid w:val="00D76938"/>
    <w:rsid w:val="00D816B6"/>
    <w:rsid w:val="00D818BD"/>
    <w:rsid w:val="00D8221B"/>
    <w:rsid w:val="00D85E5E"/>
    <w:rsid w:val="00D9200C"/>
    <w:rsid w:val="00D92EAE"/>
    <w:rsid w:val="00D94A58"/>
    <w:rsid w:val="00D967C4"/>
    <w:rsid w:val="00DA40CB"/>
    <w:rsid w:val="00DB02CC"/>
    <w:rsid w:val="00DB6781"/>
    <w:rsid w:val="00DB6949"/>
    <w:rsid w:val="00DB74F3"/>
    <w:rsid w:val="00DC192A"/>
    <w:rsid w:val="00DC3935"/>
    <w:rsid w:val="00DC3C70"/>
    <w:rsid w:val="00DC3D6C"/>
    <w:rsid w:val="00DC59FF"/>
    <w:rsid w:val="00DC6BEF"/>
    <w:rsid w:val="00DD6D4C"/>
    <w:rsid w:val="00DD7E09"/>
    <w:rsid w:val="00DE01AE"/>
    <w:rsid w:val="00DE1A3D"/>
    <w:rsid w:val="00DE2948"/>
    <w:rsid w:val="00DE3028"/>
    <w:rsid w:val="00DE70DE"/>
    <w:rsid w:val="00DF0163"/>
    <w:rsid w:val="00DF01B4"/>
    <w:rsid w:val="00DF1AAA"/>
    <w:rsid w:val="00DF1EA0"/>
    <w:rsid w:val="00DF310F"/>
    <w:rsid w:val="00DF6627"/>
    <w:rsid w:val="00E00AB8"/>
    <w:rsid w:val="00E01561"/>
    <w:rsid w:val="00E02DE6"/>
    <w:rsid w:val="00E04A15"/>
    <w:rsid w:val="00E057BF"/>
    <w:rsid w:val="00E06107"/>
    <w:rsid w:val="00E06ED9"/>
    <w:rsid w:val="00E1117D"/>
    <w:rsid w:val="00E144D8"/>
    <w:rsid w:val="00E20DDF"/>
    <w:rsid w:val="00E22BA3"/>
    <w:rsid w:val="00E23646"/>
    <w:rsid w:val="00E24202"/>
    <w:rsid w:val="00E25C44"/>
    <w:rsid w:val="00E26DC6"/>
    <w:rsid w:val="00E31D70"/>
    <w:rsid w:val="00E33731"/>
    <w:rsid w:val="00E35204"/>
    <w:rsid w:val="00E352A0"/>
    <w:rsid w:val="00E36CCA"/>
    <w:rsid w:val="00E37646"/>
    <w:rsid w:val="00E409A5"/>
    <w:rsid w:val="00E41532"/>
    <w:rsid w:val="00E41749"/>
    <w:rsid w:val="00E433BD"/>
    <w:rsid w:val="00E43A21"/>
    <w:rsid w:val="00E442E1"/>
    <w:rsid w:val="00E44D5A"/>
    <w:rsid w:val="00E462E4"/>
    <w:rsid w:val="00E466CC"/>
    <w:rsid w:val="00E53B14"/>
    <w:rsid w:val="00E56106"/>
    <w:rsid w:val="00E567F2"/>
    <w:rsid w:val="00E56F51"/>
    <w:rsid w:val="00E57F7F"/>
    <w:rsid w:val="00E6156C"/>
    <w:rsid w:val="00E63A51"/>
    <w:rsid w:val="00E66059"/>
    <w:rsid w:val="00E6663F"/>
    <w:rsid w:val="00E66914"/>
    <w:rsid w:val="00E670A3"/>
    <w:rsid w:val="00E676A3"/>
    <w:rsid w:val="00E727A1"/>
    <w:rsid w:val="00E74AA2"/>
    <w:rsid w:val="00E76D55"/>
    <w:rsid w:val="00E76E5D"/>
    <w:rsid w:val="00E8354E"/>
    <w:rsid w:val="00E9000D"/>
    <w:rsid w:val="00E9068B"/>
    <w:rsid w:val="00E931EC"/>
    <w:rsid w:val="00E95E97"/>
    <w:rsid w:val="00EA065E"/>
    <w:rsid w:val="00EA09CE"/>
    <w:rsid w:val="00EA1AD5"/>
    <w:rsid w:val="00EA1D4B"/>
    <w:rsid w:val="00EA5A8B"/>
    <w:rsid w:val="00EB2E19"/>
    <w:rsid w:val="00EB4768"/>
    <w:rsid w:val="00EC18E2"/>
    <w:rsid w:val="00ED0686"/>
    <w:rsid w:val="00ED0DD9"/>
    <w:rsid w:val="00ED16DF"/>
    <w:rsid w:val="00ED2974"/>
    <w:rsid w:val="00ED421A"/>
    <w:rsid w:val="00ED614F"/>
    <w:rsid w:val="00ED6E61"/>
    <w:rsid w:val="00ED76BD"/>
    <w:rsid w:val="00EE0D47"/>
    <w:rsid w:val="00EE2F20"/>
    <w:rsid w:val="00EE66C5"/>
    <w:rsid w:val="00EF0352"/>
    <w:rsid w:val="00EF1E63"/>
    <w:rsid w:val="00EF416C"/>
    <w:rsid w:val="00EF52CC"/>
    <w:rsid w:val="00EF65B0"/>
    <w:rsid w:val="00EF7C4F"/>
    <w:rsid w:val="00F0222E"/>
    <w:rsid w:val="00F0384F"/>
    <w:rsid w:val="00F042F7"/>
    <w:rsid w:val="00F05AD1"/>
    <w:rsid w:val="00F07A50"/>
    <w:rsid w:val="00F10C83"/>
    <w:rsid w:val="00F1439C"/>
    <w:rsid w:val="00F15540"/>
    <w:rsid w:val="00F170AA"/>
    <w:rsid w:val="00F22173"/>
    <w:rsid w:val="00F23B72"/>
    <w:rsid w:val="00F256B2"/>
    <w:rsid w:val="00F3144A"/>
    <w:rsid w:val="00F33C1B"/>
    <w:rsid w:val="00F340E8"/>
    <w:rsid w:val="00F35123"/>
    <w:rsid w:val="00F35CCF"/>
    <w:rsid w:val="00F40139"/>
    <w:rsid w:val="00F4444A"/>
    <w:rsid w:val="00F446EA"/>
    <w:rsid w:val="00F50265"/>
    <w:rsid w:val="00F52265"/>
    <w:rsid w:val="00F52784"/>
    <w:rsid w:val="00F52D15"/>
    <w:rsid w:val="00F55D72"/>
    <w:rsid w:val="00F5682B"/>
    <w:rsid w:val="00F56AF5"/>
    <w:rsid w:val="00F5797F"/>
    <w:rsid w:val="00F61261"/>
    <w:rsid w:val="00F63719"/>
    <w:rsid w:val="00F63743"/>
    <w:rsid w:val="00F6438D"/>
    <w:rsid w:val="00F718BC"/>
    <w:rsid w:val="00F76647"/>
    <w:rsid w:val="00F828C2"/>
    <w:rsid w:val="00F856B2"/>
    <w:rsid w:val="00F85C10"/>
    <w:rsid w:val="00F878ED"/>
    <w:rsid w:val="00F87F1D"/>
    <w:rsid w:val="00F915C4"/>
    <w:rsid w:val="00F944AC"/>
    <w:rsid w:val="00FA0EE0"/>
    <w:rsid w:val="00FA1F08"/>
    <w:rsid w:val="00FA23A3"/>
    <w:rsid w:val="00FA3C44"/>
    <w:rsid w:val="00FA4303"/>
    <w:rsid w:val="00FA78DA"/>
    <w:rsid w:val="00FB2C6B"/>
    <w:rsid w:val="00FB69DC"/>
    <w:rsid w:val="00FB7C87"/>
    <w:rsid w:val="00FB7F95"/>
    <w:rsid w:val="00FC09EE"/>
    <w:rsid w:val="00FC0E26"/>
    <w:rsid w:val="00FC1FED"/>
    <w:rsid w:val="00FC2211"/>
    <w:rsid w:val="00FC297C"/>
    <w:rsid w:val="00FC48B6"/>
    <w:rsid w:val="00FC64F4"/>
    <w:rsid w:val="00FD04E7"/>
    <w:rsid w:val="00FD1DCE"/>
    <w:rsid w:val="00FD4FF3"/>
    <w:rsid w:val="00FF42F6"/>
    <w:rsid w:val="00FF4528"/>
    <w:rsid w:val="00FF48A9"/>
    <w:rsid w:val="00FF77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4A62"/>
  <w15:chartTrackingRefBased/>
  <w15:docId w15:val="{372C1256-4CEA-4682-9C5E-CCB2ADA2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BE"/>
    </w:rPr>
  </w:style>
  <w:style w:type="paragraph" w:styleId="Heading1">
    <w:name w:val="heading 1"/>
    <w:basedOn w:val="Normal"/>
    <w:next w:val="Normal"/>
    <w:link w:val="Heading1Char"/>
    <w:uiPriority w:val="9"/>
    <w:qFormat/>
    <w:rsid w:val="009E46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E409A5"/>
    <w:pPr>
      <w:keepNext/>
      <w:keepLines/>
      <w:spacing w:before="40" w:after="0"/>
      <w:outlineLvl w:val="1"/>
    </w:pPr>
    <w:rPr>
      <w:rFonts w:asciiTheme="majorHAnsi" w:eastAsiaTheme="majorEastAsia" w:hAnsiTheme="majorHAnsi" w:cstheme="majorBidi"/>
      <w:color w:val="4472C4" w:themeColor="accent1"/>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9A5"/>
    <w:rPr>
      <w:rFonts w:asciiTheme="majorHAnsi" w:eastAsiaTheme="majorEastAsia" w:hAnsiTheme="majorHAnsi" w:cstheme="majorBidi"/>
      <w:color w:val="4472C4" w:themeColor="accent1"/>
      <w:sz w:val="28"/>
      <w:szCs w:val="26"/>
    </w:rPr>
  </w:style>
  <w:style w:type="paragraph" w:styleId="BalloonText">
    <w:name w:val="Balloon Text"/>
    <w:basedOn w:val="Normal"/>
    <w:link w:val="BalloonTextChar"/>
    <w:uiPriority w:val="99"/>
    <w:semiHidden/>
    <w:unhideWhenUsed/>
    <w:rsid w:val="00460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EAF"/>
    <w:rPr>
      <w:rFonts w:ascii="Segoe UI" w:hAnsi="Segoe UI" w:cs="Segoe UI"/>
      <w:sz w:val="18"/>
      <w:szCs w:val="18"/>
      <w:lang w:val="fr-BE"/>
    </w:rPr>
  </w:style>
  <w:style w:type="paragraph" w:styleId="FootnoteText">
    <w:name w:val="footnote text"/>
    <w:basedOn w:val="Normal"/>
    <w:link w:val="FootnoteTextChar"/>
    <w:uiPriority w:val="99"/>
    <w:unhideWhenUsed/>
    <w:rsid w:val="00CE2578"/>
    <w:pPr>
      <w:spacing w:after="0" w:line="240" w:lineRule="auto"/>
    </w:pPr>
    <w:rPr>
      <w:sz w:val="20"/>
      <w:szCs w:val="20"/>
    </w:rPr>
  </w:style>
  <w:style w:type="character" w:customStyle="1" w:styleId="FootnoteTextChar">
    <w:name w:val="Footnote Text Char"/>
    <w:basedOn w:val="DefaultParagraphFont"/>
    <w:link w:val="FootnoteText"/>
    <w:uiPriority w:val="99"/>
    <w:rsid w:val="00CE2578"/>
    <w:rPr>
      <w:sz w:val="20"/>
      <w:szCs w:val="20"/>
      <w:lang w:val="fr-BE"/>
    </w:rPr>
  </w:style>
  <w:style w:type="character" w:styleId="FootnoteReference">
    <w:name w:val="footnote reference"/>
    <w:basedOn w:val="DefaultParagraphFont"/>
    <w:uiPriority w:val="99"/>
    <w:unhideWhenUsed/>
    <w:rsid w:val="00CE2578"/>
    <w:rPr>
      <w:vertAlign w:val="superscript"/>
    </w:rPr>
  </w:style>
  <w:style w:type="character" w:styleId="Hyperlink">
    <w:name w:val="Hyperlink"/>
    <w:basedOn w:val="DefaultParagraphFont"/>
    <w:uiPriority w:val="99"/>
    <w:unhideWhenUsed/>
    <w:rsid w:val="008F5D29"/>
    <w:rPr>
      <w:color w:val="0563C1" w:themeColor="hyperlink"/>
      <w:u w:val="single"/>
    </w:rPr>
  </w:style>
  <w:style w:type="character" w:styleId="UnresolvedMention">
    <w:name w:val="Unresolved Mention"/>
    <w:basedOn w:val="DefaultParagraphFont"/>
    <w:uiPriority w:val="99"/>
    <w:semiHidden/>
    <w:unhideWhenUsed/>
    <w:rsid w:val="008F5D29"/>
    <w:rPr>
      <w:color w:val="605E5C"/>
      <w:shd w:val="clear" w:color="auto" w:fill="E1DFDD"/>
    </w:rPr>
  </w:style>
  <w:style w:type="paragraph" w:styleId="ListParagraph">
    <w:name w:val="List Paragraph"/>
    <w:basedOn w:val="Normal"/>
    <w:uiPriority w:val="34"/>
    <w:qFormat/>
    <w:rsid w:val="00711FA3"/>
    <w:pPr>
      <w:ind w:left="720"/>
      <w:contextualSpacing/>
    </w:pPr>
  </w:style>
  <w:style w:type="paragraph" w:styleId="Title">
    <w:name w:val="Title"/>
    <w:basedOn w:val="Normal"/>
    <w:next w:val="Normal"/>
    <w:link w:val="TitleChar"/>
    <w:uiPriority w:val="10"/>
    <w:qFormat/>
    <w:rsid w:val="00894B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4B30"/>
    <w:rPr>
      <w:rFonts w:asciiTheme="majorHAnsi" w:eastAsiaTheme="majorEastAsia" w:hAnsiTheme="majorHAnsi" w:cstheme="majorBidi"/>
      <w:spacing w:val="-10"/>
      <w:kern w:val="28"/>
      <w:sz w:val="56"/>
      <w:szCs w:val="56"/>
      <w:lang w:val="fr-BE"/>
    </w:rPr>
  </w:style>
  <w:style w:type="paragraph" w:styleId="Subtitle">
    <w:name w:val="Subtitle"/>
    <w:basedOn w:val="Normal"/>
    <w:next w:val="Normal"/>
    <w:link w:val="SubtitleChar"/>
    <w:uiPriority w:val="11"/>
    <w:qFormat/>
    <w:rsid w:val="00F4444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444A"/>
    <w:rPr>
      <w:rFonts w:eastAsiaTheme="minorEastAsia"/>
      <w:color w:val="5A5A5A" w:themeColor="text1" w:themeTint="A5"/>
      <w:spacing w:val="15"/>
      <w:lang w:val="fr-BE"/>
    </w:rPr>
  </w:style>
  <w:style w:type="character" w:customStyle="1" w:styleId="Heading1Char">
    <w:name w:val="Heading 1 Char"/>
    <w:basedOn w:val="DefaultParagraphFont"/>
    <w:link w:val="Heading1"/>
    <w:uiPriority w:val="9"/>
    <w:rsid w:val="009E46BC"/>
    <w:rPr>
      <w:rFonts w:asciiTheme="majorHAnsi" w:eastAsiaTheme="majorEastAsia" w:hAnsiTheme="majorHAnsi" w:cstheme="majorBidi"/>
      <w:color w:val="2F5496" w:themeColor="accent1" w:themeShade="BF"/>
      <w:sz w:val="32"/>
      <w:szCs w:val="32"/>
      <w:lang w:val="fr-BE"/>
    </w:rPr>
  </w:style>
  <w:style w:type="paragraph" w:styleId="NormalWeb">
    <w:name w:val="Normal (Web)"/>
    <w:basedOn w:val="Normal"/>
    <w:uiPriority w:val="99"/>
    <w:semiHidden/>
    <w:unhideWhenUsed/>
    <w:rsid w:val="00B543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B543EA"/>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B543EA"/>
    <w:rPr>
      <w:rFonts w:ascii="Times New Roman" w:eastAsia="Times New Roman" w:hAnsi="Times New Roman" w:cs="Times New Roman"/>
      <w:sz w:val="20"/>
      <w:szCs w:val="20"/>
      <w:lang w:val="en-US"/>
    </w:rPr>
  </w:style>
  <w:style w:type="paragraph" w:customStyle="1" w:styleId="Default">
    <w:name w:val="Default"/>
    <w:uiPriority w:val="99"/>
    <w:rsid w:val="00B543EA"/>
    <w:pPr>
      <w:autoSpaceDE w:val="0"/>
      <w:autoSpaceDN w:val="0"/>
      <w:adjustRightInd w:val="0"/>
      <w:spacing w:after="0" w:line="240" w:lineRule="auto"/>
    </w:pPr>
    <w:rPr>
      <w:rFonts w:ascii="Verdana" w:hAnsi="Verdana" w:cs="Verdana"/>
      <w:color w:val="000000"/>
      <w:sz w:val="24"/>
      <w:szCs w:val="24"/>
      <w:lang w:val="en-US"/>
    </w:rPr>
  </w:style>
  <w:style w:type="character" w:styleId="EndnoteReference">
    <w:name w:val="endnote reference"/>
    <w:basedOn w:val="DefaultParagraphFont"/>
    <w:uiPriority w:val="99"/>
    <w:semiHidden/>
    <w:unhideWhenUsed/>
    <w:rsid w:val="00B543EA"/>
    <w:rPr>
      <w:vertAlign w:val="superscript"/>
    </w:rPr>
  </w:style>
  <w:style w:type="character" w:customStyle="1" w:styleId="css-901oao">
    <w:name w:val="css-901oao"/>
    <w:basedOn w:val="DefaultParagraphFont"/>
    <w:rsid w:val="00B543EA"/>
  </w:style>
  <w:style w:type="character" w:styleId="CommentReference">
    <w:name w:val="annotation reference"/>
    <w:basedOn w:val="DefaultParagraphFont"/>
    <w:uiPriority w:val="99"/>
    <w:semiHidden/>
    <w:unhideWhenUsed/>
    <w:rsid w:val="00483C90"/>
    <w:rPr>
      <w:sz w:val="16"/>
      <w:szCs w:val="16"/>
    </w:rPr>
  </w:style>
  <w:style w:type="paragraph" w:styleId="CommentText">
    <w:name w:val="annotation text"/>
    <w:basedOn w:val="Normal"/>
    <w:link w:val="CommentTextChar"/>
    <w:uiPriority w:val="99"/>
    <w:semiHidden/>
    <w:unhideWhenUsed/>
    <w:rsid w:val="00483C90"/>
    <w:pPr>
      <w:spacing w:line="240" w:lineRule="auto"/>
    </w:pPr>
    <w:rPr>
      <w:sz w:val="20"/>
      <w:szCs w:val="20"/>
    </w:rPr>
  </w:style>
  <w:style w:type="character" w:customStyle="1" w:styleId="CommentTextChar">
    <w:name w:val="Comment Text Char"/>
    <w:basedOn w:val="DefaultParagraphFont"/>
    <w:link w:val="CommentText"/>
    <w:uiPriority w:val="99"/>
    <w:semiHidden/>
    <w:rsid w:val="00483C90"/>
    <w:rPr>
      <w:sz w:val="20"/>
      <w:szCs w:val="20"/>
      <w:lang w:val="fr-BE"/>
    </w:rPr>
  </w:style>
  <w:style w:type="paragraph" w:styleId="CommentSubject">
    <w:name w:val="annotation subject"/>
    <w:basedOn w:val="CommentText"/>
    <w:next w:val="CommentText"/>
    <w:link w:val="CommentSubjectChar"/>
    <w:uiPriority w:val="99"/>
    <w:semiHidden/>
    <w:unhideWhenUsed/>
    <w:rsid w:val="00483C90"/>
    <w:rPr>
      <w:b/>
      <w:bCs/>
    </w:rPr>
  </w:style>
  <w:style w:type="character" w:customStyle="1" w:styleId="CommentSubjectChar">
    <w:name w:val="Comment Subject Char"/>
    <w:basedOn w:val="CommentTextChar"/>
    <w:link w:val="CommentSubject"/>
    <w:uiPriority w:val="99"/>
    <w:semiHidden/>
    <w:rsid w:val="00483C90"/>
    <w:rPr>
      <w:b/>
      <w:bCs/>
      <w:sz w:val="20"/>
      <w:szCs w:val="20"/>
      <w:lang w:val="fr-BE"/>
    </w:rPr>
  </w:style>
  <w:style w:type="character" w:styleId="FollowedHyperlink">
    <w:name w:val="FollowedHyperlink"/>
    <w:basedOn w:val="DefaultParagraphFont"/>
    <w:uiPriority w:val="99"/>
    <w:semiHidden/>
    <w:unhideWhenUsed/>
    <w:rsid w:val="00BE5C56"/>
    <w:rPr>
      <w:color w:val="954F72" w:themeColor="followedHyperlink"/>
      <w:u w:val="single"/>
    </w:rPr>
  </w:style>
  <w:style w:type="paragraph" w:styleId="ListBullet">
    <w:name w:val="List Bullet"/>
    <w:basedOn w:val="Normal"/>
    <w:uiPriority w:val="99"/>
    <w:unhideWhenUsed/>
    <w:rsid w:val="001C3539"/>
    <w:pPr>
      <w:numPr>
        <w:numId w:val="6"/>
      </w:numPr>
      <w:spacing w:line="256" w:lineRule="auto"/>
      <w:contextualSpacing/>
    </w:pPr>
    <w:rPr>
      <w:lang w:val="en-US"/>
    </w:rPr>
  </w:style>
  <w:style w:type="character" w:customStyle="1" w:styleId="ref-journal">
    <w:name w:val="ref-journal"/>
    <w:basedOn w:val="DefaultParagraphFont"/>
    <w:rsid w:val="008A0234"/>
  </w:style>
  <w:style w:type="character" w:customStyle="1" w:styleId="ref-vol">
    <w:name w:val="ref-vol"/>
    <w:basedOn w:val="DefaultParagraphFont"/>
    <w:rsid w:val="008A0234"/>
  </w:style>
  <w:style w:type="character" w:styleId="Strong">
    <w:name w:val="Strong"/>
    <w:basedOn w:val="DefaultParagraphFont"/>
    <w:uiPriority w:val="22"/>
    <w:qFormat/>
    <w:rsid w:val="001B214D"/>
    <w:rPr>
      <w:b/>
      <w:bCs/>
    </w:rPr>
  </w:style>
  <w:style w:type="table" w:styleId="TableGrid">
    <w:name w:val="Table Grid"/>
    <w:basedOn w:val="TableNormal"/>
    <w:uiPriority w:val="39"/>
    <w:rsid w:val="00E7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lang w:val="fr-BE"/>
    </w:rPr>
  </w:style>
  <w:style w:type="paragraph" w:styleId="Header">
    <w:name w:val="header"/>
    <w:basedOn w:val="Normal"/>
    <w:link w:val="HeaderChar"/>
    <w:uiPriority w:val="99"/>
    <w:unhideWhenUsed/>
    <w:rsid w:val="006E1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582"/>
    <w:rPr>
      <w:lang w:val="fr-BE"/>
    </w:rPr>
  </w:style>
  <w:style w:type="paragraph" w:styleId="Footer">
    <w:name w:val="footer"/>
    <w:basedOn w:val="Normal"/>
    <w:link w:val="FooterChar"/>
    <w:uiPriority w:val="99"/>
    <w:unhideWhenUsed/>
    <w:rsid w:val="006E1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582"/>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259">
      <w:bodyDiv w:val="1"/>
      <w:marLeft w:val="0"/>
      <w:marRight w:val="0"/>
      <w:marTop w:val="0"/>
      <w:marBottom w:val="0"/>
      <w:divBdr>
        <w:top w:val="none" w:sz="0" w:space="0" w:color="auto"/>
        <w:left w:val="none" w:sz="0" w:space="0" w:color="auto"/>
        <w:bottom w:val="none" w:sz="0" w:space="0" w:color="auto"/>
        <w:right w:val="none" w:sz="0" w:space="0" w:color="auto"/>
      </w:divBdr>
    </w:div>
    <w:div w:id="112133556">
      <w:bodyDiv w:val="1"/>
      <w:marLeft w:val="0"/>
      <w:marRight w:val="0"/>
      <w:marTop w:val="0"/>
      <w:marBottom w:val="0"/>
      <w:divBdr>
        <w:top w:val="none" w:sz="0" w:space="0" w:color="auto"/>
        <w:left w:val="none" w:sz="0" w:space="0" w:color="auto"/>
        <w:bottom w:val="none" w:sz="0" w:space="0" w:color="auto"/>
        <w:right w:val="none" w:sz="0" w:space="0" w:color="auto"/>
      </w:divBdr>
    </w:div>
    <w:div w:id="166293860">
      <w:bodyDiv w:val="1"/>
      <w:marLeft w:val="0"/>
      <w:marRight w:val="0"/>
      <w:marTop w:val="0"/>
      <w:marBottom w:val="0"/>
      <w:divBdr>
        <w:top w:val="none" w:sz="0" w:space="0" w:color="auto"/>
        <w:left w:val="none" w:sz="0" w:space="0" w:color="auto"/>
        <w:bottom w:val="none" w:sz="0" w:space="0" w:color="auto"/>
        <w:right w:val="none" w:sz="0" w:space="0" w:color="auto"/>
      </w:divBdr>
    </w:div>
    <w:div w:id="208224031">
      <w:bodyDiv w:val="1"/>
      <w:marLeft w:val="0"/>
      <w:marRight w:val="0"/>
      <w:marTop w:val="0"/>
      <w:marBottom w:val="0"/>
      <w:divBdr>
        <w:top w:val="none" w:sz="0" w:space="0" w:color="auto"/>
        <w:left w:val="none" w:sz="0" w:space="0" w:color="auto"/>
        <w:bottom w:val="none" w:sz="0" w:space="0" w:color="auto"/>
        <w:right w:val="none" w:sz="0" w:space="0" w:color="auto"/>
      </w:divBdr>
    </w:div>
    <w:div w:id="482477326">
      <w:bodyDiv w:val="1"/>
      <w:marLeft w:val="0"/>
      <w:marRight w:val="0"/>
      <w:marTop w:val="0"/>
      <w:marBottom w:val="0"/>
      <w:divBdr>
        <w:top w:val="none" w:sz="0" w:space="0" w:color="auto"/>
        <w:left w:val="none" w:sz="0" w:space="0" w:color="auto"/>
        <w:bottom w:val="none" w:sz="0" w:space="0" w:color="auto"/>
        <w:right w:val="none" w:sz="0" w:space="0" w:color="auto"/>
      </w:divBdr>
    </w:div>
    <w:div w:id="559705481">
      <w:bodyDiv w:val="1"/>
      <w:marLeft w:val="0"/>
      <w:marRight w:val="0"/>
      <w:marTop w:val="0"/>
      <w:marBottom w:val="0"/>
      <w:divBdr>
        <w:top w:val="none" w:sz="0" w:space="0" w:color="auto"/>
        <w:left w:val="none" w:sz="0" w:space="0" w:color="auto"/>
        <w:bottom w:val="none" w:sz="0" w:space="0" w:color="auto"/>
        <w:right w:val="none" w:sz="0" w:space="0" w:color="auto"/>
      </w:divBdr>
    </w:div>
    <w:div w:id="650986352">
      <w:bodyDiv w:val="1"/>
      <w:marLeft w:val="0"/>
      <w:marRight w:val="0"/>
      <w:marTop w:val="0"/>
      <w:marBottom w:val="0"/>
      <w:divBdr>
        <w:top w:val="none" w:sz="0" w:space="0" w:color="auto"/>
        <w:left w:val="none" w:sz="0" w:space="0" w:color="auto"/>
        <w:bottom w:val="none" w:sz="0" w:space="0" w:color="auto"/>
        <w:right w:val="none" w:sz="0" w:space="0" w:color="auto"/>
      </w:divBdr>
    </w:div>
    <w:div w:id="655453386">
      <w:bodyDiv w:val="1"/>
      <w:marLeft w:val="0"/>
      <w:marRight w:val="0"/>
      <w:marTop w:val="0"/>
      <w:marBottom w:val="0"/>
      <w:divBdr>
        <w:top w:val="none" w:sz="0" w:space="0" w:color="auto"/>
        <w:left w:val="none" w:sz="0" w:space="0" w:color="auto"/>
        <w:bottom w:val="none" w:sz="0" w:space="0" w:color="auto"/>
        <w:right w:val="none" w:sz="0" w:space="0" w:color="auto"/>
      </w:divBdr>
    </w:div>
    <w:div w:id="781340658">
      <w:bodyDiv w:val="1"/>
      <w:marLeft w:val="0"/>
      <w:marRight w:val="0"/>
      <w:marTop w:val="0"/>
      <w:marBottom w:val="0"/>
      <w:divBdr>
        <w:top w:val="none" w:sz="0" w:space="0" w:color="auto"/>
        <w:left w:val="none" w:sz="0" w:space="0" w:color="auto"/>
        <w:bottom w:val="none" w:sz="0" w:space="0" w:color="auto"/>
        <w:right w:val="none" w:sz="0" w:space="0" w:color="auto"/>
      </w:divBdr>
    </w:div>
    <w:div w:id="828252764">
      <w:bodyDiv w:val="1"/>
      <w:marLeft w:val="0"/>
      <w:marRight w:val="0"/>
      <w:marTop w:val="0"/>
      <w:marBottom w:val="0"/>
      <w:divBdr>
        <w:top w:val="none" w:sz="0" w:space="0" w:color="auto"/>
        <w:left w:val="none" w:sz="0" w:space="0" w:color="auto"/>
        <w:bottom w:val="none" w:sz="0" w:space="0" w:color="auto"/>
        <w:right w:val="none" w:sz="0" w:space="0" w:color="auto"/>
      </w:divBdr>
    </w:div>
    <w:div w:id="941380820">
      <w:bodyDiv w:val="1"/>
      <w:marLeft w:val="0"/>
      <w:marRight w:val="0"/>
      <w:marTop w:val="0"/>
      <w:marBottom w:val="0"/>
      <w:divBdr>
        <w:top w:val="none" w:sz="0" w:space="0" w:color="auto"/>
        <w:left w:val="none" w:sz="0" w:space="0" w:color="auto"/>
        <w:bottom w:val="none" w:sz="0" w:space="0" w:color="auto"/>
        <w:right w:val="none" w:sz="0" w:space="0" w:color="auto"/>
      </w:divBdr>
    </w:div>
    <w:div w:id="1483809484">
      <w:bodyDiv w:val="1"/>
      <w:marLeft w:val="0"/>
      <w:marRight w:val="0"/>
      <w:marTop w:val="0"/>
      <w:marBottom w:val="0"/>
      <w:divBdr>
        <w:top w:val="none" w:sz="0" w:space="0" w:color="auto"/>
        <w:left w:val="none" w:sz="0" w:space="0" w:color="auto"/>
        <w:bottom w:val="none" w:sz="0" w:space="0" w:color="auto"/>
        <w:right w:val="none" w:sz="0" w:space="0" w:color="auto"/>
      </w:divBdr>
    </w:div>
    <w:div w:id="1516766218">
      <w:bodyDiv w:val="1"/>
      <w:marLeft w:val="0"/>
      <w:marRight w:val="0"/>
      <w:marTop w:val="0"/>
      <w:marBottom w:val="0"/>
      <w:divBdr>
        <w:top w:val="none" w:sz="0" w:space="0" w:color="auto"/>
        <w:left w:val="none" w:sz="0" w:space="0" w:color="auto"/>
        <w:bottom w:val="none" w:sz="0" w:space="0" w:color="auto"/>
        <w:right w:val="none" w:sz="0" w:space="0" w:color="auto"/>
      </w:divBdr>
    </w:div>
    <w:div w:id="1659653611">
      <w:bodyDiv w:val="1"/>
      <w:marLeft w:val="0"/>
      <w:marRight w:val="0"/>
      <w:marTop w:val="0"/>
      <w:marBottom w:val="0"/>
      <w:divBdr>
        <w:top w:val="none" w:sz="0" w:space="0" w:color="auto"/>
        <w:left w:val="none" w:sz="0" w:space="0" w:color="auto"/>
        <w:bottom w:val="none" w:sz="0" w:space="0" w:color="auto"/>
        <w:right w:val="none" w:sz="0" w:space="0" w:color="auto"/>
      </w:divBdr>
    </w:div>
    <w:div w:id="1684164868">
      <w:bodyDiv w:val="1"/>
      <w:marLeft w:val="0"/>
      <w:marRight w:val="0"/>
      <w:marTop w:val="0"/>
      <w:marBottom w:val="0"/>
      <w:divBdr>
        <w:top w:val="none" w:sz="0" w:space="0" w:color="auto"/>
        <w:left w:val="none" w:sz="0" w:space="0" w:color="auto"/>
        <w:bottom w:val="none" w:sz="0" w:space="0" w:color="auto"/>
        <w:right w:val="none" w:sz="0" w:space="0" w:color="auto"/>
      </w:divBdr>
    </w:div>
    <w:div w:id="1719747018">
      <w:bodyDiv w:val="1"/>
      <w:marLeft w:val="0"/>
      <w:marRight w:val="0"/>
      <w:marTop w:val="0"/>
      <w:marBottom w:val="0"/>
      <w:divBdr>
        <w:top w:val="none" w:sz="0" w:space="0" w:color="auto"/>
        <w:left w:val="none" w:sz="0" w:space="0" w:color="auto"/>
        <w:bottom w:val="none" w:sz="0" w:space="0" w:color="auto"/>
        <w:right w:val="none" w:sz="0" w:space="0" w:color="auto"/>
      </w:divBdr>
    </w:div>
    <w:div w:id="1857421928">
      <w:bodyDiv w:val="1"/>
      <w:marLeft w:val="0"/>
      <w:marRight w:val="0"/>
      <w:marTop w:val="0"/>
      <w:marBottom w:val="0"/>
      <w:divBdr>
        <w:top w:val="none" w:sz="0" w:space="0" w:color="auto"/>
        <w:left w:val="none" w:sz="0" w:space="0" w:color="auto"/>
        <w:bottom w:val="none" w:sz="0" w:space="0" w:color="auto"/>
        <w:right w:val="none" w:sz="0" w:space="0" w:color="auto"/>
      </w:divBdr>
    </w:div>
    <w:div w:id="1874417069">
      <w:bodyDiv w:val="1"/>
      <w:marLeft w:val="0"/>
      <w:marRight w:val="0"/>
      <w:marTop w:val="0"/>
      <w:marBottom w:val="0"/>
      <w:divBdr>
        <w:top w:val="none" w:sz="0" w:space="0" w:color="auto"/>
        <w:left w:val="none" w:sz="0" w:space="0" w:color="auto"/>
        <w:bottom w:val="none" w:sz="0" w:space="0" w:color="auto"/>
        <w:right w:val="none" w:sz="0" w:space="0" w:color="auto"/>
      </w:divBdr>
    </w:div>
    <w:div w:id="1946302327">
      <w:bodyDiv w:val="1"/>
      <w:marLeft w:val="0"/>
      <w:marRight w:val="0"/>
      <w:marTop w:val="0"/>
      <w:marBottom w:val="0"/>
      <w:divBdr>
        <w:top w:val="none" w:sz="0" w:space="0" w:color="auto"/>
        <w:left w:val="none" w:sz="0" w:space="0" w:color="auto"/>
        <w:bottom w:val="none" w:sz="0" w:space="0" w:color="auto"/>
        <w:right w:val="none" w:sz="0" w:space="0" w:color="auto"/>
      </w:divBdr>
    </w:div>
    <w:div w:id="207443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nationaldisabilityalliance.org/accessibility-sgpwd"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internationaldisabilityalliance.org/covid-19-recommenda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ternationaldisabilityalliance.org/covid-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disabilityalliance.org/content/covid-19-and-disability-movement" TargetMode="External"/><Relationship Id="rId5" Type="http://schemas.openxmlformats.org/officeDocument/2006/relationships/webSettings" Target="webSettings.xml"/><Relationship Id="rId15" Type="http://schemas.openxmlformats.org/officeDocument/2006/relationships/hyperlink" Target="http://sdg.iisd.org/commentary/guest-articles/will-the-sdgs-still-be-relevant-after-the-pandemic/" TargetMode="External"/><Relationship Id="rId10" Type="http://schemas.openxmlformats.org/officeDocument/2006/relationships/hyperlink" Target="mailto:Elizabeth.Lockwood@cbm-globa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lly.meeks@gmail.com" TargetMode="External"/><Relationship Id="rId14" Type="http://schemas.openxmlformats.org/officeDocument/2006/relationships/hyperlink" Target="http://www.internationaldisabilityalliance.org/content/voices-people-disabilities-during-covid19-outbreak"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undocs.org/E/C.12/2020/1" TargetMode="External"/><Relationship Id="rId21" Type="http://schemas.openxmlformats.org/officeDocument/2006/relationships/hyperlink" Target="https://www.internationaldisabilityalliance.org/sites/default/files/ida_recommendations_for_disability-inclusive_covid19_response_final.pdf" TargetMode="External"/><Relationship Id="rId42" Type="http://schemas.openxmlformats.org/officeDocument/2006/relationships/hyperlink" Target="http://policydialogue.org/files/publications/papers/Austerity-the-New-Normal-Ortiz-Cummins-6-Oct-2019.pdf" TargetMode="External"/><Relationship Id="rId47" Type="http://schemas.openxmlformats.org/officeDocument/2006/relationships/hyperlink" Target="https://www.devex.com/news/opinion-imf-is-failing-people-with-disabilities-in-argentina-95181" TargetMode="External"/><Relationship Id="rId63" Type="http://schemas.openxmlformats.org/officeDocument/2006/relationships/hyperlink" Target="https://www.konkurrensverket.se/globalassets/english/publications-and-decisions/swedish-public-procurement-act.pdf" TargetMode="External"/><Relationship Id="rId68" Type="http://schemas.openxmlformats.org/officeDocument/2006/relationships/hyperlink" Target="https://www.cesr.org/sites/default/files/CESR%20Brief%205%20FINAL%20ADJUST__0.pdf" TargetMode="External"/><Relationship Id="rId2" Type="http://schemas.openxmlformats.org/officeDocument/2006/relationships/hyperlink" Target="https://csoforffd.org/global-economic-solutions-now/" TargetMode="External"/><Relationship Id="rId16" Type="http://schemas.openxmlformats.org/officeDocument/2006/relationships/hyperlink" Target="http://policydialogue.org/files/publications/papers/Austerity-the-New-Normal-Ortiz-Cummins-6-Oct-2019.pdf" TargetMode="External"/><Relationship Id="rId29" Type="http://schemas.openxmlformats.org/officeDocument/2006/relationships/hyperlink" Target="https://reader.elsevier.com/reader/sd/pii/S1875067209000261?token=05447C1CB43660032264B1D6701A28431DCB600B468A7E2CD0BE40F7CDCC952D402CBB343F827F88A08D62D4E9A60238" TargetMode="External"/><Relationship Id="rId11" Type="http://schemas.openxmlformats.org/officeDocument/2006/relationships/hyperlink" Target="https://womenenabled.org/blog/unleashing-the-power-of-women-with-disabilities/" TargetMode="External"/><Relationship Id="rId24" Type="http://schemas.openxmlformats.org/officeDocument/2006/relationships/hyperlink" Target="https://womenenabled.org/blog/resources/statement-on-rights-of-wwd-in-covid-for-endorsement-april-8-2020-final-pdf/" TargetMode="External"/><Relationship Id="rId32" Type="http://schemas.openxmlformats.org/officeDocument/2006/relationships/hyperlink" Target="https://www.ncbi.nlm.nih.gov/pmc/articles/PMC7455235/" TargetMode="External"/><Relationship Id="rId37" Type="http://schemas.openxmlformats.org/officeDocument/2006/relationships/hyperlink" Target="https://jubileedebt.org.uk/wp-content/uploads/2020/04/Debt-payments-and-health-spending_13.04.20.pdf" TargetMode="External"/><Relationship Id="rId40" Type="http://schemas.openxmlformats.org/officeDocument/2006/relationships/hyperlink" Target="https://www.globalpolicywatch.org/wp-content/uploads/2020/12/2020-12-Briefing-FSD-Covid-BE.pdf" TargetMode="External"/><Relationship Id="rId45" Type="http://schemas.openxmlformats.org/officeDocument/2006/relationships/hyperlink" Target="https://www.ohchr.org/Documents/Issues/Development/RightsCrisis/E-2013-82_en.pdf" TargetMode="External"/><Relationship Id="rId53" Type="http://schemas.openxmlformats.org/officeDocument/2006/relationships/hyperlink" Target="https://www.ohchr.org/EN/NewsEvents/Pages/DisplayNews.aspx?NewsID=26484&amp;LangID=E" TargetMode="External"/><Relationship Id="rId58" Type="http://schemas.openxmlformats.org/officeDocument/2006/relationships/hyperlink" Target="https://inclusive-policy.org/wp-content/uploads/2020/05/Budget-advocacy-for-a-new-normal_.pdf" TargetMode="External"/><Relationship Id="rId66" Type="http://schemas.openxmlformats.org/officeDocument/2006/relationships/hyperlink" Target="https://d3n8a8pro7vhmx.cloudfront.net/eurodad/pages/505/attachments/original/1590678519/Unleashing_the_catalytic_power_of_Official_Development_Assistance_through_renewed_action_on_untying.pdf?1590678519" TargetMode="External"/><Relationship Id="rId74" Type="http://schemas.openxmlformats.org/officeDocument/2006/relationships/hyperlink" Target="https://www.ohchr.org/EN/NewsEvents/Pages/DisplayNews.aspx?NewsID=25788&amp;LangID=E" TargetMode="External"/><Relationship Id="rId5" Type="http://schemas.openxmlformats.org/officeDocument/2006/relationships/hyperlink" Target="https://www.un.org/disabilities/documents/convention/convoptprot-e.pdf" TargetMode="External"/><Relationship Id="rId61" Type="http://schemas.openxmlformats.org/officeDocument/2006/relationships/hyperlink" Target="https://d3n8a8pro7vhmx.cloudfront.net/eurodad/pages/505/attachments/original/1590678519/Unleashing_the_catalytic_power_of_Official_Development_Assistance_through_renewed_action_on_untying.pdf?1590678519" TargetMode="External"/><Relationship Id="rId19" Type="http://schemas.openxmlformats.org/officeDocument/2006/relationships/hyperlink" Target="https://csoforffd.org/economic-reconstruction-and-systemic-reforms-summit-at-the-un/" TargetMode="External"/><Relationship Id="rId14" Type="http://schemas.openxmlformats.org/officeDocument/2006/relationships/hyperlink" Target="https://inclusive-policy.org/wp-content/uploads/2020/05/Budget-advocacy-for-a-new-normal_.pdf" TargetMode="External"/><Relationship Id="rId22" Type="http://schemas.openxmlformats.org/officeDocument/2006/relationships/hyperlink" Target="https://www.internationaldisabilityalliance.org/sites/default/files/ida_recommendations_on_accessing_covid-19_vaccinations_final_01.12.20.pdf" TargetMode="External"/><Relationship Id="rId27" Type="http://schemas.openxmlformats.org/officeDocument/2006/relationships/hyperlink" Target="https://one.oecd.org/document/DCD/DAC/STAT(2020)48/en/pdf" TargetMode="External"/><Relationship Id="rId30" Type="http://schemas.openxmlformats.org/officeDocument/2006/relationships/hyperlink" Target="https://reader.elsevier.com/reader/sd/pii/S193665741730078X?token=728795765DCB1DBB8B108E636CE96C40E04D9B8F47829B343A6BDE5E66791E42954CCC5C8CB5BDD086E45084CF27347D" TargetMode="External"/><Relationship Id="rId35" Type="http://schemas.openxmlformats.org/officeDocument/2006/relationships/hyperlink" Target="https://undocs.org/en/A/75/186" TargetMode="External"/><Relationship Id="rId43" Type="http://schemas.openxmlformats.org/officeDocument/2006/relationships/hyperlink" Target="https://reader.elsevier.com/reader/sd/pii/S1875067209000261?token=05447C1CB43660032264B1D6701A28431DCB600B468A7E2CD0BE40F7CDCC952D402CBB343F827F88A08D62D4E9A60238" TargetMode="External"/><Relationship Id="rId48" Type="http://schemas.openxmlformats.org/officeDocument/2006/relationships/hyperlink" Target="https://www.ncbi.nlm.nih.gov/pmc/articles/PMC7455235/" TargetMode="External"/><Relationship Id="rId56" Type="http://schemas.openxmlformats.org/officeDocument/2006/relationships/hyperlink" Target="https://msfaccess.org/civil-society-wto-members-support-india-and-south-africas-proposal-waiver-ip-protections-covid-19" TargetMode="External"/><Relationship Id="rId64" Type="http://schemas.openxmlformats.org/officeDocument/2006/relationships/hyperlink" Target="https://www.usaid.gov/sites/default/files/documents/302.pdf" TargetMode="External"/><Relationship Id="rId69" Type="http://schemas.openxmlformats.org/officeDocument/2006/relationships/hyperlink" Target="https://csoforffd.org/economic-reconstruction-and-systemic-reforms-summit-at-the-un/" TargetMode="External"/><Relationship Id="rId8" Type="http://schemas.openxmlformats.org/officeDocument/2006/relationships/hyperlink" Target="https://www.icj.org/wp-content/uploads/2020/09/Universal-Global-Health-COVID-19-Publications-Reports-Thematic-Reports-2020-ENG.pdf" TargetMode="External"/><Relationship Id="rId51" Type="http://schemas.openxmlformats.org/officeDocument/2006/relationships/hyperlink" Target="https://news.un.org/en/story/2021/01/1082362" TargetMode="External"/><Relationship Id="rId72" Type="http://schemas.openxmlformats.org/officeDocument/2006/relationships/hyperlink" Target="https://static1.squarespace.com/static/5a9d4fbe31d4dffb8b3f9b6e/t/5ef336279cd88370a400a6fc/1592997423561/CBMGlobalclimate_change_report.pdf" TargetMode="External"/><Relationship Id="rId3" Type="http://schemas.openxmlformats.org/officeDocument/2006/relationships/hyperlink" Target="http://www.campaignofcampaigns.com/index.php/en/" TargetMode="External"/><Relationship Id="rId12" Type="http://schemas.openxmlformats.org/officeDocument/2006/relationships/hyperlink" Target="https://twitter.com/WomenEnabled/status/1247190281658793984?s=20" TargetMode="External"/><Relationship Id="rId17" Type="http://schemas.openxmlformats.org/officeDocument/2006/relationships/hyperlink" Target="https://devinit.org/documents/755/Disability-inclusive_ODA-Aid_data_on_donors_channels_recipients.pdf" TargetMode="External"/><Relationship Id="rId25" Type="http://schemas.openxmlformats.org/officeDocument/2006/relationships/hyperlink" Target="https://inclusive-policy.org/wp-content/uploads/2019/06/Disability_budgets_discussion-paper_-2307_web.pdf" TargetMode="External"/><Relationship Id="rId33" Type="http://schemas.openxmlformats.org/officeDocument/2006/relationships/hyperlink" Target="http://www.fao.org/fileadmin/templates/rap/files/meetings/2013/130221-report.pdf" TargetMode="External"/><Relationship Id="rId38" Type="http://schemas.openxmlformats.org/officeDocument/2006/relationships/hyperlink" Target="https://d3n8a8pro7vhmx.cloudfront.net/eurodad/pages/768/attachments/original/1610355046/DSSI-briefing-final.pdf?1610355046" TargetMode="External"/><Relationship Id="rId46" Type="http://schemas.openxmlformats.org/officeDocument/2006/relationships/hyperlink" Target="https://acij.org.ar/las-personas-con-discapacidad-no-son-una-prioridad-para-el-gobierno-argentino/" TargetMode="External"/><Relationship Id="rId59" Type="http://schemas.openxmlformats.org/officeDocument/2006/relationships/hyperlink" Target="https://www.icj.org/wp-content/uploads/2020/09/Universal-Global-Health-COVID-19-Publications-Reports-Thematic-Reports-2020-ENG.pdf" TargetMode="External"/><Relationship Id="rId67" Type="http://schemas.openxmlformats.org/officeDocument/2006/relationships/hyperlink" Target="https://inclusive-policy.org/wp-content/uploads/2020/05/Budget-advocacy-for-a-new-normal_.pdf" TargetMode="External"/><Relationship Id="rId20" Type="http://schemas.openxmlformats.org/officeDocument/2006/relationships/hyperlink" Target="https://www.feministcovidresponse.com/wp-content/uploads/2020/08/principles-en.a6f9f4a2.pdf" TargetMode="External"/><Relationship Id="rId41" Type="http://schemas.openxmlformats.org/officeDocument/2006/relationships/hyperlink" Target="https://eurodad.org/files/pdf/1546978.pdf" TargetMode="External"/><Relationship Id="rId54" Type="http://schemas.openxmlformats.org/officeDocument/2006/relationships/hyperlink" Target="https://msfaccess.org/india-and-south-africa-proposal-wto-waiver-ip-protections-covid-19-related-medical-technologies" TargetMode="External"/><Relationship Id="rId62" Type="http://schemas.openxmlformats.org/officeDocument/2006/relationships/hyperlink" Target="http://ec.europa.eu/europeaid/prag/?header_description=DEVCO+Prag+to+financial+and+contractual+procedures+applicable+to+external+actions+financed+from+the+general+budget+of+the+EU+and+from+the+11th+EDF&amp;long=45050&amp;header_keywords=ePrag%2C+europa" TargetMode="External"/><Relationship Id="rId70" Type="http://schemas.openxmlformats.org/officeDocument/2006/relationships/hyperlink" Target="https://www.cesr.org/sites/default/files/CESR%20Brief%205%20FINAL%20ADJUST__0.pdf" TargetMode="External"/><Relationship Id="rId75" Type="http://schemas.openxmlformats.org/officeDocument/2006/relationships/hyperlink" Target="http://www.internationaldisabilityalliance.org/content/covid-19-and-disability-movement" TargetMode="External"/><Relationship Id="rId1" Type="http://schemas.openxmlformats.org/officeDocument/2006/relationships/hyperlink" Target="https://www.un.org/sites/un2.un.org/files/financing_for_development_covid19_part_ii_hosg.pdf" TargetMode="External"/><Relationship Id="rId6" Type="http://schemas.openxmlformats.org/officeDocument/2006/relationships/hyperlink" Target="http://www.internationaldisabilityalliance.org/sites/default/files/master_sgpwd_covid-19_report_-_repaired_via_365_june_22_2020finalfinal.docx" TargetMode="External"/><Relationship Id="rId15" Type="http://schemas.openxmlformats.org/officeDocument/2006/relationships/hyperlink" Target="https://eurodad.org/files/pdf/1546978.pdf" TargetMode="External"/><Relationship Id="rId23" Type="http://schemas.openxmlformats.org/officeDocument/2006/relationships/hyperlink" Target="https://www.ilo.org/wcmsp5/groups/public/---ed_emp/---ifp_skills/documents/publication/wcms_742140.pdf" TargetMode="External"/><Relationship Id="rId28" Type="http://schemas.openxmlformats.org/officeDocument/2006/relationships/hyperlink" Target="https://www.sddirect.org.uk/media/2085/no-41-addressing-barriers-to-employment.pdf" TargetMode="External"/><Relationship Id="rId36" Type="http://schemas.openxmlformats.org/officeDocument/2006/relationships/hyperlink" Target="https://csoforffd.org/economic-reconstruction-and-systemic-reforms-summit-at-the-un/" TargetMode="External"/><Relationship Id="rId49" Type="http://schemas.openxmlformats.org/officeDocument/2006/relationships/hyperlink" Target="https://www.ncbi.nlm.nih.gov/pmc/articles/PMC7455235/" TargetMode="External"/><Relationship Id="rId57" Type="http://schemas.openxmlformats.org/officeDocument/2006/relationships/hyperlink" Target="https://www.amnesty.eu/wp-content/uploads/2020/11/Joint-CSO-letter-to-EP-on-Covid19-WTO-TRIPS-Waiver.pdf" TargetMode="External"/><Relationship Id="rId10" Type="http://schemas.openxmlformats.org/officeDocument/2006/relationships/hyperlink" Target="https://covid-drm.org/assets/documents/Disability-Rights-During-the-Pandemic-report-web.pdf" TargetMode="External"/><Relationship Id="rId31" Type="http://schemas.openxmlformats.org/officeDocument/2006/relationships/hyperlink" Target="https://www.ncbi.nlm.nih.gov/pmc/articles/PMC7455235/" TargetMode="External"/><Relationship Id="rId44" Type="http://schemas.openxmlformats.org/officeDocument/2006/relationships/hyperlink" Target="https://reader.elsevier.com/reader/sd/pii/S193665741730078X?token=728795765DCB1DBB8B108E636CE96C40E04D9B8F47829B343A6BDE5E66791E42954CCC5C8CB5BDD086E45084CF27347D" TargetMode="External"/><Relationship Id="rId52" Type="http://schemas.openxmlformats.org/officeDocument/2006/relationships/hyperlink" Target="https://msfaccess.org/india-and-south-africa-proposal-wto-waiver-ip-protections-covid-19-related-medical-technologies" TargetMode="External"/><Relationship Id="rId60" Type="http://schemas.openxmlformats.org/officeDocument/2006/relationships/hyperlink" Target="https://inclusive-policy.org/wp-content/uploads/2020/05/Budget-advocacy-for-a-new-normal_.pdf" TargetMode="External"/><Relationship Id="rId65" Type="http://schemas.openxmlformats.org/officeDocument/2006/relationships/hyperlink" Target="https://www.usaid.gov/sites/default/files/documents/1868/302mak.pdf" TargetMode="External"/><Relationship Id="rId73" Type="http://schemas.openxmlformats.org/officeDocument/2006/relationships/hyperlink" Target="https://www.ohchr.org/EN/NewsEvents/Pages/DisplayNews.aspx?NewsID=25788&amp;LangID=E" TargetMode="External"/><Relationship Id="rId4" Type="http://schemas.openxmlformats.org/officeDocument/2006/relationships/hyperlink" Target="C://Users/Kitty/Downloads/9789240685215_eng.pdf" TargetMode="External"/><Relationship Id="rId9" Type="http://schemas.openxmlformats.org/officeDocument/2006/relationships/hyperlink" Target="https://covid-drm.org/assets/documents/Disability-Rights-During-the-Pandemic-report-web.pdf" TargetMode="External"/><Relationship Id="rId13" Type="http://schemas.openxmlformats.org/officeDocument/2006/relationships/hyperlink" Target="https://covid-drm.org/assets/documents/Disability-Rights-During-the-Pandemic-report-web.pdf" TargetMode="External"/><Relationship Id="rId18" Type="http://schemas.openxmlformats.org/officeDocument/2006/relationships/hyperlink" Target="https://www.ohchr.org/Documents/Events/COVID-19/Checklist_HR-Based_Approach_Socio-Economic_Country_Responses_COVID-19.pdf" TargetMode="External"/><Relationship Id="rId39" Type="http://schemas.openxmlformats.org/officeDocument/2006/relationships/hyperlink" Target="https://www.imf.org/en/About/Factsheets/Sheets/2016/08/01/14/51/Special-Drawing-Right-SDR" TargetMode="External"/><Relationship Id="rId34" Type="http://schemas.openxmlformats.org/officeDocument/2006/relationships/hyperlink" Target="https://www.ohchr.org/Documents/Issues/Disability/SubmissionInternationalCooperation/Individuals_Polly_Meeks.docx" TargetMode="External"/><Relationship Id="rId50" Type="http://schemas.openxmlformats.org/officeDocument/2006/relationships/hyperlink" Target="https://www.ohchr.org/EN/NewsEvents/Pages/DisplayNews.aspx?NewsID=16031" TargetMode="External"/><Relationship Id="rId55" Type="http://schemas.openxmlformats.org/officeDocument/2006/relationships/hyperlink" Target="https://docs.wto.org/dol2fe/Pages/SS/directdoc.aspx?filename=q:/IP/C/W669.pdf&amp;Open=True" TargetMode="External"/><Relationship Id="rId7" Type="http://schemas.openxmlformats.org/officeDocument/2006/relationships/hyperlink" Target="https://www.ons.gov.uk/peoplepopulationandcommunity/birthsdeathsandmarriages/deaths/articles/coronaviruscovid19relateddeathsbydisabilitystatusenglandandwales/2marchto14july2020" TargetMode="External"/><Relationship Id="rId71" Type="http://schemas.openxmlformats.org/officeDocument/2006/relationships/hyperlink" Target="https://undocs.org/A/HRC/4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FCBC4-8CE8-0F48-BDDA-8B352FF7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7120</Words>
  <Characters>40585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cp:keywords/>
  <dc:description/>
  <cp:lastModifiedBy>E. M. Lockwood</cp:lastModifiedBy>
  <cp:revision>4</cp:revision>
  <dcterms:created xsi:type="dcterms:W3CDTF">2021-02-01T18:00:00Z</dcterms:created>
  <dcterms:modified xsi:type="dcterms:W3CDTF">2021-02-02T18:24:00Z</dcterms:modified>
</cp:coreProperties>
</file>