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9057" w14:textId="77777777" w:rsidR="00486AC0" w:rsidRPr="007804E8" w:rsidRDefault="00486AC0" w:rsidP="00486AC0">
      <w:pPr>
        <w:jc w:val="center"/>
        <w:rPr>
          <w:rFonts w:asciiTheme="majorHAnsi" w:hAnsiTheme="majorHAnsi" w:cstheme="majorHAnsi"/>
          <w:b/>
          <w:bCs/>
          <w:color w:val="0070C0"/>
          <w:sz w:val="32"/>
          <w:szCs w:val="32"/>
        </w:rPr>
      </w:pPr>
      <w:r w:rsidRPr="007804E8">
        <w:rPr>
          <w:rFonts w:asciiTheme="majorHAnsi" w:hAnsiTheme="majorHAnsi" w:cstheme="majorHAnsi"/>
          <w:b/>
          <w:bCs/>
          <w:color w:val="0070C0"/>
          <w:sz w:val="32"/>
          <w:szCs w:val="32"/>
        </w:rPr>
        <w:t>CALL FOR PROPOSALS</w:t>
      </w:r>
    </w:p>
    <w:p w14:paraId="58732335" w14:textId="357D1004" w:rsidR="00486AC0" w:rsidRPr="00486AC0" w:rsidRDefault="00486AC0" w:rsidP="00486AC0">
      <w:pPr>
        <w:jc w:val="center"/>
        <w:rPr>
          <w:rFonts w:asciiTheme="majorHAnsi" w:hAnsiTheme="majorHAnsi" w:cstheme="majorHAnsi"/>
          <w:sz w:val="32"/>
          <w:szCs w:val="32"/>
        </w:rPr>
      </w:pPr>
      <w:r w:rsidRPr="00486AC0">
        <w:rPr>
          <w:rFonts w:asciiTheme="majorHAnsi" w:hAnsiTheme="majorHAnsi" w:cstheme="majorHAnsi"/>
          <w:sz w:val="32"/>
          <w:szCs w:val="32"/>
        </w:rPr>
        <w:t>IDA Initiatives to advance Economic Social and Cultural rights in Southern Africa</w:t>
      </w:r>
    </w:p>
    <w:p w14:paraId="4504C9D4" w14:textId="1DFF1C6F" w:rsidR="00486AC0" w:rsidRPr="00631E13" w:rsidRDefault="00486AC0" w:rsidP="00631E13">
      <w:pPr>
        <w:pStyle w:val="Titre1"/>
        <w:spacing w:before="480" w:after="60"/>
        <w:ind w:left="431" w:hanging="431"/>
        <w:rPr>
          <w:rFonts w:cstheme="majorHAnsi"/>
        </w:rPr>
      </w:pPr>
      <w:r w:rsidRPr="00486AC0">
        <w:rPr>
          <w:rFonts w:cstheme="majorHAnsi"/>
        </w:rPr>
        <w:t>PROGRAM BACKGROUND</w:t>
      </w:r>
    </w:p>
    <w:p w14:paraId="323BE538" w14:textId="411407BF" w:rsidR="00486AC0" w:rsidRPr="00171414" w:rsidRDefault="00486AC0" w:rsidP="00486AC0">
      <w:pPr>
        <w:pStyle w:val="Normal0"/>
        <w:spacing w:after="0" w:line="240" w:lineRule="auto"/>
        <w:rPr>
          <w:rFonts w:cs="Calibri"/>
        </w:rPr>
      </w:pPr>
      <w:r w:rsidRPr="00171414">
        <w:rPr>
          <w:rFonts w:cs="Calibri"/>
        </w:rPr>
        <w:t xml:space="preserve">In early 2021, the Finnish Ministry of Foreign Affair launched a call for proposals for support to INGOs to complement Finland’s development cooperation efforts. One of the thematic focus areas was strengthening the implementation of </w:t>
      </w:r>
      <w:r w:rsidR="00CF56C2" w:rsidRPr="00171414">
        <w:rPr>
          <w:rFonts w:cs="Calibri"/>
        </w:rPr>
        <w:t>Economic, Social and Cultural R</w:t>
      </w:r>
      <w:r w:rsidRPr="00171414">
        <w:rPr>
          <w:rFonts w:cs="Calibri"/>
        </w:rPr>
        <w:t xml:space="preserve">ights </w:t>
      </w:r>
      <w:r w:rsidR="00CF56C2" w:rsidRPr="00171414">
        <w:rPr>
          <w:rFonts w:cs="Calibri"/>
        </w:rPr>
        <w:t>(ESC</w:t>
      </w:r>
      <w:r w:rsidR="00CF56C2" w:rsidRPr="00171414">
        <w:rPr>
          <w:rFonts w:cs="Calibri"/>
        </w:rPr>
        <w:t>Rs</w:t>
      </w:r>
      <w:r w:rsidR="00CF56C2" w:rsidRPr="00171414">
        <w:rPr>
          <w:rFonts w:cs="Calibri"/>
        </w:rPr>
        <w:t>)</w:t>
      </w:r>
      <w:r w:rsidR="00C953DB" w:rsidRPr="00171414">
        <w:rPr>
          <w:rStyle w:val="Appelnotedebasdep"/>
          <w:rFonts w:cs="Calibri"/>
        </w:rPr>
        <w:footnoteReference w:id="1"/>
      </w:r>
      <w:r w:rsidR="00CF56C2" w:rsidRPr="00171414">
        <w:rPr>
          <w:rFonts w:cs="Calibri"/>
        </w:rPr>
        <w:t xml:space="preserve"> </w:t>
      </w:r>
      <w:r w:rsidRPr="00171414">
        <w:rPr>
          <w:rFonts w:cs="Calibri"/>
        </w:rPr>
        <w:t xml:space="preserve">to address discriminatory practices. Priority has been given to organizations focusing on the rights of persons in vulnerable situations and to interventions addressing gender equality, capacity building of rights holders and advocacy. </w:t>
      </w:r>
    </w:p>
    <w:p w14:paraId="3ED566F1" w14:textId="77777777" w:rsidR="00486AC0" w:rsidRPr="00171414" w:rsidRDefault="00486AC0" w:rsidP="00486AC0">
      <w:pPr>
        <w:pStyle w:val="Normal0"/>
        <w:spacing w:after="0" w:line="240" w:lineRule="auto"/>
        <w:rPr>
          <w:rFonts w:cs="Calibri"/>
        </w:rPr>
      </w:pPr>
    </w:p>
    <w:p w14:paraId="7CDA2FF7" w14:textId="7EB378F8" w:rsidR="002C3DD7" w:rsidRPr="00171414" w:rsidRDefault="001408F7" w:rsidP="00486AC0">
      <w:pPr>
        <w:pStyle w:val="Normal0"/>
        <w:spacing w:after="160" w:line="259" w:lineRule="auto"/>
        <w:rPr>
          <w:rFonts w:cs="Calibri"/>
        </w:rPr>
      </w:pPr>
      <w:r w:rsidRPr="00171414">
        <w:rPr>
          <w:rFonts w:cs="Calibri"/>
        </w:rPr>
        <w:t xml:space="preserve">The International Disability Alliance (IDA) received approval for a project </w:t>
      </w:r>
      <w:r w:rsidR="00486AC0" w:rsidRPr="00171414">
        <w:rPr>
          <w:rFonts w:cs="Calibri"/>
        </w:rPr>
        <w:t>to promote universality of ESC rights for all persons with disabilities, with a focus on Southern Africa</w:t>
      </w:r>
      <w:r w:rsidR="004864A5">
        <w:rPr>
          <w:rStyle w:val="Appelnotedebasdep"/>
          <w:rFonts w:cs="Calibri"/>
        </w:rPr>
        <w:footnoteReference w:id="2"/>
      </w:r>
      <w:r w:rsidR="00486AC0" w:rsidRPr="00171414">
        <w:rPr>
          <w:rFonts w:cs="Calibri"/>
        </w:rPr>
        <w:t xml:space="preserve">. </w:t>
      </w:r>
      <w:r w:rsidRPr="00171414">
        <w:rPr>
          <w:rFonts w:cs="Calibri"/>
        </w:rPr>
        <w:t xml:space="preserve">This project seeks to </w:t>
      </w:r>
      <w:r w:rsidR="00712927" w:rsidRPr="00171414">
        <w:rPr>
          <w:rFonts w:cs="Calibri"/>
        </w:rPr>
        <w:t>address entrenched</w:t>
      </w:r>
      <w:r w:rsidR="00486AC0" w:rsidRPr="00171414">
        <w:rPr>
          <w:rFonts w:cs="Calibri"/>
        </w:rPr>
        <w:t xml:space="preserve"> discriminations, especially for most marginalized and underrepresented</w:t>
      </w:r>
      <w:r w:rsidR="00712927" w:rsidRPr="00171414">
        <w:rPr>
          <w:rStyle w:val="Appelnotedebasdep"/>
          <w:rFonts w:cs="Calibri"/>
        </w:rPr>
        <w:footnoteReference w:id="3"/>
      </w:r>
      <w:r w:rsidR="00486AC0" w:rsidRPr="00171414">
        <w:rPr>
          <w:rFonts w:cs="Calibri"/>
        </w:rPr>
        <w:t xml:space="preserve"> groups of persons with disabilities</w:t>
      </w:r>
      <w:r w:rsidRPr="00171414">
        <w:rPr>
          <w:rFonts w:cs="Calibri"/>
        </w:rPr>
        <w:t xml:space="preserve">. These persons are in vulnerable situations </w:t>
      </w:r>
      <w:r w:rsidR="00486AC0" w:rsidRPr="00171414">
        <w:rPr>
          <w:rFonts w:cs="Calibri"/>
        </w:rPr>
        <w:t>which are aggravated by</w:t>
      </w:r>
      <w:r w:rsidRPr="00171414">
        <w:rPr>
          <w:rFonts w:cs="Calibri"/>
        </w:rPr>
        <w:t xml:space="preserve"> the realities, including but not limited to Water, Sanitation and Hygiene (WASH), the impacts of climate change and political instability. </w:t>
      </w:r>
    </w:p>
    <w:p w14:paraId="1BDAFDF9" w14:textId="6F80143D" w:rsidR="00486AC0" w:rsidRPr="00171414" w:rsidRDefault="001408F7" w:rsidP="00486AC0">
      <w:pPr>
        <w:pStyle w:val="Normal0"/>
        <w:spacing w:after="160" w:line="259" w:lineRule="auto"/>
        <w:rPr>
          <w:rFonts w:cs="Calibri"/>
        </w:rPr>
      </w:pPr>
      <w:r w:rsidRPr="00171414">
        <w:rPr>
          <w:rFonts w:cs="Calibri"/>
        </w:rPr>
        <w:t xml:space="preserve">To respond to </w:t>
      </w:r>
      <w:r w:rsidR="00F3431A" w:rsidRPr="00171414">
        <w:rPr>
          <w:rFonts w:cs="Calibri"/>
        </w:rPr>
        <w:t xml:space="preserve">these </w:t>
      </w:r>
      <w:r w:rsidR="002C3DD7" w:rsidRPr="00171414">
        <w:rPr>
          <w:rFonts w:cs="Calibri"/>
        </w:rPr>
        <w:t>aggravated situations</w:t>
      </w:r>
      <w:r w:rsidRPr="00171414">
        <w:rPr>
          <w:rFonts w:cs="Calibri"/>
        </w:rPr>
        <w:t xml:space="preserve">, </w:t>
      </w:r>
      <w:r w:rsidR="00486AC0" w:rsidRPr="00171414">
        <w:rPr>
          <w:rFonts w:cs="Calibri"/>
        </w:rPr>
        <w:t xml:space="preserve">the project </w:t>
      </w:r>
      <w:r w:rsidR="00631E13" w:rsidRPr="00171414">
        <w:rPr>
          <w:rFonts w:cs="Calibri"/>
        </w:rPr>
        <w:t xml:space="preserve">aims to </w:t>
      </w:r>
      <w:r w:rsidR="00486AC0" w:rsidRPr="00171414">
        <w:rPr>
          <w:rFonts w:cs="Calibri"/>
        </w:rPr>
        <w:t xml:space="preserve">invest in developing the capacity </w:t>
      </w:r>
      <w:r w:rsidR="00F3431A" w:rsidRPr="00171414">
        <w:rPr>
          <w:rFonts w:cs="Calibri"/>
        </w:rPr>
        <w:t xml:space="preserve">of </w:t>
      </w:r>
      <w:r w:rsidR="00486AC0" w:rsidRPr="00171414">
        <w:rPr>
          <w:rFonts w:cs="Calibri"/>
        </w:rPr>
        <w:t>and influence the disability rights movement in Southern Africa, in particular</w:t>
      </w:r>
      <w:r w:rsidR="00F3431A" w:rsidRPr="00171414">
        <w:rPr>
          <w:rFonts w:cs="Calibri"/>
        </w:rPr>
        <w:t>, of</w:t>
      </w:r>
      <w:r w:rsidR="00486AC0" w:rsidRPr="00171414">
        <w:rPr>
          <w:rFonts w:cs="Calibri"/>
        </w:rPr>
        <w:t xml:space="preserve"> women with disabilities and other underrepresented groups, including indigenous persons with disabilities and youth with disabilities. It articulates an intervention by, for and with persons with disabilities, building solidarities from national to regional and global levels to play a role as frontline defenders of the economic, social, and cultural rights of all persons with disabilities. </w:t>
      </w:r>
    </w:p>
    <w:p w14:paraId="61D5B941" w14:textId="20D5CDBA" w:rsidR="0089638E" w:rsidRPr="00171414" w:rsidRDefault="00486AC0" w:rsidP="00486AC0">
      <w:pPr>
        <w:pStyle w:val="Normal0"/>
        <w:spacing w:after="160" w:line="259" w:lineRule="auto"/>
        <w:rPr>
          <w:rFonts w:cs="Calibri"/>
        </w:rPr>
      </w:pPr>
      <w:r w:rsidRPr="00171414">
        <w:rPr>
          <w:rFonts w:cs="Calibri"/>
        </w:rPr>
        <w:t xml:space="preserve">The project will be implemented by IDA and its members, in particular the African Disability Forum (ADF), the World Federation of the Deaf (WFD) and Inclusion International (II), as well as national and subregional federations of Organizations of Persons with Disabilities (OPDs) in Southern Africa, particularly Mozambique, Angola, and Zambia. </w:t>
      </w:r>
    </w:p>
    <w:p w14:paraId="21537A17" w14:textId="3A558E6E" w:rsidR="00486AC0" w:rsidRDefault="00486AC0" w:rsidP="00486AC0">
      <w:pPr>
        <w:pStyle w:val="Titre1"/>
        <w:rPr>
          <w:rFonts w:cstheme="majorHAnsi"/>
        </w:rPr>
      </w:pPr>
      <w:r w:rsidRPr="00486AC0">
        <w:rPr>
          <w:rFonts w:cstheme="majorHAnsi"/>
        </w:rPr>
        <w:lastRenderedPageBreak/>
        <w:t>GRANTS OBJECTIVES</w:t>
      </w:r>
    </w:p>
    <w:p w14:paraId="7F45F2D7" w14:textId="77777777" w:rsidR="0089638E" w:rsidRPr="00FC38D8" w:rsidRDefault="0089638E" w:rsidP="00FC38D8">
      <w:pPr>
        <w:spacing w:after="0"/>
        <w:rPr>
          <w:rFonts w:ascii="Calibri" w:hAnsi="Calibri" w:cs="Calibri"/>
          <w:sz w:val="10"/>
          <w:szCs w:val="10"/>
        </w:rPr>
      </w:pPr>
    </w:p>
    <w:p w14:paraId="228E16E9" w14:textId="091E493E" w:rsidR="00486AC0" w:rsidRPr="00171414" w:rsidRDefault="001408F7" w:rsidP="00486AC0">
      <w:pPr>
        <w:pStyle w:val="Normal0"/>
        <w:jc w:val="both"/>
        <w:rPr>
          <w:rFonts w:eastAsiaTheme="minorEastAsia" w:cs="Calibri"/>
        </w:rPr>
      </w:pPr>
      <w:r w:rsidRPr="00171414">
        <w:rPr>
          <w:rFonts w:eastAsiaTheme="minorEastAsia" w:cs="Calibri"/>
        </w:rPr>
        <w:t xml:space="preserve">The </w:t>
      </w:r>
      <w:r w:rsidR="00486AC0" w:rsidRPr="00171414">
        <w:rPr>
          <w:rFonts w:eastAsiaTheme="minorEastAsia" w:cs="Calibri"/>
        </w:rPr>
        <w:t xml:space="preserve">IDA grants aim at supporting initiatives to advance ESC rights </w:t>
      </w:r>
      <w:r w:rsidR="0089638E" w:rsidRPr="00171414">
        <w:rPr>
          <w:rFonts w:eastAsiaTheme="minorEastAsia" w:cs="Calibri"/>
        </w:rPr>
        <w:t xml:space="preserve">for persons with disabilities </w:t>
      </w:r>
      <w:r w:rsidR="00486AC0" w:rsidRPr="00171414">
        <w:rPr>
          <w:rFonts w:eastAsiaTheme="minorEastAsia" w:cs="Calibri"/>
        </w:rPr>
        <w:t xml:space="preserve">in </w:t>
      </w:r>
      <w:r w:rsidR="007A4F34" w:rsidRPr="00171414">
        <w:rPr>
          <w:rFonts w:cs="Calibri"/>
        </w:rPr>
        <w:t>Southern Africa</w:t>
      </w:r>
      <w:r w:rsidR="007A4F34" w:rsidRPr="00171414">
        <w:rPr>
          <w:rFonts w:cs="Calibri"/>
        </w:rPr>
        <w:t xml:space="preserve">, particularly </w:t>
      </w:r>
      <w:r w:rsidR="00486AC0" w:rsidRPr="00171414">
        <w:rPr>
          <w:rFonts w:cs="Calibri"/>
        </w:rPr>
        <w:t>Mozambique, Angola and Zambia</w:t>
      </w:r>
      <w:r w:rsidR="00486AC0" w:rsidRPr="00171414">
        <w:rPr>
          <w:rFonts w:eastAsiaTheme="minorEastAsia" w:cs="Calibri"/>
        </w:rPr>
        <w:t xml:space="preserve">. The activities financed by those grants </w:t>
      </w:r>
      <w:r w:rsidR="007A4F34" w:rsidRPr="00171414">
        <w:rPr>
          <w:rFonts w:eastAsiaTheme="minorEastAsia" w:cs="Calibri"/>
        </w:rPr>
        <w:t xml:space="preserve">can cover </w:t>
      </w:r>
      <w:r w:rsidR="00486AC0" w:rsidRPr="00171414">
        <w:rPr>
          <w:rFonts w:eastAsiaTheme="minorEastAsia" w:cs="Calibri"/>
        </w:rPr>
        <w:t>the following</w:t>
      </w:r>
      <w:r w:rsidR="007A4F34" w:rsidRPr="00171414">
        <w:rPr>
          <w:rFonts w:eastAsiaTheme="minorEastAsia" w:cs="Calibri"/>
        </w:rPr>
        <w:t xml:space="preserve"> areas or actions</w:t>
      </w:r>
      <w:r w:rsidR="00486AC0" w:rsidRPr="00171414">
        <w:rPr>
          <w:rFonts w:eastAsiaTheme="minorEastAsia" w:cs="Calibri"/>
        </w:rPr>
        <w:t xml:space="preserve">: </w:t>
      </w:r>
    </w:p>
    <w:p w14:paraId="4011A782" w14:textId="4CE0592B" w:rsidR="00486AC0" w:rsidRPr="00171414" w:rsidRDefault="00486AC0" w:rsidP="00796254">
      <w:pPr>
        <w:pStyle w:val="Normal0"/>
        <w:numPr>
          <w:ilvl w:val="0"/>
          <w:numId w:val="2"/>
        </w:numPr>
        <w:spacing w:after="120"/>
        <w:ind w:left="714" w:hanging="357"/>
        <w:jc w:val="both"/>
        <w:rPr>
          <w:rFonts w:eastAsiaTheme="minorEastAsia" w:cs="Calibri"/>
        </w:rPr>
      </w:pPr>
      <w:r w:rsidRPr="00171414">
        <w:rPr>
          <w:rFonts w:eastAsiaTheme="minorEastAsia" w:cs="Calibri"/>
        </w:rPr>
        <w:t>Advocacy to ensure ESC</w:t>
      </w:r>
      <w:r w:rsidR="007A4F34" w:rsidRPr="00171414">
        <w:rPr>
          <w:rFonts w:eastAsiaTheme="minorEastAsia" w:cs="Calibri"/>
        </w:rPr>
        <w:t>Rs</w:t>
      </w:r>
      <w:r w:rsidRPr="00171414">
        <w:rPr>
          <w:rFonts w:eastAsiaTheme="minorEastAsia" w:cs="Calibri"/>
        </w:rPr>
        <w:t xml:space="preserve"> for persons with disabilities</w:t>
      </w:r>
      <w:r w:rsidR="007A4F34" w:rsidRPr="00171414">
        <w:rPr>
          <w:rFonts w:eastAsiaTheme="minorEastAsia" w:cs="Calibri"/>
        </w:rPr>
        <w:t xml:space="preserve"> on an equal basis with others,</w:t>
      </w:r>
    </w:p>
    <w:p w14:paraId="00540F48" w14:textId="348D94F2" w:rsidR="00486AC0" w:rsidRPr="00171414" w:rsidRDefault="00486AC0" w:rsidP="00796254">
      <w:pPr>
        <w:pStyle w:val="Normal0"/>
        <w:numPr>
          <w:ilvl w:val="0"/>
          <w:numId w:val="2"/>
        </w:numPr>
        <w:spacing w:after="120"/>
        <w:ind w:left="714" w:hanging="357"/>
        <w:jc w:val="both"/>
        <w:rPr>
          <w:rFonts w:eastAsiaTheme="minorEastAsia" w:cs="Calibri"/>
        </w:rPr>
      </w:pPr>
      <w:r w:rsidRPr="00171414">
        <w:rPr>
          <w:rFonts w:eastAsiaTheme="minorEastAsia" w:cs="Calibri"/>
        </w:rPr>
        <w:t>Media campaigns, including social media, to raise awareness on ESC rights</w:t>
      </w:r>
      <w:r w:rsidR="007A4F34" w:rsidRPr="00171414">
        <w:rPr>
          <w:rFonts w:eastAsiaTheme="minorEastAsia" w:cs="Calibri"/>
        </w:rPr>
        <w:t xml:space="preserve"> </w:t>
      </w:r>
      <w:r w:rsidR="002C6EB5" w:rsidRPr="00171414">
        <w:rPr>
          <w:rFonts w:eastAsiaTheme="minorEastAsia" w:cs="Calibri"/>
        </w:rPr>
        <w:t>of</w:t>
      </w:r>
      <w:r w:rsidR="007A4F34" w:rsidRPr="00171414">
        <w:rPr>
          <w:rFonts w:eastAsiaTheme="minorEastAsia" w:cs="Calibri"/>
        </w:rPr>
        <w:t xml:space="preserve"> persons with disabilities</w:t>
      </w:r>
      <w:r w:rsidR="007A4F34" w:rsidRPr="00171414">
        <w:rPr>
          <w:rFonts w:eastAsiaTheme="minorEastAsia" w:cs="Calibri"/>
        </w:rPr>
        <w:t>,</w:t>
      </w:r>
    </w:p>
    <w:p w14:paraId="33DAE398" w14:textId="3CAC8825" w:rsidR="00486AC0" w:rsidRPr="00171414" w:rsidRDefault="00486AC0" w:rsidP="00796254">
      <w:pPr>
        <w:pStyle w:val="Normal0"/>
        <w:numPr>
          <w:ilvl w:val="0"/>
          <w:numId w:val="2"/>
        </w:numPr>
        <w:spacing w:after="120"/>
        <w:ind w:left="714" w:hanging="357"/>
        <w:jc w:val="both"/>
        <w:rPr>
          <w:rFonts w:eastAsiaTheme="minorEastAsia" w:cs="Calibri"/>
        </w:rPr>
      </w:pPr>
      <w:r w:rsidRPr="00171414">
        <w:rPr>
          <w:rFonts w:eastAsiaTheme="minorEastAsia" w:cs="Calibri"/>
        </w:rPr>
        <w:t>Production of reports, case studies and other sources of evidence on the ESC rights of persons with disabilities</w:t>
      </w:r>
      <w:r w:rsidR="002C6EB5" w:rsidRPr="00171414">
        <w:rPr>
          <w:rFonts w:eastAsiaTheme="minorEastAsia" w:cs="Calibri"/>
        </w:rPr>
        <w:t xml:space="preserve">, in particular covering their </w:t>
      </w:r>
      <w:r w:rsidR="002C6EB5" w:rsidRPr="00171414">
        <w:rPr>
          <w:rFonts w:eastAsiaTheme="minorEastAsia" w:cs="Calibri"/>
        </w:rPr>
        <w:t>underrepresented groups</w:t>
      </w:r>
      <w:r w:rsidRPr="00171414">
        <w:rPr>
          <w:rFonts w:eastAsiaTheme="minorEastAsia" w:cs="Calibri"/>
        </w:rPr>
        <w:t>. Such reports should include innovative tools</w:t>
      </w:r>
      <w:r w:rsidR="001408F7" w:rsidRPr="00171414">
        <w:rPr>
          <w:rFonts w:eastAsiaTheme="minorEastAsia" w:cs="Calibri"/>
        </w:rPr>
        <w:t xml:space="preserve"> and good practices</w:t>
      </w:r>
      <w:r w:rsidRPr="00171414">
        <w:rPr>
          <w:rFonts w:eastAsiaTheme="minorEastAsia" w:cs="Calibri"/>
        </w:rPr>
        <w:t xml:space="preserve"> </w:t>
      </w:r>
      <w:r w:rsidR="001408F7" w:rsidRPr="00171414">
        <w:rPr>
          <w:rFonts w:eastAsiaTheme="minorEastAsia" w:cs="Calibri"/>
        </w:rPr>
        <w:t>for</w:t>
      </w:r>
      <w:r w:rsidRPr="00171414">
        <w:rPr>
          <w:rFonts w:eastAsiaTheme="minorEastAsia" w:cs="Calibri"/>
        </w:rPr>
        <w:t xml:space="preserve"> policy makers, development actors and others on the practical implementation and realization of economic, social, and cultural rights</w:t>
      </w:r>
      <w:r w:rsidR="002C6EB5" w:rsidRPr="00171414">
        <w:rPr>
          <w:rFonts w:eastAsiaTheme="minorEastAsia" w:cs="Calibri"/>
        </w:rPr>
        <w:t>,</w:t>
      </w:r>
    </w:p>
    <w:p w14:paraId="6F5A1F06" w14:textId="0485F819" w:rsidR="00486AC0" w:rsidRPr="00171414" w:rsidRDefault="0071311F" w:rsidP="00796254">
      <w:pPr>
        <w:pStyle w:val="Normal0"/>
        <w:numPr>
          <w:ilvl w:val="0"/>
          <w:numId w:val="2"/>
        </w:numPr>
        <w:spacing w:after="120"/>
        <w:ind w:left="714" w:hanging="357"/>
        <w:jc w:val="both"/>
        <w:rPr>
          <w:rFonts w:eastAsiaTheme="minorEastAsia" w:cs="Calibri"/>
        </w:rPr>
      </w:pPr>
      <w:r w:rsidRPr="00171414">
        <w:rPr>
          <w:rFonts w:eastAsiaTheme="minorEastAsia" w:cs="Calibri"/>
        </w:rPr>
        <w:t xml:space="preserve">Capacity building around the </w:t>
      </w:r>
      <w:r w:rsidR="002C6EB5" w:rsidRPr="00171414">
        <w:rPr>
          <w:rFonts w:eastAsiaTheme="minorEastAsia" w:cs="Calibri"/>
        </w:rPr>
        <w:t xml:space="preserve">International Covenant on </w:t>
      </w:r>
      <w:r w:rsidR="002C6EB5" w:rsidRPr="00171414">
        <w:rPr>
          <w:rFonts w:eastAsiaTheme="minorEastAsia" w:cs="Calibri"/>
        </w:rPr>
        <w:t>Economic Social and Cultural Rights</w:t>
      </w:r>
      <w:r w:rsidR="002C6EB5" w:rsidRPr="00171414">
        <w:rPr>
          <w:rFonts w:eastAsiaTheme="minorEastAsia" w:cs="Calibri"/>
        </w:rPr>
        <w:t>, and its UN Committee</w:t>
      </w:r>
      <w:r w:rsidR="00552875" w:rsidRPr="00171414">
        <w:rPr>
          <w:rFonts w:eastAsiaTheme="minorEastAsia" w:cs="Calibri"/>
        </w:rPr>
        <w:t xml:space="preserve"> </w:t>
      </w:r>
      <w:r w:rsidR="00552875" w:rsidRPr="00171414">
        <w:rPr>
          <w:rFonts w:eastAsiaTheme="minorEastAsia" w:cs="Calibri"/>
        </w:rPr>
        <w:t>CECSR</w:t>
      </w:r>
      <w:r w:rsidR="002C6EB5" w:rsidRPr="00171414">
        <w:rPr>
          <w:rFonts w:eastAsiaTheme="minorEastAsia" w:cs="Calibri"/>
        </w:rPr>
        <w:t xml:space="preserve">, </w:t>
      </w:r>
      <w:r w:rsidRPr="00171414">
        <w:rPr>
          <w:rFonts w:eastAsiaTheme="minorEastAsia" w:cs="Calibri"/>
        </w:rPr>
        <w:t>including but not limited to training</w:t>
      </w:r>
      <w:r w:rsidR="00AE193D">
        <w:rPr>
          <w:rFonts w:eastAsiaTheme="minorEastAsia" w:cs="Calibri"/>
        </w:rPr>
        <w:t>s to</w:t>
      </w:r>
      <w:r w:rsidRPr="00171414">
        <w:rPr>
          <w:rFonts w:eastAsiaTheme="minorEastAsia" w:cs="Calibri"/>
        </w:rPr>
        <w:t xml:space="preserve"> OPDs on </w:t>
      </w:r>
      <w:r w:rsidR="00552875" w:rsidRPr="00171414">
        <w:rPr>
          <w:rFonts w:eastAsiaTheme="minorEastAsia" w:cs="Calibri"/>
        </w:rPr>
        <w:t>elaborating</w:t>
      </w:r>
      <w:r w:rsidRPr="00171414">
        <w:rPr>
          <w:rFonts w:eastAsiaTheme="minorEastAsia" w:cs="Calibri"/>
        </w:rPr>
        <w:t xml:space="preserve"> alternat</w:t>
      </w:r>
      <w:r w:rsidR="00552875" w:rsidRPr="00171414">
        <w:rPr>
          <w:rFonts w:eastAsiaTheme="minorEastAsia" w:cs="Calibri"/>
        </w:rPr>
        <w:t xml:space="preserve">ive/parallel/shadow </w:t>
      </w:r>
      <w:r w:rsidR="00486AC0" w:rsidRPr="00171414">
        <w:rPr>
          <w:rFonts w:eastAsiaTheme="minorEastAsia" w:cs="Calibri"/>
        </w:rPr>
        <w:t>reports</w:t>
      </w:r>
      <w:r w:rsidRPr="00171414">
        <w:rPr>
          <w:rFonts w:eastAsiaTheme="minorEastAsia" w:cs="Calibri"/>
        </w:rPr>
        <w:t xml:space="preserve"> to the </w:t>
      </w:r>
      <w:r w:rsidR="000E7A71" w:rsidRPr="00171414">
        <w:rPr>
          <w:rFonts w:eastAsiaTheme="minorEastAsia" w:cs="Calibri"/>
        </w:rPr>
        <w:t xml:space="preserve">CESCR </w:t>
      </w:r>
      <w:r w:rsidRPr="00171414">
        <w:rPr>
          <w:rFonts w:eastAsiaTheme="minorEastAsia" w:cs="Calibri"/>
        </w:rPr>
        <w:t xml:space="preserve">Committee, advocacy towards signing the Optional Protocol and </w:t>
      </w:r>
      <w:r w:rsidR="007740C3" w:rsidRPr="00171414">
        <w:rPr>
          <w:rFonts w:eastAsiaTheme="minorEastAsia" w:cs="Calibri"/>
        </w:rPr>
        <w:t>its individual communications</w:t>
      </w:r>
      <w:r w:rsidRPr="00171414">
        <w:rPr>
          <w:rFonts w:eastAsiaTheme="minorEastAsia" w:cs="Calibri"/>
        </w:rPr>
        <w:t xml:space="preserve"> mechanism</w:t>
      </w:r>
      <w:r w:rsidR="009C20CD" w:rsidRPr="00171414">
        <w:rPr>
          <w:rFonts w:eastAsiaTheme="minorEastAsia" w:cs="Calibri"/>
        </w:rPr>
        <w:t>,</w:t>
      </w:r>
      <w:r w:rsidRPr="00171414">
        <w:rPr>
          <w:rFonts w:eastAsiaTheme="minorEastAsia" w:cs="Calibri"/>
        </w:rPr>
        <w:t xml:space="preserve"> </w:t>
      </w:r>
    </w:p>
    <w:p w14:paraId="6F652B7A" w14:textId="12C792D6" w:rsidR="00486AC0" w:rsidRPr="00171414" w:rsidRDefault="0071311F" w:rsidP="00796254">
      <w:pPr>
        <w:pStyle w:val="Normal0"/>
        <w:numPr>
          <w:ilvl w:val="0"/>
          <w:numId w:val="2"/>
        </w:numPr>
        <w:spacing w:after="120"/>
        <w:ind w:left="714" w:hanging="357"/>
        <w:jc w:val="both"/>
        <w:rPr>
          <w:rFonts w:eastAsiaTheme="minorEastAsia" w:cs="Calibri"/>
        </w:rPr>
      </w:pPr>
      <w:r w:rsidRPr="00171414">
        <w:rPr>
          <w:rFonts w:eastAsiaTheme="minorEastAsia" w:cs="Calibri"/>
        </w:rPr>
        <w:t xml:space="preserve">Capacity building of </w:t>
      </w:r>
      <w:r w:rsidR="003F2FA3" w:rsidRPr="00171414">
        <w:rPr>
          <w:rFonts w:eastAsiaTheme="minorEastAsia" w:cs="Calibri"/>
        </w:rPr>
        <w:t>organizations of youth with disabilities</w:t>
      </w:r>
      <w:r w:rsidRPr="00171414">
        <w:rPr>
          <w:rFonts w:eastAsiaTheme="minorEastAsia" w:cs="Calibri"/>
        </w:rPr>
        <w:t xml:space="preserve"> </w:t>
      </w:r>
      <w:r w:rsidR="00AE193D">
        <w:rPr>
          <w:rFonts w:eastAsiaTheme="minorEastAsia" w:cs="Calibri"/>
        </w:rPr>
        <w:t>regarding</w:t>
      </w:r>
      <w:r w:rsidRPr="00171414">
        <w:rPr>
          <w:rFonts w:eastAsiaTheme="minorEastAsia" w:cs="Calibri"/>
        </w:rPr>
        <w:t xml:space="preserve"> the </w:t>
      </w:r>
      <w:r w:rsidR="003F2FA3" w:rsidRPr="00171414">
        <w:rPr>
          <w:rFonts w:eastAsiaTheme="minorEastAsia" w:cs="Calibri"/>
        </w:rPr>
        <w:t xml:space="preserve">Global Disability Youth Summit and the resultant </w:t>
      </w:r>
      <w:hyperlink r:id="rId7" w:history="1">
        <w:r w:rsidR="00AE193D" w:rsidRPr="00AE193D">
          <w:rPr>
            <w:rStyle w:val="Lienhypertexte"/>
            <w:rFonts w:eastAsiaTheme="minorEastAsia" w:cs="Calibri"/>
          </w:rPr>
          <w:t>Youth Call</w:t>
        </w:r>
        <w:r w:rsidR="00AE193D" w:rsidRPr="00AE193D">
          <w:rPr>
            <w:rStyle w:val="Lienhypertexte"/>
            <w:rFonts w:eastAsiaTheme="minorEastAsia" w:cs="Calibri"/>
          </w:rPr>
          <w:t xml:space="preserve"> </w:t>
        </w:r>
        <w:r w:rsidR="00AE193D" w:rsidRPr="00AE193D">
          <w:rPr>
            <w:rStyle w:val="Lienhypertexte"/>
            <w:rFonts w:eastAsiaTheme="minorEastAsia" w:cs="Calibri"/>
          </w:rPr>
          <w:t>for Ac</w:t>
        </w:r>
        <w:r w:rsidR="00AE193D" w:rsidRPr="00AE193D">
          <w:rPr>
            <w:rStyle w:val="Lienhypertexte"/>
            <w:rFonts w:eastAsiaTheme="minorEastAsia" w:cs="Calibri"/>
          </w:rPr>
          <w:t>t</w:t>
        </w:r>
        <w:r w:rsidR="00AE193D" w:rsidRPr="00AE193D">
          <w:rPr>
            <w:rStyle w:val="Lienhypertexte"/>
            <w:rFonts w:eastAsiaTheme="minorEastAsia" w:cs="Calibri"/>
          </w:rPr>
          <w:t>ion</w:t>
        </w:r>
      </w:hyperlink>
      <w:r w:rsidR="003F2FA3" w:rsidRPr="00171414">
        <w:rPr>
          <w:rFonts w:eastAsiaTheme="minorEastAsia" w:cs="Calibri"/>
        </w:rPr>
        <w:t xml:space="preserve">, including supporting the implementation of the Call for Action at the </w:t>
      </w:r>
      <w:r w:rsidR="00486AC0" w:rsidRPr="00171414">
        <w:rPr>
          <w:rFonts w:eastAsiaTheme="minorEastAsia" w:cs="Calibri"/>
        </w:rPr>
        <w:t xml:space="preserve">national level </w:t>
      </w:r>
      <w:r w:rsidR="003F2FA3" w:rsidRPr="00171414">
        <w:rPr>
          <w:rFonts w:eastAsiaTheme="minorEastAsia" w:cs="Calibri"/>
        </w:rPr>
        <w:t>towards</w:t>
      </w:r>
      <w:r w:rsidR="00486AC0" w:rsidRPr="00171414">
        <w:rPr>
          <w:rFonts w:eastAsiaTheme="minorEastAsia" w:cs="Calibri"/>
        </w:rPr>
        <w:t xml:space="preserve"> positive contribution</w:t>
      </w:r>
      <w:r w:rsidR="003F2FA3" w:rsidRPr="00171414">
        <w:rPr>
          <w:rFonts w:eastAsiaTheme="minorEastAsia" w:cs="Calibri"/>
        </w:rPr>
        <w:t>s</w:t>
      </w:r>
      <w:r w:rsidR="00486AC0" w:rsidRPr="00171414">
        <w:rPr>
          <w:rFonts w:eastAsiaTheme="minorEastAsia" w:cs="Calibri"/>
        </w:rPr>
        <w:t xml:space="preserve"> to national policy-shaping and decision-making</w:t>
      </w:r>
      <w:r w:rsidR="009C20CD" w:rsidRPr="00171414">
        <w:rPr>
          <w:rFonts w:eastAsiaTheme="minorEastAsia" w:cs="Calibri"/>
        </w:rPr>
        <w:t>,</w:t>
      </w:r>
    </w:p>
    <w:p w14:paraId="0CAB5B70" w14:textId="43A33E21" w:rsidR="00796254" w:rsidRDefault="00486AC0" w:rsidP="00796254">
      <w:pPr>
        <w:pStyle w:val="Normal0"/>
        <w:numPr>
          <w:ilvl w:val="0"/>
          <w:numId w:val="2"/>
        </w:numPr>
        <w:spacing w:after="120"/>
        <w:ind w:left="714" w:hanging="357"/>
        <w:jc w:val="both"/>
        <w:rPr>
          <w:rFonts w:eastAsiaTheme="minorEastAsia" w:cs="Calibri"/>
        </w:rPr>
      </w:pPr>
      <w:r w:rsidRPr="00171414">
        <w:rPr>
          <w:rFonts w:eastAsiaTheme="minorEastAsia" w:cs="Calibri"/>
        </w:rPr>
        <w:t xml:space="preserve">Initiatives </w:t>
      </w:r>
      <w:r w:rsidR="00FC38D8">
        <w:rPr>
          <w:rFonts w:eastAsiaTheme="minorEastAsia" w:cs="Calibri"/>
        </w:rPr>
        <w:t xml:space="preserve">considering the </w:t>
      </w:r>
      <w:r w:rsidR="00FC38D8" w:rsidRPr="00FC38D8">
        <w:rPr>
          <w:rFonts w:eastAsiaTheme="minorEastAsia" w:cs="Calibri"/>
        </w:rPr>
        <w:t>impact of climate change</w:t>
      </w:r>
      <w:r w:rsidR="00FC38D8">
        <w:rPr>
          <w:rFonts w:eastAsiaTheme="minorEastAsia" w:cs="Calibri"/>
        </w:rPr>
        <w:t xml:space="preserve"> </w:t>
      </w:r>
      <w:r w:rsidR="00796254" w:rsidRPr="00796254">
        <w:rPr>
          <w:rFonts w:eastAsiaTheme="minorEastAsia" w:cs="Calibri"/>
        </w:rPr>
        <w:t>on economic, social and cultural rights</w:t>
      </w:r>
      <w:r w:rsidR="00FC38D8" w:rsidRPr="00FC38D8">
        <w:rPr>
          <w:rFonts w:eastAsiaTheme="minorEastAsia" w:cs="Calibri"/>
        </w:rPr>
        <w:t xml:space="preserve">, </w:t>
      </w:r>
    </w:p>
    <w:p w14:paraId="1741E2BB" w14:textId="75585376" w:rsidR="00486AC0" w:rsidRPr="00171414" w:rsidRDefault="00796254" w:rsidP="00796254">
      <w:pPr>
        <w:pStyle w:val="Normal0"/>
        <w:numPr>
          <w:ilvl w:val="0"/>
          <w:numId w:val="2"/>
        </w:numPr>
        <w:spacing w:after="120"/>
        <w:ind w:left="714" w:hanging="357"/>
        <w:jc w:val="both"/>
        <w:rPr>
          <w:rFonts w:eastAsiaTheme="minorEastAsia" w:cs="Calibri"/>
        </w:rPr>
      </w:pPr>
      <w:r w:rsidRPr="00171414">
        <w:rPr>
          <w:rFonts w:eastAsiaTheme="minorEastAsia" w:cs="Calibri"/>
        </w:rPr>
        <w:t xml:space="preserve">Initiatives </w:t>
      </w:r>
      <w:r w:rsidR="00486AC0" w:rsidRPr="00171414">
        <w:rPr>
          <w:rFonts w:eastAsiaTheme="minorEastAsia" w:cs="Calibri"/>
        </w:rPr>
        <w:t xml:space="preserve">promoting access to employment for </w:t>
      </w:r>
      <w:r w:rsidR="00FC38D8">
        <w:rPr>
          <w:rFonts w:eastAsiaTheme="minorEastAsia" w:cs="Calibri"/>
        </w:rPr>
        <w:t>y</w:t>
      </w:r>
      <w:r w:rsidR="00486AC0" w:rsidRPr="00171414">
        <w:rPr>
          <w:rFonts w:eastAsiaTheme="minorEastAsia" w:cs="Calibri"/>
        </w:rPr>
        <w:t xml:space="preserve">outh with disabilities. </w:t>
      </w:r>
    </w:p>
    <w:p w14:paraId="43E45F47" w14:textId="77777777" w:rsidR="00796254" w:rsidRPr="00796254" w:rsidRDefault="00796254" w:rsidP="00796254">
      <w:pPr>
        <w:pStyle w:val="Normal0"/>
        <w:spacing w:after="0"/>
        <w:jc w:val="both"/>
        <w:rPr>
          <w:rFonts w:eastAsiaTheme="minorEastAsia" w:cs="Calibri"/>
          <w:sz w:val="10"/>
          <w:szCs w:val="10"/>
        </w:rPr>
      </w:pPr>
    </w:p>
    <w:p w14:paraId="55A3D9B4" w14:textId="727D16E6" w:rsidR="00486AC0" w:rsidRPr="00171414" w:rsidRDefault="00486AC0" w:rsidP="00486AC0">
      <w:pPr>
        <w:pStyle w:val="Normal0"/>
        <w:jc w:val="both"/>
        <w:rPr>
          <w:rFonts w:eastAsiaTheme="minorEastAsia" w:cs="Calibri"/>
        </w:rPr>
      </w:pPr>
      <w:r w:rsidRPr="00171414">
        <w:rPr>
          <w:rFonts w:eastAsiaTheme="minorEastAsia" w:cs="Calibri"/>
        </w:rPr>
        <w:t xml:space="preserve">This list is not exhaustive, and IDA will consider any proposal covering cross-disability </w:t>
      </w:r>
      <w:r w:rsidR="00796254">
        <w:rPr>
          <w:rFonts w:eastAsiaTheme="minorEastAsia" w:cs="Calibri"/>
        </w:rPr>
        <w:t xml:space="preserve">initiatives and </w:t>
      </w:r>
      <w:r w:rsidRPr="00171414">
        <w:rPr>
          <w:rFonts w:eastAsiaTheme="minorEastAsia" w:cs="Calibri"/>
        </w:rPr>
        <w:t>partnerships at national level and other advocacy strategies towards relevant ESC rights.</w:t>
      </w:r>
    </w:p>
    <w:p w14:paraId="46AB07BA" w14:textId="31B4C3F8" w:rsidR="00486AC0" w:rsidRPr="00486AC0" w:rsidRDefault="00486AC0" w:rsidP="00486AC0">
      <w:pPr>
        <w:pStyle w:val="Titre1"/>
        <w:rPr>
          <w:rFonts w:eastAsiaTheme="minorEastAsia" w:cstheme="majorHAnsi"/>
        </w:rPr>
      </w:pPr>
      <w:r w:rsidRPr="00486AC0">
        <w:rPr>
          <w:rFonts w:eastAsiaTheme="minorEastAsia" w:cstheme="majorHAnsi"/>
        </w:rPr>
        <w:t>APPLICATION PROCESS</w:t>
      </w:r>
    </w:p>
    <w:p w14:paraId="7ECECBA5" w14:textId="5E676EE1" w:rsidR="00486AC0" w:rsidRPr="00D821E3" w:rsidRDefault="00486AC0" w:rsidP="00D821E3">
      <w:pPr>
        <w:spacing w:after="0"/>
        <w:rPr>
          <w:rFonts w:asciiTheme="majorHAnsi" w:hAnsiTheme="majorHAnsi" w:cstheme="majorHAnsi"/>
          <w:sz w:val="10"/>
          <w:szCs w:val="10"/>
        </w:rPr>
      </w:pPr>
    </w:p>
    <w:p w14:paraId="411583FB" w14:textId="37FE55E0" w:rsidR="00486AC0" w:rsidRPr="007A3BBA" w:rsidRDefault="00486AC0" w:rsidP="00486AC0">
      <w:pPr>
        <w:pStyle w:val="Titre2"/>
        <w:rPr>
          <w:rFonts w:cstheme="majorHAnsi"/>
          <w:sz w:val="28"/>
          <w:szCs w:val="28"/>
        </w:rPr>
      </w:pPr>
      <w:r w:rsidRPr="007A3BBA">
        <w:rPr>
          <w:rFonts w:cstheme="majorHAnsi"/>
          <w:sz w:val="28"/>
          <w:szCs w:val="28"/>
        </w:rPr>
        <w:t>General Information</w:t>
      </w:r>
    </w:p>
    <w:p w14:paraId="3C34F0A7" w14:textId="13DDB88F" w:rsidR="00486AC0" w:rsidRPr="00E244D0" w:rsidRDefault="00486AC0" w:rsidP="00E244D0">
      <w:pPr>
        <w:spacing w:after="0"/>
        <w:rPr>
          <w:rFonts w:asciiTheme="majorHAnsi" w:hAnsiTheme="majorHAnsi" w:cstheme="majorHAnsi"/>
          <w:sz w:val="10"/>
          <w:szCs w:val="10"/>
        </w:rPr>
      </w:pPr>
    </w:p>
    <w:p w14:paraId="1BFA1DE1" w14:textId="506DE92D" w:rsidR="00486AC0" w:rsidRPr="00E343A8" w:rsidRDefault="00486AC0" w:rsidP="00486AC0">
      <w:pPr>
        <w:pStyle w:val="Normal0"/>
        <w:shd w:val="clear" w:color="auto" w:fill="FFFFFF" w:themeFill="background1"/>
        <w:spacing w:after="0" w:line="384" w:lineRule="auto"/>
        <w:rPr>
          <w:rFonts w:asciiTheme="minorHAnsi" w:eastAsiaTheme="minorEastAsia" w:hAnsiTheme="minorHAnsi" w:cstheme="minorHAnsi"/>
        </w:rPr>
      </w:pPr>
      <w:r w:rsidRPr="00E343A8">
        <w:rPr>
          <w:rFonts w:asciiTheme="minorHAnsi" w:hAnsiTheme="minorHAnsi" w:cstheme="minorHAnsi"/>
          <w:b/>
          <w:bCs/>
        </w:rPr>
        <w:t xml:space="preserve">Eligible Organizations:  </w:t>
      </w:r>
      <w:r w:rsidRPr="00E343A8">
        <w:rPr>
          <w:rFonts w:asciiTheme="minorHAnsi" w:hAnsiTheme="minorHAnsi" w:cstheme="minorHAnsi"/>
        </w:rPr>
        <w:t xml:space="preserve">Organizations of persons with disabilities registered </w:t>
      </w:r>
      <w:r w:rsidR="00CE44F8" w:rsidRPr="00E343A8">
        <w:rPr>
          <w:rFonts w:asciiTheme="minorHAnsi" w:hAnsiTheme="minorHAnsi" w:cstheme="minorHAnsi"/>
        </w:rPr>
        <w:t>in Southern Africa, particularly Mozambique, Angola and Zambia</w:t>
      </w:r>
      <w:r w:rsidRPr="00E343A8">
        <w:rPr>
          <w:rFonts w:asciiTheme="minorHAnsi" w:eastAsiaTheme="minorEastAsia" w:hAnsiTheme="minorHAnsi" w:cstheme="minorHAnsi"/>
        </w:rPr>
        <w:t>.</w:t>
      </w:r>
    </w:p>
    <w:p w14:paraId="655910C2" w14:textId="21402D57" w:rsidR="00486AC0" w:rsidRPr="00E343A8" w:rsidRDefault="00486AC0" w:rsidP="00486AC0">
      <w:pPr>
        <w:pStyle w:val="Normal0"/>
        <w:shd w:val="clear" w:color="auto" w:fill="FFFFFF" w:themeFill="background1"/>
        <w:spacing w:after="0" w:line="384" w:lineRule="auto"/>
        <w:rPr>
          <w:rFonts w:asciiTheme="minorHAnsi" w:hAnsiTheme="minorHAnsi" w:cstheme="minorHAnsi"/>
        </w:rPr>
      </w:pPr>
      <w:r w:rsidRPr="00E343A8">
        <w:rPr>
          <w:rFonts w:asciiTheme="minorHAnsi" w:hAnsiTheme="minorHAnsi" w:cstheme="minorHAnsi"/>
          <w:b/>
          <w:bCs/>
        </w:rPr>
        <w:t>Duration and amount of the program:</w:t>
      </w:r>
      <w:r w:rsidRPr="00E343A8">
        <w:rPr>
          <w:rFonts w:asciiTheme="minorHAnsi" w:hAnsiTheme="minorHAnsi" w:cstheme="minorHAnsi"/>
        </w:rPr>
        <w:t xml:space="preserve"> 132,0</w:t>
      </w:r>
      <w:r w:rsidR="00171616" w:rsidRPr="00E343A8">
        <w:rPr>
          <w:rFonts w:asciiTheme="minorHAnsi" w:hAnsiTheme="minorHAnsi" w:cstheme="minorHAnsi"/>
        </w:rPr>
        <w:t>0</w:t>
      </w:r>
      <w:r w:rsidRPr="00E343A8">
        <w:rPr>
          <w:rFonts w:asciiTheme="minorHAnsi" w:hAnsiTheme="minorHAnsi" w:cstheme="minorHAnsi"/>
        </w:rPr>
        <w:t xml:space="preserve">0 EUR between </w:t>
      </w:r>
      <w:r w:rsidR="002826E2" w:rsidRPr="002826E2">
        <w:rPr>
          <w:rFonts w:asciiTheme="minorHAnsi" w:hAnsiTheme="minorHAnsi" w:cstheme="minorHAnsi"/>
        </w:rPr>
        <w:t xml:space="preserve">03 October 2022 </w:t>
      </w:r>
      <w:r w:rsidRPr="00E343A8">
        <w:rPr>
          <w:rFonts w:asciiTheme="minorHAnsi" w:hAnsiTheme="minorHAnsi" w:cstheme="minorHAnsi"/>
        </w:rPr>
        <w:t>and 3</w:t>
      </w:r>
      <w:r w:rsidR="002826E2">
        <w:rPr>
          <w:rFonts w:asciiTheme="minorHAnsi" w:hAnsiTheme="minorHAnsi" w:cstheme="minorHAnsi"/>
        </w:rPr>
        <w:t xml:space="preserve"> December </w:t>
      </w:r>
      <w:r w:rsidRPr="00E343A8">
        <w:rPr>
          <w:rFonts w:asciiTheme="minorHAnsi" w:hAnsiTheme="minorHAnsi" w:cstheme="minorHAnsi"/>
        </w:rPr>
        <w:t>2023</w:t>
      </w:r>
      <w:r w:rsidR="002826E2">
        <w:rPr>
          <w:rFonts w:asciiTheme="minorHAnsi" w:hAnsiTheme="minorHAnsi" w:cstheme="minorHAnsi"/>
        </w:rPr>
        <w:t>.</w:t>
      </w:r>
      <w:r w:rsidRPr="00E343A8">
        <w:rPr>
          <w:rFonts w:asciiTheme="minorHAnsi" w:hAnsiTheme="minorHAnsi" w:cstheme="minorHAnsi"/>
        </w:rPr>
        <w:t xml:space="preserve"> </w:t>
      </w:r>
    </w:p>
    <w:p w14:paraId="24E4E262" w14:textId="77777777" w:rsidR="00486AC0" w:rsidRPr="00E343A8" w:rsidRDefault="00486AC0" w:rsidP="00486AC0">
      <w:pPr>
        <w:pStyle w:val="Normal0"/>
        <w:rPr>
          <w:rFonts w:asciiTheme="minorHAnsi" w:hAnsiTheme="minorHAnsi" w:cstheme="minorHAnsi"/>
        </w:rPr>
      </w:pPr>
      <w:r w:rsidRPr="00E343A8">
        <w:rPr>
          <w:rFonts w:asciiTheme="minorHAnsi" w:hAnsiTheme="minorHAnsi" w:cstheme="minorHAnsi"/>
          <w:b/>
          <w:bCs/>
        </w:rPr>
        <w:t>Maximum Number of grants:</w:t>
      </w:r>
      <w:r w:rsidRPr="00E343A8">
        <w:rPr>
          <w:rFonts w:asciiTheme="minorHAnsi" w:hAnsiTheme="minorHAnsi" w:cstheme="minorHAnsi"/>
        </w:rPr>
        <w:t xml:space="preserve"> 15</w:t>
      </w:r>
    </w:p>
    <w:p w14:paraId="7BCD7F66" w14:textId="7169A2D5" w:rsidR="00486AC0" w:rsidRPr="00E343A8" w:rsidRDefault="00486AC0" w:rsidP="00486AC0">
      <w:pPr>
        <w:pStyle w:val="Normal0"/>
        <w:rPr>
          <w:rFonts w:asciiTheme="minorHAnsi" w:hAnsiTheme="minorHAnsi" w:cstheme="minorHAnsi"/>
        </w:rPr>
      </w:pPr>
      <w:r w:rsidRPr="00E343A8">
        <w:rPr>
          <w:rFonts w:asciiTheme="minorHAnsi" w:hAnsiTheme="minorHAnsi" w:cstheme="minorHAnsi"/>
          <w:b/>
          <w:bCs/>
        </w:rPr>
        <w:t>Grants budget and Duration:</w:t>
      </w:r>
      <w:r w:rsidRPr="00E343A8">
        <w:rPr>
          <w:rFonts w:asciiTheme="minorHAnsi" w:hAnsiTheme="minorHAnsi" w:cstheme="minorHAnsi"/>
        </w:rPr>
        <w:t xml:space="preserve"> Up to 10,000 EUR for a period of 12 months</w:t>
      </w:r>
      <w:r w:rsidR="005C31C0" w:rsidRPr="00E343A8">
        <w:rPr>
          <w:rFonts w:asciiTheme="minorHAnsi" w:hAnsiTheme="minorHAnsi" w:cstheme="minorHAnsi"/>
        </w:rPr>
        <w:t>.</w:t>
      </w:r>
    </w:p>
    <w:p w14:paraId="0FBD6F75" w14:textId="77777777" w:rsidR="005C31C0" w:rsidRPr="007A3BBA" w:rsidRDefault="005C31C0" w:rsidP="00486AC0">
      <w:pPr>
        <w:pStyle w:val="Normal0"/>
        <w:rPr>
          <w:rFonts w:asciiTheme="majorHAnsi" w:hAnsiTheme="majorHAnsi" w:cstheme="majorHAnsi"/>
        </w:rPr>
      </w:pPr>
    </w:p>
    <w:p w14:paraId="7D7FCE37" w14:textId="77777777" w:rsidR="00486AC0" w:rsidRPr="007A3BBA" w:rsidRDefault="00486AC0" w:rsidP="00486AC0">
      <w:pPr>
        <w:pStyle w:val="Titre2"/>
        <w:rPr>
          <w:rFonts w:cstheme="majorHAnsi"/>
          <w:sz w:val="28"/>
          <w:szCs w:val="28"/>
        </w:rPr>
      </w:pPr>
      <w:r w:rsidRPr="007A3BBA">
        <w:rPr>
          <w:rFonts w:cstheme="majorHAnsi"/>
          <w:sz w:val="28"/>
          <w:szCs w:val="28"/>
        </w:rPr>
        <w:lastRenderedPageBreak/>
        <w:t>Mandatory Organizational Requirements</w:t>
      </w:r>
    </w:p>
    <w:p w14:paraId="3BFE0B09" w14:textId="4BFF7C43" w:rsidR="00486AC0" w:rsidRPr="00D71900" w:rsidRDefault="00486AC0" w:rsidP="00486AC0">
      <w:pPr>
        <w:pStyle w:val="Titre2"/>
        <w:numPr>
          <w:ilvl w:val="0"/>
          <w:numId w:val="0"/>
        </w:numPr>
        <w:ind w:left="576"/>
        <w:rPr>
          <w:rFonts w:cstheme="majorHAnsi"/>
          <w:sz w:val="10"/>
          <w:szCs w:val="10"/>
        </w:rPr>
      </w:pPr>
    </w:p>
    <w:p w14:paraId="273E3C6D" w14:textId="77777777" w:rsidR="00486AC0" w:rsidRPr="00D71900" w:rsidRDefault="00486AC0" w:rsidP="00486AC0">
      <w:pPr>
        <w:pStyle w:val="Normal0"/>
        <w:jc w:val="both"/>
        <w:rPr>
          <w:rFonts w:eastAsiaTheme="minorEastAsia" w:cs="Calibri"/>
        </w:rPr>
      </w:pPr>
      <w:r w:rsidRPr="00D71900">
        <w:rPr>
          <w:rFonts w:eastAsiaTheme="minorEastAsia" w:cs="Calibri"/>
        </w:rPr>
        <w:t>Application organizations must meet the following requirements and qualifications:</w:t>
      </w:r>
    </w:p>
    <w:p w14:paraId="19A0F093" w14:textId="77777777" w:rsidR="00486AC0" w:rsidRPr="00D71900" w:rsidRDefault="00486AC0" w:rsidP="007D2196">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Being a legal entity or organization of persons with disabilities.</w:t>
      </w:r>
    </w:p>
    <w:p w14:paraId="4E39FC1C" w14:textId="3D049BFF" w:rsidR="00486AC0" w:rsidRPr="00D71900" w:rsidRDefault="00486AC0" w:rsidP="007D2196">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 xml:space="preserve">Being registered in </w:t>
      </w:r>
      <w:r w:rsidR="00D71900" w:rsidRPr="00D71900">
        <w:rPr>
          <w:rFonts w:eastAsiaTheme="minorEastAsia" w:cs="Calibri"/>
        </w:rPr>
        <w:t xml:space="preserve">in Southern Africa, particularly </w:t>
      </w:r>
      <w:r w:rsidR="00D71900">
        <w:rPr>
          <w:rFonts w:eastAsiaTheme="minorEastAsia" w:cs="Calibri"/>
        </w:rPr>
        <w:t xml:space="preserve">in </w:t>
      </w:r>
      <w:r w:rsidR="00D71900" w:rsidRPr="00D71900">
        <w:rPr>
          <w:rFonts w:eastAsiaTheme="minorEastAsia" w:cs="Calibri"/>
        </w:rPr>
        <w:t>Mozambique, Angola, and Zambia</w:t>
      </w:r>
      <w:r w:rsidR="00D71900" w:rsidRPr="00D71900">
        <w:rPr>
          <w:rFonts w:eastAsiaTheme="minorEastAsia" w:cs="Calibri"/>
        </w:rPr>
        <w:t xml:space="preserve"> </w:t>
      </w:r>
      <w:r w:rsidRPr="00D71900">
        <w:rPr>
          <w:rFonts w:eastAsiaTheme="minorEastAsia" w:cs="Calibri"/>
        </w:rPr>
        <w:t>(registration documents will be required).</w:t>
      </w:r>
    </w:p>
    <w:p w14:paraId="2189ADAB" w14:textId="77777777" w:rsidR="00486AC0" w:rsidRPr="00D71900" w:rsidRDefault="00486AC0" w:rsidP="007D2196">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Currently operating in the country which they are applying.</w:t>
      </w:r>
    </w:p>
    <w:p w14:paraId="36D1A8A2" w14:textId="77777777"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 xml:space="preserve">Having a bank account in the name of the organization and the financial capacity to pre-finance 20% of the activities. </w:t>
      </w:r>
    </w:p>
    <w:p w14:paraId="243F1643" w14:textId="77777777"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Showing project management skills, as evidenced by the successful delivery of projects and grants of similar size.</w:t>
      </w:r>
    </w:p>
    <w:p w14:paraId="2345BFCA" w14:textId="77777777"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 xml:space="preserve">Being able to provide evidence of experience in the field of the call for proposals and a vision that corresponds to the objectives of the call. </w:t>
      </w:r>
      <w:r w:rsidRPr="00D71900">
        <w:rPr>
          <w:rFonts w:eastAsiaTheme="minorEastAsia" w:cs="Calibri"/>
          <w:color w:val="515151"/>
        </w:rPr>
        <w:t xml:space="preserve"> </w:t>
      </w:r>
    </w:p>
    <w:p w14:paraId="45DB6BBE" w14:textId="7CEE4E52"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Ability to work proficiently in English for project management and reporting purposes (with delivery to be conducted in local languages).</w:t>
      </w:r>
    </w:p>
    <w:p w14:paraId="53217360" w14:textId="1E9D5B5A" w:rsidR="00486AC0" w:rsidRPr="007A3BBA" w:rsidRDefault="00486AC0" w:rsidP="00486AC0">
      <w:pPr>
        <w:pStyle w:val="Titre2"/>
        <w:rPr>
          <w:rFonts w:eastAsiaTheme="minorEastAsia" w:cstheme="majorHAnsi"/>
          <w:sz w:val="28"/>
          <w:szCs w:val="28"/>
        </w:rPr>
      </w:pPr>
      <w:r w:rsidRPr="007A3BBA">
        <w:rPr>
          <w:rFonts w:eastAsiaTheme="minorEastAsia" w:cstheme="majorHAnsi"/>
          <w:sz w:val="28"/>
          <w:szCs w:val="28"/>
        </w:rPr>
        <w:t>Evaluation Criteria</w:t>
      </w:r>
    </w:p>
    <w:p w14:paraId="15C64385" w14:textId="72190527" w:rsidR="00486AC0" w:rsidRPr="00D71900" w:rsidRDefault="00486AC0" w:rsidP="00486AC0">
      <w:pPr>
        <w:rPr>
          <w:rFonts w:asciiTheme="majorHAnsi" w:hAnsiTheme="majorHAnsi" w:cstheme="majorHAnsi"/>
          <w:sz w:val="4"/>
          <w:szCs w:val="4"/>
        </w:rPr>
      </w:pPr>
    </w:p>
    <w:p w14:paraId="7CC3F246" w14:textId="77777777" w:rsidR="00486AC0" w:rsidRPr="00D71900" w:rsidRDefault="00486AC0" w:rsidP="00D71900">
      <w:pPr>
        <w:pStyle w:val="Normal0"/>
        <w:spacing w:after="120"/>
        <w:jc w:val="both"/>
        <w:rPr>
          <w:rFonts w:eastAsiaTheme="minorEastAsia" w:cs="Calibri"/>
        </w:rPr>
      </w:pPr>
      <w:r w:rsidRPr="00D71900">
        <w:rPr>
          <w:rFonts w:eastAsiaTheme="minorEastAsia" w:cs="Calibri"/>
        </w:rPr>
        <w:t>All completed applications will be evaluated against the evaluation criteria. Proposals must:</w:t>
      </w:r>
    </w:p>
    <w:p w14:paraId="0432610B" w14:textId="4A30B089"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Have clear and concrete objectives, communicated simply</w:t>
      </w:r>
    </w:p>
    <w:p w14:paraId="1BC18EFB" w14:textId="48F151FC"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Contribute to the objectives of the IDA Project</w:t>
      </w:r>
    </w:p>
    <w:p w14:paraId="6B96FE8F" w14:textId="6CE2FEB2"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 xml:space="preserve">Be </w:t>
      </w:r>
      <w:r w:rsidR="00D71900">
        <w:rPr>
          <w:rFonts w:asciiTheme="majorHAnsi" w:eastAsiaTheme="minorEastAsia" w:hAnsiTheme="majorHAnsi" w:cstheme="majorHAnsi"/>
        </w:rPr>
        <w:t>feasible</w:t>
      </w:r>
      <w:r w:rsidR="00D71900" w:rsidRPr="007A3BBA">
        <w:rPr>
          <w:rFonts w:asciiTheme="majorHAnsi" w:eastAsiaTheme="minorEastAsia" w:hAnsiTheme="majorHAnsi" w:cstheme="majorHAnsi"/>
        </w:rPr>
        <w:t xml:space="preserve"> </w:t>
      </w:r>
      <w:r w:rsidRPr="00D71900">
        <w:rPr>
          <w:rFonts w:eastAsiaTheme="minorEastAsia" w:cs="Calibri"/>
        </w:rPr>
        <w:t>and achievable, considering the budget and timeframe</w:t>
      </w:r>
    </w:p>
    <w:p w14:paraId="1AB0A9D0" w14:textId="5A784AC0" w:rsidR="00486AC0" w:rsidRPr="00D71900" w:rsidRDefault="00486AC0" w:rsidP="00486AC0">
      <w:pPr>
        <w:pStyle w:val="Paragraphedeliste"/>
        <w:numPr>
          <w:ilvl w:val="0"/>
          <w:numId w:val="3"/>
        </w:numPr>
        <w:shd w:val="clear" w:color="auto" w:fill="FFFFFF" w:themeFill="background1"/>
        <w:spacing w:after="240" w:line="384" w:lineRule="auto"/>
        <w:jc w:val="both"/>
        <w:rPr>
          <w:rFonts w:eastAsiaTheme="minorEastAsia" w:cs="Calibri"/>
        </w:rPr>
      </w:pPr>
      <w:r w:rsidRPr="00D71900">
        <w:rPr>
          <w:rFonts w:eastAsiaTheme="minorEastAsia" w:cs="Calibri"/>
        </w:rPr>
        <w:t>Applications will be evaluated and scored by a granting committee and operational staff in line with the below selection criteria and weighting.</w:t>
      </w:r>
    </w:p>
    <w:p w14:paraId="1FFBFB0B" w14:textId="1AE92DDD" w:rsidR="00486AC0" w:rsidRPr="007A3BBA" w:rsidRDefault="00486AC0" w:rsidP="00D71900">
      <w:pPr>
        <w:pStyle w:val="Titre3"/>
        <w:spacing w:after="120"/>
        <w:rPr>
          <w:rFonts w:cstheme="majorHAnsi"/>
        </w:rPr>
      </w:pPr>
      <w:r w:rsidRPr="007A3BBA">
        <w:rPr>
          <w:rFonts w:eastAsiaTheme="minorEastAsia" w:cstheme="majorHAnsi"/>
        </w:rPr>
        <w:t xml:space="preserve">Organizational </w:t>
      </w:r>
      <w:r w:rsidR="006E1098">
        <w:rPr>
          <w:rFonts w:eastAsiaTheme="minorEastAsia" w:cstheme="majorHAnsi"/>
        </w:rPr>
        <w:t xml:space="preserve">and operational </w:t>
      </w:r>
      <w:r w:rsidRPr="007A3BBA">
        <w:rPr>
          <w:rFonts w:eastAsiaTheme="minorEastAsia" w:cstheme="majorHAnsi"/>
        </w:rPr>
        <w:t>capacity (25%), a</w:t>
      </w:r>
      <w:r w:rsidRPr="007A3BBA">
        <w:rPr>
          <w:rFonts w:cstheme="majorHAnsi"/>
        </w:rPr>
        <w:t>pplicants should:</w:t>
      </w:r>
    </w:p>
    <w:p w14:paraId="7DBD5894" w14:textId="77777777" w:rsidR="00486AC0" w:rsidRPr="00D71900" w:rsidRDefault="00486AC0" w:rsidP="00486AC0">
      <w:pPr>
        <w:pStyle w:val="Paragraphedeliste"/>
        <w:numPr>
          <w:ilvl w:val="0"/>
          <w:numId w:val="3"/>
        </w:numPr>
        <w:shd w:val="clear" w:color="auto" w:fill="FFFFFF" w:themeFill="background1"/>
        <w:spacing w:after="240" w:line="384" w:lineRule="auto"/>
        <w:jc w:val="both"/>
        <w:rPr>
          <w:rFonts w:asciiTheme="minorHAnsi" w:eastAsiaTheme="minorEastAsia" w:hAnsiTheme="minorHAnsi" w:cstheme="minorHAnsi"/>
        </w:rPr>
      </w:pPr>
      <w:r w:rsidRPr="00D71900">
        <w:rPr>
          <w:rFonts w:asciiTheme="minorHAnsi" w:eastAsiaTheme="minorEastAsia" w:hAnsiTheme="minorHAnsi" w:cstheme="minorHAnsi"/>
        </w:rPr>
        <w:t>Have a strong mission statement</w:t>
      </w:r>
    </w:p>
    <w:p w14:paraId="63FC213F" w14:textId="5C05049B" w:rsidR="00486AC0" w:rsidRPr="00D71900" w:rsidRDefault="00486AC0" w:rsidP="00486AC0">
      <w:pPr>
        <w:pStyle w:val="Paragraphedeliste"/>
        <w:numPr>
          <w:ilvl w:val="0"/>
          <w:numId w:val="3"/>
        </w:numPr>
        <w:shd w:val="clear" w:color="auto" w:fill="FFFFFF" w:themeFill="background1"/>
        <w:spacing w:after="240" w:line="384" w:lineRule="auto"/>
        <w:jc w:val="both"/>
        <w:rPr>
          <w:rFonts w:asciiTheme="minorHAnsi" w:eastAsiaTheme="minorEastAsia" w:hAnsiTheme="minorHAnsi" w:cstheme="minorHAnsi"/>
        </w:rPr>
      </w:pPr>
      <w:r w:rsidRPr="00D71900">
        <w:rPr>
          <w:rFonts w:asciiTheme="minorHAnsi" w:eastAsiaTheme="minorEastAsia" w:hAnsiTheme="minorHAnsi" w:cstheme="minorHAnsi"/>
        </w:rPr>
        <w:t xml:space="preserve">Demonstrate </w:t>
      </w:r>
      <w:r w:rsidR="003F2FA3" w:rsidRPr="00D71900">
        <w:rPr>
          <w:rFonts w:asciiTheme="minorHAnsi" w:eastAsiaTheme="minorEastAsia" w:hAnsiTheme="minorHAnsi" w:cstheme="minorHAnsi"/>
        </w:rPr>
        <w:t>adequate staff and presence in the target areas to deliver the interventions</w:t>
      </w:r>
      <w:r w:rsidRPr="00D71900">
        <w:rPr>
          <w:rFonts w:asciiTheme="minorHAnsi" w:eastAsiaTheme="minorEastAsia" w:hAnsiTheme="minorHAnsi" w:cstheme="minorHAnsi"/>
        </w:rPr>
        <w:t xml:space="preserve"> </w:t>
      </w:r>
    </w:p>
    <w:p w14:paraId="5A9454E9" w14:textId="77777777" w:rsidR="00486AC0" w:rsidRPr="00D71900" w:rsidRDefault="00486AC0" w:rsidP="00486AC0">
      <w:pPr>
        <w:pStyle w:val="Paragraphedeliste"/>
        <w:numPr>
          <w:ilvl w:val="0"/>
          <w:numId w:val="3"/>
        </w:numPr>
        <w:shd w:val="clear" w:color="auto" w:fill="FFFFFF" w:themeFill="background1"/>
        <w:spacing w:after="240" w:line="384" w:lineRule="auto"/>
        <w:jc w:val="both"/>
        <w:rPr>
          <w:rFonts w:asciiTheme="minorHAnsi" w:eastAsiaTheme="minorEastAsia" w:hAnsiTheme="minorHAnsi" w:cstheme="minorHAnsi"/>
        </w:rPr>
      </w:pPr>
      <w:r w:rsidRPr="00D71900">
        <w:rPr>
          <w:rFonts w:asciiTheme="minorHAnsi" w:eastAsiaTheme="minorEastAsia" w:hAnsiTheme="minorHAnsi" w:cstheme="minorHAnsi"/>
        </w:rPr>
        <w:t>Hold relevant technical knowledge and expertise</w:t>
      </w:r>
    </w:p>
    <w:p w14:paraId="078A657C" w14:textId="60060C83" w:rsidR="00486AC0" w:rsidRPr="00D71900" w:rsidRDefault="00486AC0" w:rsidP="00486AC0">
      <w:pPr>
        <w:pStyle w:val="Paragraphedeliste"/>
        <w:numPr>
          <w:ilvl w:val="0"/>
          <w:numId w:val="3"/>
        </w:numPr>
        <w:shd w:val="clear" w:color="auto" w:fill="FFFFFF" w:themeFill="background1"/>
        <w:spacing w:after="240" w:line="384" w:lineRule="auto"/>
        <w:jc w:val="both"/>
        <w:rPr>
          <w:rFonts w:asciiTheme="minorHAnsi" w:eastAsiaTheme="minorEastAsia" w:hAnsiTheme="minorHAnsi" w:cstheme="minorHAnsi"/>
        </w:rPr>
      </w:pPr>
      <w:r w:rsidRPr="00D71900">
        <w:rPr>
          <w:rFonts w:asciiTheme="minorHAnsi" w:eastAsiaTheme="minorEastAsia" w:hAnsiTheme="minorHAnsi" w:cstheme="minorHAnsi"/>
        </w:rPr>
        <w:t xml:space="preserve">Demonstrate how they include </w:t>
      </w:r>
      <w:r w:rsidR="003F2FA3" w:rsidRPr="00D71900">
        <w:rPr>
          <w:rFonts w:asciiTheme="minorHAnsi" w:eastAsiaTheme="minorEastAsia" w:hAnsiTheme="minorHAnsi" w:cstheme="minorHAnsi"/>
        </w:rPr>
        <w:t>women</w:t>
      </w:r>
      <w:r w:rsidR="00D13321" w:rsidRPr="00D71900">
        <w:rPr>
          <w:rFonts w:asciiTheme="minorHAnsi" w:eastAsiaTheme="minorEastAsia" w:hAnsiTheme="minorHAnsi" w:cstheme="minorHAnsi"/>
        </w:rPr>
        <w:t>, underrepresented</w:t>
      </w:r>
      <w:r w:rsidR="00952878">
        <w:rPr>
          <w:rFonts w:asciiTheme="minorHAnsi" w:eastAsiaTheme="minorEastAsia" w:hAnsiTheme="minorHAnsi" w:cstheme="minorHAnsi"/>
        </w:rPr>
        <w:t>/marginalized</w:t>
      </w:r>
      <w:r w:rsidR="00D13321" w:rsidRPr="00D71900">
        <w:rPr>
          <w:rFonts w:asciiTheme="minorHAnsi" w:eastAsiaTheme="minorEastAsia" w:hAnsiTheme="minorHAnsi" w:cstheme="minorHAnsi"/>
        </w:rPr>
        <w:t xml:space="preserve"> groups</w:t>
      </w:r>
      <w:r w:rsidRPr="00D71900">
        <w:rPr>
          <w:rFonts w:asciiTheme="minorHAnsi" w:eastAsiaTheme="minorEastAsia" w:hAnsiTheme="minorHAnsi" w:cstheme="minorHAnsi"/>
        </w:rPr>
        <w:t xml:space="preserve"> and youth members in decision making</w:t>
      </w:r>
    </w:p>
    <w:p w14:paraId="6363FCAB" w14:textId="77777777"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lastRenderedPageBreak/>
        <w:t>Have established connections with the target beneficiaries</w:t>
      </w:r>
    </w:p>
    <w:p w14:paraId="31B4CB32" w14:textId="07D9CCD1" w:rsidR="00486AC0" w:rsidRPr="007A3BBA" w:rsidRDefault="00486AC0" w:rsidP="00486AC0">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In assessing applications, we will consider the ‘added value’ offer of the applicant, especially where it develops networks and capacities or valuable collaborations</w:t>
      </w:r>
      <w:r w:rsidR="007A3BBA" w:rsidRPr="007A3BBA">
        <w:rPr>
          <w:rFonts w:asciiTheme="majorHAnsi" w:eastAsiaTheme="minorEastAsia" w:hAnsiTheme="majorHAnsi" w:cstheme="majorHAnsi"/>
        </w:rPr>
        <w:t>, in particular with other OPDs.</w:t>
      </w:r>
    </w:p>
    <w:p w14:paraId="44E7A014" w14:textId="4311567F" w:rsidR="00486AC0" w:rsidRDefault="007A3BBA" w:rsidP="003B5AD6">
      <w:pPr>
        <w:pStyle w:val="Titre3"/>
        <w:spacing w:after="120"/>
      </w:pPr>
      <w:r>
        <w:t>Relevant experience (25%)</w:t>
      </w:r>
    </w:p>
    <w:p w14:paraId="55F2894A" w14:textId="50A26BFD" w:rsidR="007A3BBA" w:rsidRDefault="007A3BBA" w:rsidP="007D2196">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7A3BBA">
        <w:rPr>
          <w:rFonts w:asciiTheme="majorHAnsi" w:eastAsiaTheme="minorEastAsia" w:hAnsiTheme="majorHAnsi" w:cstheme="majorHAnsi"/>
        </w:rPr>
        <w:t>Applicants should</w:t>
      </w:r>
      <w:r>
        <w:rPr>
          <w:rFonts w:asciiTheme="majorHAnsi" w:eastAsiaTheme="minorEastAsia" w:hAnsiTheme="majorHAnsi" w:cstheme="majorHAnsi"/>
        </w:rPr>
        <w:t xml:space="preserve"> have managed initiatives of similar size in the field of advocacy, awareness campaigns, production of reports</w:t>
      </w:r>
      <w:r w:rsidR="00D13321">
        <w:rPr>
          <w:rFonts w:asciiTheme="majorHAnsi" w:eastAsiaTheme="minorEastAsia" w:hAnsiTheme="majorHAnsi" w:cstheme="majorHAnsi"/>
        </w:rPr>
        <w:t>, data collections</w:t>
      </w:r>
      <w:r>
        <w:rPr>
          <w:rFonts w:asciiTheme="majorHAnsi" w:eastAsiaTheme="minorEastAsia" w:hAnsiTheme="majorHAnsi" w:cstheme="majorHAnsi"/>
        </w:rPr>
        <w:t xml:space="preserve"> or training delivery</w:t>
      </w:r>
      <w:r w:rsidRPr="007A3BBA">
        <w:rPr>
          <w:rFonts w:asciiTheme="majorHAnsi" w:eastAsiaTheme="minorEastAsia" w:hAnsiTheme="majorHAnsi" w:cstheme="majorHAnsi"/>
        </w:rPr>
        <w:t>.</w:t>
      </w:r>
    </w:p>
    <w:p w14:paraId="234EF5F3" w14:textId="63459451" w:rsidR="00486AC0" w:rsidRDefault="00D13321" w:rsidP="00D13321">
      <w:pPr>
        <w:pStyle w:val="Titre3"/>
      </w:pPr>
      <w:r>
        <w:t xml:space="preserve">Quality of intervention, </w:t>
      </w:r>
      <w:r w:rsidR="007A3FDF">
        <w:t xml:space="preserve">partnerships, </w:t>
      </w:r>
      <w:r>
        <w:t>innovation</w:t>
      </w:r>
      <w:r w:rsidR="006E1098">
        <w:t>, inclusion of underrepresented groups</w:t>
      </w:r>
      <w:r>
        <w:t xml:space="preserve"> and feasibility (</w:t>
      </w:r>
      <w:r w:rsidR="006E1098">
        <w:t>4</w:t>
      </w:r>
      <w:r>
        <w:t>0%)</w:t>
      </w:r>
    </w:p>
    <w:p w14:paraId="7C1DB463" w14:textId="77777777" w:rsidR="00D13321" w:rsidRPr="00901F9B" w:rsidRDefault="00D13321" w:rsidP="00D13321">
      <w:pPr>
        <w:pStyle w:val="Normal0"/>
        <w:jc w:val="both"/>
        <w:rPr>
          <w:rFonts w:asciiTheme="majorHAnsi" w:eastAsiaTheme="minorEastAsia" w:hAnsiTheme="majorHAnsi" w:cstheme="majorHAnsi"/>
          <w:sz w:val="4"/>
          <w:szCs w:val="4"/>
        </w:rPr>
      </w:pPr>
    </w:p>
    <w:p w14:paraId="47ECF9B2" w14:textId="77777777" w:rsidR="007A3FDF" w:rsidRDefault="00D13321" w:rsidP="00D13321">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D13321">
        <w:rPr>
          <w:rFonts w:asciiTheme="majorHAnsi" w:eastAsiaTheme="minorEastAsia" w:hAnsiTheme="majorHAnsi" w:cstheme="majorHAnsi"/>
        </w:rPr>
        <w:t xml:space="preserve">The proposal should be clear and in line with one of the </w:t>
      </w:r>
      <w:r>
        <w:rPr>
          <w:rFonts w:asciiTheme="majorHAnsi" w:eastAsiaTheme="minorEastAsia" w:hAnsiTheme="majorHAnsi" w:cstheme="majorHAnsi"/>
        </w:rPr>
        <w:t xml:space="preserve">IDA Project </w:t>
      </w:r>
      <w:r w:rsidRPr="00D13321">
        <w:rPr>
          <w:rFonts w:asciiTheme="majorHAnsi" w:eastAsiaTheme="minorEastAsia" w:hAnsiTheme="majorHAnsi" w:cstheme="majorHAnsi"/>
        </w:rPr>
        <w:t xml:space="preserve">objectives. Applicants must demonstrate understanding of the context and problem to be addressed. </w:t>
      </w:r>
    </w:p>
    <w:p w14:paraId="58A0ED91" w14:textId="2918F9AE" w:rsidR="00D13321" w:rsidRPr="00D13321" w:rsidRDefault="00D13321" w:rsidP="00D13321">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D13321">
        <w:rPr>
          <w:rFonts w:asciiTheme="majorHAnsi" w:eastAsiaTheme="minorEastAsia" w:hAnsiTheme="majorHAnsi" w:cstheme="majorHAnsi"/>
        </w:rPr>
        <w:t>Proposals which contravene fundamental ethical principle</w:t>
      </w:r>
      <w:r>
        <w:rPr>
          <w:rFonts w:asciiTheme="majorHAnsi" w:eastAsiaTheme="minorEastAsia" w:hAnsiTheme="majorHAnsi" w:cstheme="majorHAnsi"/>
        </w:rPr>
        <w:t>s</w:t>
      </w:r>
      <w:r w:rsidRPr="00D13321">
        <w:rPr>
          <w:rFonts w:asciiTheme="majorHAnsi" w:eastAsiaTheme="minorEastAsia" w:hAnsiTheme="majorHAnsi" w:cstheme="majorHAnsi"/>
        </w:rPr>
        <w:t xml:space="preserve">, </w:t>
      </w:r>
      <w:r w:rsidR="00777B78">
        <w:rPr>
          <w:rFonts w:asciiTheme="majorHAnsi" w:eastAsiaTheme="minorEastAsia" w:hAnsiTheme="majorHAnsi" w:cstheme="majorHAnsi"/>
        </w:rPr>
        <w:t>rights-based</w:t>
      </w:r>
      <w:r w:rsidR="00857234">
        <w:rPr>
          <w:rFonts w:asciiTheme="majorHAnsi" w:eastAsiaTheme="minorEastAsia" w:hAnsiTheme="majorHAnsi" w:cstheme="majorHAnsi"/>
        </w:rPr>
        <w:t xml:space="preserve"> approaches, </w:t>
      </w:r>
      <w:r w:rsidRPr="00D13321">
        <w:rPr>
          <w:rFonts w:asciiTheme="majorHAnsi" w:eastAsiaTheme="minorEastAsia" w:hAnsiTheme="majorHAnsi" w:cstheme="majorHAnsi"/>
        </w:rPr>
        <w:t>gender inclusion and respect for diversity shall not be selected.</w:t>
      </w:r>
    </w:p>
    <w:p w14:paraId="2B24A1EA" w14:textId="77777777" w:rsidR="00D13321" w:rsidRDefault="00D13321" w:rsidP="009370C4">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D13321">
        <w:rPr>
          <w:rFonts w:asciiTheme="majorHAnsi" w:eastAsiaTheme="minorEastAsia" w:hAnsiTheme="majorHAnsi" w:cstheme="majorHAnsi"/>
        </w:rPr>
        <w:t xml:space="preserve">To receive grant funding, proposals do not necessarily need to achieve massive scale. In fact, over-promising could hurt your application. Some projects might seek to reach a wide audience. Others might seek to achieve a greater depth of impact with a smaller number of people. The scale and quality of impacts will influence project marking. Projects should seek to achieve the widest and/or most meaningful impact possible within the realistic boundaries of the project. They should also seek to measure that impact in a relevant and credible manner. </w:t>
      </w:r>
    </w:p>
    <w:p w14:paraId="522B3EFD" w14:textId="223A673D" w:rsidR="00D13321" w:rsidRDefault="00D13321" w:rsidP="009370C4">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sidRPr="00D13321">
        <w:rPr>
          <w:rFonts w:asciiTheme="majorHAnsi" w:eastAsiaTheme="minorEastAsia" w:hAnsiTheme="majorHAnsi" w:cstheme="majorHAnsi"/>
        </w:rPr>
        <w:t xml:space="preserve">The </w:t>
      </w:r>
      <w:r w:rsidR="00777B78">
        <w:rPr>
          <w:rFonts w:asciiTheme="majorHAnsi" w:eastAsiaTheme="minorEastAsia" w:hAnsiTheme="majorHAnsi" w:cstheme="majorHAnsi"/>
        </w:rPr>
        <w:t>applicant</w:t>
      </w:r>
      <w:r w:rsidR="00777B78" w:rsidRPr="00D13321">
        <w:rPr>
          <w:rFonts w:asciiTheme="majorHAnsi" w:eastAsiaTheme="minorEastAsia" w:hAnsiTheme="majorHAnsi" w:cstheme="majorHAnsi"/>
        </w:rPr>
        <w:t xml:space="preserve"> </w:t>
      </w:r>
      <w:r w:rsidRPr="00D13321">
        <w:rPr>
          <w:rFonts w:asciiTheme="majorHAnsi" w:eastAsiaTheme="minorEastAsia" w:hAnsiTheme="majorHAnsi" w:cstheme="majorHAnsi"/>
        </w:rPr>
        <w:t xml:space="preserve">should have a well-developed, realistic plan to execute on the proposal, including a simple but comprehensive </w:t>
      </w:r>
      <w:r>
        <w:rPr>
          <w:rFonts w:asciiTheme="majorHAnsi" w:eastAsiaTheme="minorEastAsia" w:hAnsiTheme="majorHAnsi" w:cstheme="majorHAnsi"/>
        </w:rPr>
        <w:t xml:space="preserve">action plan </w:t>
      </w:r>
      <w:r w:rsidRPr="00D13321">
        <w:rPr>
          <w:rFonts w:asciiTheme="majorHAnsi" w:eastAsiaTheme="minorEastAsia" w:hAnsiTheme="majorHAnsi" w:cstheme="majorHAnsi"/>
        </w:rPr>
        <w:t xml:space="preserve">that includes </w:t>
      </w:r>
      <w:r>
        <w:rPr>
          <w:rFonts w:asciiTheme="majorHAnsi" w:eastAsiaTheme="minorEastAsia" w:hAnsiTheme="majorHAnsi" w:cstheme="majorHAnsi"/>
        </w:rPr>
        <w:t xml:space="preserve">activities, deliverables, </w:t>
      </w:r>
      <w:r w:rsidRPr="00D13321">
        <w:rPr>
          <w:rFonts w:asciiTheme="majorHAnsi" w:eastAsiaTheme="minorEastAsia" w:hAnsiTheme="majorHAnsi" w:cstheme="majorHAnsi"/>
        </w:rPr>
        <w:t>and measurement indicators. Target groups and indicators should be realistic and measurable</w:t>
      </w:r>
      <w:r w:rsidR="002C0101">
        <w:rPr>
          <w:rFonts w:asciiTheme="majorHAnsi" w:eastAsiaTheme="minorEastAsia" w:hAnsiTheme="majorHAnsi" w:cstheme="majorHAnsi"/>
        </w:rPr>
        <w:t>.</w:t>
      </w:r>
      <w:r w:rsidRPr="00D13321">
        <w:rPr>
          <w:rFonts w:asciiTheme="majorHAnsi" w:eastAsiaTheme="minorEastAsia" w:hAnsiTheme="majorHAnsi" w:cstheme="majorHAnsi"/>
        </w:rPr>
        <w:t xml:space="preserve"> Moreover, the team should have the right expertise and skills to execute on the proposal or have identified the right partners and domain experts needed for implementation.</w:t>
      </w:r>
    </w:p>
    <w:p w14:paraId="67C23C38" w14:textId="77777777" w:rsidR="002C0101" w:rsidRPr="00291174" w:rsidRDefault="002C0101" w:rsidP="002C0101">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bookmarkStart w:id="0" w:name="_Hlk109651118"/>
      <w:r w:rsidRPr="00291174">
        <w:rPr>
          <w:rFonts w:asciiTheme="majorHAnsi" w:eastAsiaTheme="minorEastAsia" w:hAnsiTheme="majorHAnsi" w:cstheme="majorHAnsi"/>
        </w:rPr>
        <w:t>Involvement of key stakeholders during the implementation of the project, resulting in expanding networks; sharing knowledge, experiences and learning, and leveraging up the activities thanks to partnerships will be considered as an asset.</w:t>
      </w:r>
    </w:p>
    <w:bookmarkEnd w:id="0"/>
    <w:p w14:paraId="478583CC" w14:textId="77777777" w:rsidR="0030631D" w:rsidRPr="008A28E7" w:rsidRDefault="0030631D" w:rsidP="0030631D">
      <w:pPr>
        <w:pStyle w:val="Paragraphedeliste"/>
        <w:numPr>
          <w:ilvl w:val="0"/>
          <w:numId w:val="3"/>
        </w:numPr>
        <w:shd w:val="clear" w:color="auto" w:fill="FFFFFF" w:themeFill="background1"/>
        <w:spacing w:after="240" w:line="384" w:lineRule="auto"/>
        <w:jc w:val="both"/>
        <w:rPr>
          <w:rFonts w:asciiTheme="majorHAnsi" w:eastAsiaTheme="minorEastAsia" w:hAnsiTheme="majorHAnsi" w:cstheme="majorHAnsi"/>
        </w:rPr>
      </w:pPr>
      <w:r>
        <w:rPr>
          <w:rFonts w:asciiTheme="majorHAnsi" w:eastAsiaTheme="minorEastAsia" w:hAnsiTheme="majorHAnsi" w:cstheme="majorHAnsi"/>
        </w:rPr>
        <w:t>I</w:t>
      </w:r>
      <w:r w:rsidRPr="006E1098">
        <w:rPr>
          <w:rFonts w:asciiTheme="majorHAnsi" w:eastAsiaTheme="minorEastAsia" w:hAnsiTheme="majorHAnsi" w:cstheme="majorHAnsi"/>
        </w:rPr>
        <w:t>nnovati</w:t>
      </w:r>
      <w:r>
        <w:rPr>
          <w:rFonts w:asciiTheme="majorHAnsi" w:eastAsiaTheme="minorEastAsia" w:hAnsiTheme="majorHAnsi" w:cstheme="majorHAnsi"/>
        </w:rPr>
        <w:t xml:space="preserve">on and </w:t>
      </w:r>
      <w:r w:rsidRPr="006E1098">
        <w:rPr>
          <w:rFonts w:asciiTheme="majorHAnsi" w:eastAsiaTheme="minorEastAsia" w:hAnsiTheme="majorHAnsi" w:cstheme="majorHAnsi"/>
        </w:rPr>
        <w:t>different approaches will</w:t>
      </w:r>
      <w:r w:rsidRPr="00646F88">
        <w:rPr>
          <w:rFonts w:asciiTheme="majorHAnsi" w:eastAsiaTheme="minorEastAsia" w:hAnsiTheme="majorHAnsi" w:cstheme="majorHAnsi"/>
        </w:rPr>
        <w:t xml:space="preserve"> </w:t>
      </w:r>
      <w:r w:rsidRPr="00291174">
        <w:rPr>
          <w:rFonts w:asciiTheme="majorHAnsi" w:eastAsiaTheme="minorEastAsia" w:hAnsiTheme="majorHAnsi" w:cstheme="majorHAnsi"/>
        </w:rPr>
        <w:t>be considered as an asset</w:t>
      </w:r>
      <w:r w:rsidRPr="006E1098">
        <w:rPr>
          <w:rFonts w:asciiTheme="majorHAnsi" w:eastAsiaTheme="minorEastAsia" w:hAnsiTheme="majorHAnsi" w:cstheme="majorHAnsi"/>
        </w:rPr>
        <w:t>.</w:t>
      </w:r>
    </w:p>
    <w:p w14:paraId="5B15207B" w14:textId="1DF0C3DB" w:rsidR="006E1098" w:rsidRPr="006E1098" w:rsidRDefault="006E1098" w:rsidP="00460246">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Pr>
          <w:rFonts w:ascii="Calibri Light" w:eastAsiaTheme="minorEastAsia" w:hAnsi="Calibri Light" w:cs="Calibri Light"/>
        </w:rPr>
        <w:t xml:space="preserve">Applicants must show how </w:t>
      </w:r>
      <w:r w:rsidRPr="006E1098">
        <w:rPr>
          <w:rFonts w:ascii="Calibri Light" w:eastAsiaTheme="minorEastAsia" w:hAnsi="Calibri Light" w:cs="Calibri Light"/>
        </w:rPr>
        <w:t>underrepresented groups</w:t>
      </w:r>
      <w:r>
        <w:rPr>
          <w:rFonts w:ascii="Calibri Light" w:eastAsiaTheme="minorEastAsia" w:hAnsi="Calibri Light" w:cs="Calibri Light"/>
        </w:rPr>
        <w:t xml:space="preserve"> will be included in the initiative’s activities</w:t>
      </w:r>
      <w:r w:rsidRPr="006E1098">
        <w:rPr>
          <w:rFonts w:ascii="Calibri Light" w:eastAsiaTheme="minorEastAsia" w:hAnsi="Calibri Light" w:cs="Calibri Light"/>
        </w:rPr>
        <w:t xml:space="preserve">. </w:t>
      </w:r>
    </w:p>
    <w:p w14:paraId="5AB47A88" w14:textId="230BDF4E" w:rsidR="006E1098" w:rsidRPr="00C36FBF" w:rsidRDefault="006E1098" w:rsidP="00C36FBF">
      <w:pPr>
        <w:pStyle w:val="Titre3"/>
        <w:spacing w:after="120"/>
        <w:rPr>
          <w:rFonts w:eastAsiaTheme="minorEastAsia"/>
        </w:rPr>
      </w:pPr>
      <w:r>
        <w:rPr>
          <w:rFonts w:eastAsiaTheme="minorEastAsia"/>
        </w:rPr>
        <w:lastRenderedPageBreak/>
        <w:t xml:space="preserve">Budget, Financial management, reporting </w:t>
      </w:r>
      <w:r w:rsidR="00482634">
        <w:rPr>
          <w:rFonts w:eastAsiaTheme="minorEastAsia"/>
        </w:rPr>
        <w:t>(10%)</w:t>
      </w:r>
    </w:p>
    <w:p w14:paraId="2C15B071" w14:textId="6EA7FA0E" w:rsidR="005C31C0" w:rsidRPr="005C31C0" w:rsidRDefault="005C31C0" w:rsidP="006E1098">
      <w:pPr>
        <w:pStyle w:val="Paragraphedeliste"/>
        <w:numPr>
          <w:ilvl w:val="0"/>
          <w:numId w:val="3"/>
        </w:numPr>
        <w:shd w:val="clear" w:color="auto" w:fill="FFFFFF" w:themeFill="background1"/>
        <w:spacing w:after="240" w:line="384" w:lineRule="auto"/>
        <w:jc w:val="both"/>
        <w:rPr>
          <w:rFonts w:ascii="Calibri Light" w:hAnsi="Calibri Light" w:cs="Calibri Light"/>
        </w:rPr>
      </w:pPr>
      <w:r>
        <w:rPr>
          <w:rFonts w:ascii="Calibri Light" w:eastAsiaTheme="minorEastAsia" w:hAnsi="Calibri Light" w:cs="Calibri Light"/>
        </w:rPr>
        <w:t xml:space="preserve">Applicants </w:t>
      </w:r>
      <w:r w:rsidR="006E1098" w:rsidRPr="00DF7307">
        <w:rPr>
          <w:rFonts w:ascii="Calibri Light" w:eastAsiaTheme="minorEastAsia" w:hAnsi="Calibri Light" w:cs="Calibri Light"/>
        </w:rPr>
        <w:t xml:space="preserve">must </w:t>
      </w:r>
      <w:r>
        <w:rPr>
          <w:rFonts w:ascii="Calibri Light" w:eastAsiaTheme="minorEastAsia" w:hAnsi="Calibri Light" w:cs="Calibri Light"/>
        </w:rPr>
        <w:t>demonstrate they implemented</w:t>
      </w:r>
      <w:r w:rsidR="006E1098" w:rsidRPr="00DF7307">
        <w:rPr>
          <w:rFonts w:ascii="Calibri Light" w:eastAsiaTheme="minorEastAsia" w:hAnsi="Calibri Light" w:cs="Calibri Light"/>
        </w:rPr>
        <w:t xml:space="preserve"> </w:t>
      </w:r>
      <w:r w:rsidRPr="00DF7307">
        <w:rPr>
          <w:rFonts w:ascii="Calibri Light" w:eastAsiaTheme="minorEastAsia" w:hAnsi="Calibri Light" w:cs="Calibri Light"/>
        </w:rPr>
        <w:t>s</w:t>
      </w:r>
      <w:r>
        <w:rPr>
          <w:rFonts w:ascii="Calibri Light" w:eastAsiaTheme="minorEastAsia" w:hAnsi="Calibri Light" w:cs="Calibri Light"/>
        </w:rPr>
        <w:t xml:space="preserve">ystems </w:t>
      </w:r>
      <w:r w:rsidR="006E1098" w:rsidRPr="00DF7307">
        <w:rPr>
          <w:rFonts w:ascii="Calibri Light" w:eastAsiaTheme="minorEastAsia" w:hAnsi="Calibri Light" w:cs="Calibri Light"/>
        </w:rPr>
        <w:t xml:space="preserve">to document and monitor the work that </w:t>
      </w:r>
      <w:r>
        <w:rPr>
          <w:rFonts w:ascii="Calibri Light" w:eastAsiaTheme="minorEastAsia" w:hAnsi="Calibri Light" w:cs="Calibri Light"/>
        </w:rPr>
        <w:t>will be delivered</w:t>
      </w:r>
      <w:r w:rsidR="006E1098" w:rsidRPr="00DF7307">
        <w:rPr>
          <w:rFonts w:ascii="Calibri Light" w:eastAsiaTheme="minorEastAsia" w:hAnsi="Calibri Light" w:cs="Calibri Light"/>
        </w:rPr>
        <w:t>. The key areas include keeping track of the number of events and participants, number of beneficiaries, outcomes of events and any other relevant details. IDA expects to receive one narrative report covering the implementation period, outlining outcomes and deliverables achieved</w:t>
      </w:r>
      <w:r>
        <w:rPr>
          <w:rFonts w:ascii="Calibri Light" w:eastAsiaTheme="minorEastAsia" w:hAnsi="Calibri Light" w:cs="Calibri Light"/>
        </w:rPr>
        <w:t>.</w:t>
      </w:r>
      <w:r w:rsidR="006E1098" w:rsidRPr="00DF7307">
        <w:rPr>
          <w:rFonts w:ascii="Calibri Light" w:eastAsiaTheme="minorEastAsia" w:hAnsi="Calibri Light" w:cs="Calibri Light"/>
        </w:rPr>
        <w:t xml:space="preserve"> </w:t>
      </w:r>
    </w:p>
    <w:p w14:paraId="7AD132C8" w14:textId="1138BC2A" w:rsidR="006E1098" w:rsidRPr="00DF7307" w:rsidRDefault="005C31C0" w:rsidP="006E1098">
      <w:pPr>
        <w:pStyle w:val="Paragraphedeliste"/>
        <w:numPr>
          <w:ilvl w:val="0"/>
          <w:numId w:val="3"/>
        </w:numPr>
        <w:shd w:val="clear" w:color="auto" w:fill="FFFFFF" w:themeFill="background1"/>
        <w:spacing w:after="240" w:line="384" w:lineRule="auto"/>
        <w:jc w:val="both"/>
        <w:rPr>
          <w:rFonts w:ascii="Calibri Light" w:hAnsi="Calibri Light" w:cs="Calibri Light"/>
        </w:rPr>
      </w:pPr>
      <w:r>
        <w:rPr>
          <w:rFonts w:ascii="Calibri Light" w:eastAsiaTheme="minorEastAsia" w:hAnsi="Calibri Light" w:cs="Calibri Light"/>
        </w:rPr>
        <w:t xml:space="preserve">Applicants must demonstrate they implemented </w:t>
      </w:r>
      <w:r w:rsidR="00E21D3C">
        <w:rPr>
          <w:rFonts w:ascii="Calibri Light" w:eastAsiaTheme="minorEastAsia" w:hAnsi="Calibri Light" w:cs="Calibri Light"/>
        </w:rPr>
        <w:t xml:space="preserve">accounting and financial control systems ensuring a sound financial management of the project and accurate reporting to IDA. A financial report </w:t>
      </w:r>
      <w:r w:rsidR="00485727">
        <w:rPr>
          <w:rFonts w:ascii="Calibri Light" w:eastAsiaTheme="minorEastAsia" w:hAnsi="Calibri Light" w:cs="Calibri Light"/>
        </w:rPr>
        <w:t>is required to be</w:t>
      </w:r>
      <w:r w:rsidR="00E21D3C">
        <w:rPr>
          <w:rFonts w:ascii="Calibri Light" w:eastAsiaTheme="minorEastAsia" w:hAnsi="Calibri Light" w:cs="Calibri Light"/>
        </w:rPr>
        <w:t xml:space="preserve"> </w:t>
      </w:r>
      <w:r w:rsidR="006E1098" w:rsidRPr="00DF7307">
        <w:rPr>
          <w:rFonts w:ascii="Calibri Light" w:eastAsiaTheme="minorEastAsia" w:hAnsi="Calibri Light" w:cs="Calibri Light"/>
        </w:rPr>
        <w:t>submitted at the end of the project</w:t>
      </w:r>
      <w:r w:rsidR="00E21D3C" w:rsidRPr="00DF7307">
        <w:rPr>
          <w:rFonts w:ascii="Calibri Light" w:eastAsiaTheme="minorEastAsia" w:hAnsi="Calibri Light" w:cs="Calibri Light"/>
        </w:rPr>
        <w:t xml:space="preserve"> </w:t>
      </w:r>
      <w:r w:rsidR="00E21D3C">
        <w:rPr>
          <w:rFonts w:ascii="Calibri Light" w:eastAsiaTheme="minorEastAsia" w:hAnsi="Calibri Light" w:cs="Calibri Light"/>
        </w:rPr>
        <w:t xml:space="preserve">with the relevant </w:t>
      </w:r>
      <w:r w:rsidR="006E1098" w:rsidRPr="00DF7307">
        <w:rPr>
          <w:rFonts w:ascii="Calibri Light" w:eastAsiaTheme="minorEastAsia" w:hAnsi="Calibri Light" w:cs="Calibri Light"/>
        </w:rPr>
        <w:t>supporting</w:t>
      </w:r>
      <w:r w:rsidR="00E21D3C">
        <w:rPr>
          <w:rFonts w:ascii="Calibri Light" w:eastAsiaTheme="minorEastAsia" w:hAnsi="Calibri Light" w:cs="Calibri Light"/>
        </w:rPr>
        <w:t xml:space="preserve"> documents (</w:t>
      </w:r>
      <w:r w:rsidR="006E1098" w:rsidRPr="00DF7307">
        <w:rPr>
          <w:rFonts w:ascii="Calibri Light" w:eastAsiaTheme="minorEastAsia" w:hAnsi="Calibri Light" w:cs="Calibri Light"/>
        </w:rPr>
        <w:t xml:space="preserve">invoices, </w:t>
      </w:r>
      <w:r w:rsidR="00E21D3C">
        <w:rPr>
          <w:rFonts w:ascii="Calibri Light" w:eastAsiaTheme="minorEastAsia" w:hAnsi="Calibri Light" w:cs="Calibri Light"/>
        </w:rPr>
        <w:t xml:space="preserve">contracts, procurement files </w:t>
      </w:r>
      <w:r w:rsidR="006E1098" w:rsidRPr="00DF7307">
        <w:rPr>
          <w:rFonts w:ascii="Calibri Light" w:eastAsiaTheme="minorEastAsia" w:hAnsi="Calibri Light" w:cs="Calibri Light"/>
        </w:rPr>
        <w:t>etc.</w:t>
      </w:r>
      <w:r w:rsidR="00E21D3C">
        <w:rPr>
          <w:rFonts w:ascii="Calibri Light" w:eastAsiaTheme="minorEastAsia" w:hAnsi="Calibri Light" w:cs="Calibri Light"/>
        </w:rPr>
        <w:t>)</w:t>
      </w:r>
      <w:r w:rsidR="006E1098" w:rsidRPr="00DF7307">
        <w:rPr>
          <w:rFonts w:ascii="Calibri Light" w:eastAsiaTheme="minorEastAsia" w:hAnsi="Calibri Light" w:cs="Calibri Light"/>
        </w:rPr>
        <w:t xml:space="preserve">. </w:t>
      </w:r>
      <w:r w:rsidR="005D34BB">
        <w:rPr>
          <w:rFonts w:ascii="Calibri Light" w:hAnsi="Calibri Light" w:cs="Calibri Light"/>
        </w:rPr>
        <w:t>Administration and finance requirements are detailed in Annex A.</w:t>
      </w:r>
    </w:p>
    <w:p w14:paraId="6384DAF7" w14:textId="0EA5BB5D" w:rsidR="006E1098" w:rsidRDefault="00482634" w:rsidP="00482634">
      <w:pPr>
        <w:pStyle w:val="Titre2"/>
      </w:pPr>
      <w:r>
        <w:t>How to apply?</w:t>
      </w:r>
    </w:p>
    <w:p w14:paraId="150E7261" w14:textId="77777777" w:rsidR="00B40897" w:rsidRDefault="00B40897" w:rsidP="00F5081D">
      <w:pPr>
        <w:shd w:val="clear" w:color="auto" w:fill="FFFFFF" w:themeFill="background1"/>
        <w:spacing w:after="240" w:line="384" w:lineRule="auto"/>
        <w:jc w:val="both"/>
        <w:rPr>
          <w:rFonts w:ascii="Calibri Light" w:eastAsiaTheme="minorEastAsia" w:hAnsi="Calibri Light" w:cs="Calibri Light"/>
        </w:rPr>
      </w:pPr>
    </w:p>
    <w:p w14:paraId="764FBF0B" w14:textId="76D6CD70" w:rsidR="00482634" w:rsidRPr="00F5081D" w:rsidRDefault="00482634" w:rsidP="00F5081D">
      <w:p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 xml:space="preserve">Completed applications must be submitted by email to </w:t>
      </w:r>
      <w:hyperlink r:id="rId8" w:history="1">
        <w:r w:rsidRPr="00F5081D">
          <w:rPr>
            <w:rStyle w:val="Lienhypertexte"/>
            <w:sz w:val="24"/>
            <w:szCs w:val="24"/>
          </w:rPr>
          <w:t>grant@ida-secretariat.org</w:t>
        </w:r>
      </w:hyperlink>
      <w:r w:rsidRPr="00F5081D">
        <w:rPr>
          <w:rStyle w:val="Lienhypertexte"/>
          <w:sz w:val="24"/>
          <w:szCs w:val="24"/>
        </w:rPr>
        <w:t xml:space="preserve"> </w:t>
      </w:r>
      <w:r w:rsidRPr="00F5081D">
        <w:rPr>
          <w:rFonts w:ascii="Calibri Light" w:eastAsiaTheme="minorEastAsia" w:hAnsi="Calibri Light" w:cs="Calibri Light"/>
        </w:rPr>
        <w:t xml:space="preserve">under the title “ESC Initiatives 2022” before </w:t>
      </w:r>
      <w:r w:rsidRPr="00F5081D">
        <w:rPr>
          <w:rFonts w:ascii="Calibri Light" w:eastAsiaTheme="minorEastAsia" w:hAnsi="Calibri Light" w:cs="Calibri Light"/>
          <w:b/>
          <w:bCs/>
        </w:rPr>
        <w:t xml:space="preserve">5pm CET on </w:t>
      </w:r>
      <w:r w:rsidR="00485727" w:rsidRPr="00F5081D">
        <w:rPr>
          <w:rFonts w:ascii="Calibri Light" w:eastAsiaTheme="minorEastAsia" w:hAnsi="Calibri Light" w:cs="Calibri Light"/>
          <w:b/>
          <w:bCs/>
        </w:rPr>
        <w:t xml:space="preserve">Friday 2 </w:t>
      </w:r>
      <w:r w:rsidR="00485727">
        <w:rPr>
          <w:rFonts w:ascii="Calibri Light" w:eastAsiaTheme="minorEastAsia" w:hAnsi="Calibri Light" w:cs="Calibri Light"/>
          <w:b/>
          <w:bCs/>
        </w:rPr>
        <w:t xml:space="preserve">September </w:t>
      </w:r>
      <w:r w:rsidR="00485727" w:rsidRPr="00F5081D">
        <w:rPr>
          <w:rFonts w:ascii="Calibri Light" w:eastAsiaTheme="minorEastAsia" w:hAnsi="Calibri Light" w:cs="Calibri Light"/>
          <w:b/>
          <w:bCs/>
        </w:rPr>
        <w:t>2022</w:t>
      </w:r>
      <w:r w:rsidRPr="00F5081D">
        <w:rPr>
          <w:rFonts w:ascii="Calibri Light" w:eastAsiaTheme="minorEastAsia" w:hAnsi="Calibri Light" w:cs="Calibri Light"/>
          <w:b/>
          <w:bCs/>
        </w:rPr>
        <w:t>.</w:t>
      </w:r>
      <w:r w:rsidRPr="00F5081D">
        <w:rPr>
          <w:rFonts w:ascii="Calibri Light" w:eastAsiaTheme="minorEastAsia" w:hAnsi="Calibri Light" w:cs="Calibri Light"/>
        </w:rPr>
        <w:t xml:space="preserve"> Applications must be completed in English. A completed application must include:</w:t>
      </w:r>
    </w:p>
    <w:p w14:paraId="6215166A" w14:textId="74BE5052"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One-page cover letter, signed and stamped</w:t>
      </w:r>
    </w:p>
    <w:p w14:paraId="441C4ADB" w14:textId="24803757"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Grant Application Form</w:t>
      </w:r>
    </w:p>
    <w:p w14:paraId="65D7CB90" w14:textId="3F01A9E0"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Copy of Registration Certificate</w:t>
      </w:r>
    </w:p>
    <w:p w14:paraId="3DDECA85" w14:textId="669640D2" w:rsidR="00482634" w:rsidRPr="00F5081D" w:rsidRDefault="00482634" w:rsidP="00F5081D">
      <w:pPr>
        <w:pStyle w:val="Paragraphedeliste"/>
        <w:numPr>
          <w:ilvl w:val="0"/>
          <w:numId w:val="3"/>
        </w:numPr>
        <w:shd w:val="clear" w:color="auto" w:fill="FFFFFF" w:themeFill="background1"/>
        <w:spacing w:after="240" w:line="384" w:lineRule="auto"/>
        <w:jc w:val="both"/>
        <w:rPr>
          <w:rFonts w:ascii="Calibri Light" w:eastAsiaTheme="minorEastAsia" w:hAnsi="Calibri Light" w:cs="Calibri Light"/>
        </w:rPr>
      </w:pPr>
      <w:r w:rsidRPr="00F5081D">
        <w:rPr>
          <w:rFonts w:ascii="Calibri Light" w:eastAsiaTheme="minorEastAsia" w:hAnsi="Calibri Light" w:cs="Calibri Light"/>
        </w:rPr>
        <w:t>Copy of Bank account detail</w:t>
      </w:r>
      <w:r w:rsidR="00F5081D" w:rsidRPr="00F5081D">
        <w:rPr>
          <w:rFonts w:ascii="Calibri Light" w:eastAsiaTheme="minorEastAsia" w:hAnsi="Calibri Light" w:cs="Calibri Light"/>
        </w:rPr>
        <w:t>s</w:t>
      </w:r>
    </w:p>
    <w:p w14:paraId="16F5A4E6" w14:textId="107F11CE" w:rsidR="00482634" w:rsidRDefault="00482634" w:rsidP="00482634"/>
    <w:p w14:paraId="75DAC1EE" w14:textId="644ECD35" w:rsidR="005D34BB" w:rsidRDefault="005D34BB" w:rsidP="00482634"/>
    <w:p w14:paraId="3E234CEF" w14:textId="6B4B4F21" w:rsidR="005D34BB" w:rsidRDefault="005D34BB" w:rsidP="00482634"/>
    <w:p w14:paraId="43278AD1" w14:textId="5F054812" w:rsidR="005D34BB" w:rsidRDefault="005D34BB" w:rsidP="00482634"/>
    <w:p w14:paraId="68AAB3B4" w14:textId="77BCE012" w:rsidR="005D34BB" w:rsidRDefault="005D34BB" w:rsidP="00482634"/>
    <w:p w14:paraId="23ED1105" w14:textId="58B2B7AB" w:rsidR="005D34BB" w:rsidRDefault="005D34BB" w:rsidP="00482634"/>
    <w:p w14:paraId="5B3D0691" w14:textId="4F31D4A6" w:rsidR="005D34BB" w:rsidRDefault="005D34BB" w:rsidP="00482634"/>
    <w:p w14:paraId="07620371" w14:textId="77777777" w:rsidR="005B356C" w:rsidRDefault="005B356C" w:rsidP="005B356C">
      <w:pPr>
        <w:pStyle w:val="Titre1"/>
        <w:numPr>
          <w:ilvl w:val="0"/>
          <w:numId w:val="0"/>
        </w:numPr>
        <w:spacing w:before="0" w:line="276" w:lineRule="auto"/>
      </w:pPr>
      <w:r>
        <w:lastRenderedPageBreak/>
        <w:t>Annex A: Due Diligence and financial reporting requirements</w:t>
      </w:r>
    </w:p>
    <w:p w14:paraId="562AB3C2" w14:textId="77777777" w:rsidR="005B356C" w:rsidRPr="00C23655" w:rsidRDefault="005B356C" w:rsidP="005B356C">
      <w:pPr>
        <w:pStyle w:val="Titre2"/>
        <w:numPr>
          <w:ilvl w:val="0"/>
          <w:numId w:val="0"/>
        </w:numPr>
        <w:spacing w:before="0" w:line="276" w:lineRule="auto"/>
        <w:rPr>
          <w:sz w:val="10"/>
          <w:szCs w:val="10"/>
        </w:rPr>
      </w:pPr>
    </w:p>
    <w:p w14:paraId="415E2174" w14:textId="77777777" w:rsidR="005B356C" w:rsidRPr="005B356C" w:rsidRDefault="005B356C" w:rsidP="005B356C">
      <w:pPr>
        <w:pStyle w:val="Titre2"/>
        <w:numPr>
          <w:ilvl w:val="0"/>
          <w:numId w:val="0"/>
        </w:numPr>
        <w:tabs>
          <w:tab w:val="left" w:pos="0"/>
        </w:tabs>
        <w:spacing w:before="0" w:line="276" w:lineRule="auto"/>
        <w:rPr>
          <w:sz w:val="15"/>
          <w:szCs w:val="15"/>
        </w:rPr>
      </w:pPr>
    </w:p>
    <w:p w14:paraId="3F3EEBAC" w14:textId="2BB45CF0" w:rsidR="005B356C" w:rsidRDefault="005B356C" w:rsidP="005B356C">
      <w:pPr>
        <w:pStyle w:val="Titre2"/>
        <w:numPr>
          <w:ilvl w:val="0"/>
          <w:numId w:val="0"/>
        </w:numPr>
        <w:tabs>
          <w:tab w:val="left" w:pos="0"/>
        </w:tabs>
        <w:spacing w:before="0" w:line="276" w:lineRule="auto"/>
      </w:pPr>
      <w:r>
        <w:t>Registration and Statutes</w:t>
      </w:r>
    </w:p>
    <w:p w14:paraId="6BE40949" w14:textId="77777777" w:rsidR="005B356C" w:rsidRPr="00C23655" w:rsidRDefault="005B356C" w:rsidP="005B356C">
      <w:pPr>
        <w:spacing w:after="0" w:line="276" w:lineRule="auto"/>
        <w:rPr>
          <w:sz w:val="4"/>
          <w:szCs w:val="4"/>
        </w:rPr>
      </w:pPr>
    </w:p>
    <w:p w14:paraId="264533A0" w14:textId="77777777" w:rsidR="005B356C" w:rsidRPr="005D34BB"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Registration certificate / permission of license to operate as a</w:t>
      </w:r>
      <w:r>
        <w:rPr>
          <w:rFonts w:ascii="Calibri Light" w:eastAsiaTheme="minorEastAsia" w:hAnsi="Calibri Light" w:cs="Calibri Light"/>
        </w:rPr>
        <w:t>n</w:t>
      </w:r>
      <w:r w:rsidRPr="005D34BB">
        <w:rPr>
          <w:rFonts w:ascii="Calibri Light" w:eastAsiaTheme="minorEastAsia" w:hAnsi="Calibri Light" w:cs="Calibri Light"/>
        </w:rPr>
        <w:t xml:space="preserve"> </w:t>
      </w:r>
      <w:r>
        <w:rPr>
          <w:rFonts w:ascii="Calibri Light" w:eastAsiaTheme="minorEastAsia" w:hAnsi="Calibri Light" w:cs="Calibri Light"/>
        </w:rPr>
        <w:t>OPD</w:t>
      </w:r>
      <w:r w:rsidRPr="005D34BB">
        <w:rPr>
          <w:rFonts w:ascii="Calibri Light" w:eastAsiaTheme="minorEastAsia" w:hAnsi="Calibri Light" w:cs="Calibri Light"/>
        </w:rPr>
        <w:t xml:space="preserve">/NGO. Income tax number/PAN card copy of the grant receiver, any unique identification number of the </w:t>
      </w:r>
      <w:r>
        <w:rPr>
          <w:rFonts w:ascii="Calibri Light" w:eastAsiaTheme="minorEastAsia" w:hAnsi="Calibri Light" w:cs="Calibri Light"/>
        </w:rPr>
        <w:t>OPD</w:t>
      </w:r>
      <w:r w:rsidRPr="005D34BB">
        <w:rPr>
          <w:rFonts w:ascii="Calibri Light" w:eastAsiaTheme="minorEastAsia" w:hAnsi="Calibri Light" w:cs="Calibri Light"/>
        </w:rPr>
        <w:t xml:space="preserve"> provided by the government.</w:t>
      </w:r>
    </w:p>
    <w:p w14:paraId="47DA4F93" w14:textId="77777777" w:rsidR="005B356C" w:rsidRPr="005D34BB"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Bank account details including details for wire transfers.</w:t>
      </w:r>
    </w:p>
    <w:p w14:paraId="1D2B9B10" w14:textId="77777777" w:rsidR="005B356C" w:rsidRPr="005D34BB"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Office address, contact details, email.</w:t>
      </w:r>
    </w:p>
    <w:p w14:paraId="2CE8746E" w14:textId="77777777" w:rsidR="005B356C" w:rsidRPr="005D34BB"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List of Board Members, their contact details, and dates of their last 3 meetings.</w:t>
      </w:r>
    </w:p>
    <w:p w14:paraId="6CC75B9A" w14:textId="77777777" w:rsidR="005B356C" w:rsidRDefault="005B356C" w:rsidP="005B356C">
      <w:pPr>
        <w:pStyle w:val="Titre2"/>
        <w:numPr>
          <w:ilvl w:val="0"/>
          <w:numId w:val="0"/>
        </w:numPr>
        <w:spacing w:before="0" w:line="276" w:lineRule="auto"/>
        <w:ind w:left="576" w:hanging="576"/>
      </w:pPr>
    </w:p>
    <w:p w14:paraId="37121344" w14:textId="77777777" w:rsidR="005B356C" w:rsidRPr="005D34BB" w:rsidRDefault="005B356C" w:rsidP="005B356C">
      <w:pPr>
        <w:pStyle w:val="Titre2"/>
        <w:numPr>
          <w:ilvl w:val="0"/>
          <w:numId w:val="0"/>
        </w:numPr>
        <w:spacing w:before="0" w:line="276" w:lineRule="auto"/>
        <w:ind w:left="576" w:hanging="576"/>
      </w:pPr>
      <w:r w:rsidRPr="005D34BB">
        <w:t>Internal Financial Control Mechanisms</w:t>
      </w:r>
    </w:p>
    <w:p w14:paraId="4B79D5F8" w14:textId="77777777" w:rsidR="005B356C" w:rsidRPr="00C23655" w:rsidRDefault="005B356C" w:rsidP="005B356C">
      <w:pPr>
        <w:spacing w:after="0" w:line="276" w:lineRule="auto"/>
        <w:rPr>
          <w:sz w:val="4"/>
          <w:szCs w:val="4"/>
        </w:rPr>
      </w:pPr>
    </w:p>
    <w:p w14:paraId="1C1262C3" w14:textId="77777777" w:rsidR="005B356C" w:rsidRPr="005D34BB"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The most recent annual financial statements signed by the Treasurer/President.</w:t>
      </w:r>
    </w:p>
    <w:p w14:paraId="08639A40" w14:textId="77777777" w:rsidR="005B356C" w:rsidRPr="005D34BB"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Name, designation, address, contact details of focus person for the project from the organization.</w:t>
      </w:r>
    </w:p>
    <w:p w14:paraId="702140B2" w14:textId="77777777" w:rsidR="005B356C" w:rsidRDefault="005B356C" w:rsidP="005B356C">
      <w:pPr>
        <w:pStyle w:val="Titre2"/>
        <w:numPr>
          <w:ilvl w:val="0"/>
          <w:numId w:val="0"/>
        </w:numPr>
        <w:spacing w:before="0" w:line="276" w:lineRule="auto"/>
        <w:ind w:left="576" w:hanging="576"/>
      </w:pPr>
    </w:p>
    <w:p w14:paraId="46BBD663" w14:textId="77777777" w:rsidR="005B356C" w:rsidRDefault="005B356C" w:rsidP="005B356C">
      <w:pPr>
        <w:pStyle w:val="Titre2"/>
        <w:numPr>
          <w:ilvl w:val="0"/>
          <w:numId w:val="0"/>
        </w:numPr>
        <w:spacing w:before="0" w:line="276" w:lineRule="auto"/>
        <w:ind w:left="576" w:hanging="576"/>
      </w:pPr>
      <w:r>
        <w:t>Disbursement</w:t>
      </w:r>
    </w:p>
    <w:p w14:paraId="2F1C7932" w14:textId="77777777" w:rsidR="005B356C" w:rsidRPr="00C23655" w:rsidRDefault="005B356C" w:rsidP="005B356C">
      <w:pPr>
        <w:spacing w:after="0" w:line="276" w:lineRule="auto"/>
        <w:rPr>
          <w:sz w:val="4"/>
          <w:szCs w:val="4"/>
        </w:rPr>
      </w:pPr>
    </w:p>
    <w:p w14:paraId="726235D9" w14:textId="77777777" w:rsidR="005B356C"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5D34BB">
        <w:rPr>
          <w:rFonts w:ascii="Calibri Light" w:eastAsiaTheme="minorEastAsia" w:hAnsi="Calibri Light" w:cs="Calibri Light"/>
        </w:rPr>
        <w:t>The disbursement of funds will be done in 3 tranches – one at the beginning of the project phase (40%), one after a third of the project phase (4 months for a 12-month project for example) (30%) and the last one after the second third of the project phase (8 months for a 12-month project for example) (30%).</w:t>
      </w:r>
    </w:p>
    <w:p w14:paraId="3CB8B8FF" w14:textId="77777777" w:rsidR="005B356C" w:rsidRDefault="005B356C" w:rsidP="005B356C">
      <w:pPr>
        <w:pStyle w:val="Titre2"/>
        <w:numPr>
          <w:ilvl w:val="0"/>
          <w:numId w:val="0"/>
        </w:numPr>
        <w:spacing w:before="0" w:line="276" w:lineRule="auto"/>
        <w:ind w:left="576" w:hanging="576"/>
      </w:pPr>
    </w:p>
    <w:p w14:paraId="159DEF86" w14:textId="77777777" w:rsidR="005B356C" w:rsidRDefault="005B356C" w:rsidP="005B356C">
      <w:pPr>
        <w:pStyle w:val="Titre2"/>
        <w:numPr>
          <w:ilvl w:val="0"/>
          <w:numId w:val="0"/>
        </w:numPr>
        <w:spacing w:before="0" w:line="276" w:lineRule="auto"/>
        <w:ind w:left="576" w:hanging="576"/>
      </w:pPr>
      <w:r>
        <w:t xml:space="preserve">Financial Reports/documents required </w:t>
      </w:r>
    </w:p>
    <w:p w14:paraId="66FA95D5" w14:textId="77777777" w:rsidR="005B356C" w:rsidRPr="00C23655" w:rsidRDefault="005B356C" w:rsidP="005B356C">
      <w:pPr>
        <w:spacing w:after="0" w:line="276" w:lineRule="auto"/>
        <w:rPr>
          <w:sz w:val="4"/>
          <w:szCs w:val="4"/>
        </w:rPr>
      </w:pPr>
    </w:p>
    <w:p w14:paraId="36530863" w14:textId="77777777" w:rsidR="005B356C" w:rsidRDefault="005B356C" w:rsidP="005B356C">
      <w:pPr>
        <w:pStyle w:val="Normal0"/>
        <w:numPr>
          <w:ilvl w:val="0"/>
          <w:numId w:val="2"/>
        </w:numPr>
        <w:spacing w:after="0"/>
        <w:jc w:val="both"/>
        <w:rPr>
          <w:rFonts w:cs="Calibri"/>
          <w:sz w:val="24"/>
          <w:szCs w:val="24"/>
        </w:rPr>
      </w:pPr>
      <w:r w:rsidRPr="00E70DE8">
        <w:rPr>
          <w:rFonts w:ascii="Calibri Light" w:eastAsiaTheme="minorEastAsia" w:hAnsi="Calibri Light" w:cs="Calibri Light"/>
        </w:rPr>
        <w:t>Financial statement should build on the budget approved with the contract and showing the expenses for the period reported</w:t>
      </w:r>
      <w:r>
        <w:rPr>
          <w:rFonts w:cs="Calibri"/>
          <w:sz w:val="24"/>
          <w:szCs w:val="24"/>
        </w:rPr>
        <w:t>.</w:t>
      </w:r>
    </w:p>
    <w:p w14:paraId="2A75890B" w14:textId="77777777" w:rsidR="005B356C" w:rsidRPr="00E70DE8"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E70DE8">
        <w:rPr>
          <w:rFonts w:ascii="Calibri Light" w:eastAsiaTheme="minorEastAsia" w:hAnsi="Calibri Light" w:cs="Calibri Light"/>
        </w:rPr>
        <w:t>Variances above +/- 10% should be explained. Major variances should have been discussed on the job with the</w:t>
      </w:r>
      <w:r>
        <w:rPr>
          <w:rFonts w:ascii="Calibri Light" w:eastAsiaTheme="minorEastAsia" w:hAnsi="Calibri Light" w:cs="Calibri Light"/>
        </w:rPr>
        <w:t xml:space="preserve"> </w:t>
      </w:r>
      <w:r w:rsidRPr="00E70DE8">
        <w:rPr>
          <w:rFonts w:ascii="Calibri Light" w:eastAsiaTheme="minorEastAsia" w:hAnsi="Calibri Light" w:cs="Calibri Light"/>
        </w:rPr>
        <w:t>authorized person</w:t>
      </w:r>
      <w:r>
        <w:rPr>
          <w:rFonts w:ascii="Calibri Light" w:eastAsiaTheme="minorEastAsia" w:hAnsi="Calibri Light" w:cs="Calibri Light"/>
        </w:rPr>
        <w:t xml:space="preserve"> identified by IDA</w:t>
      </w:r>
      <w:r w:rsidRPr="00E70DE8">
        <w:rPr>
          <w:rFonts w:ascii="Calibri Light" w:eastAsiaTheme="minorEastAsia" w:hAnsi="Calibri Light" w:cs="Calibri Light"/>
        </w:rPr>
        <w:t>.</w:t>
      </w:r>
    </w:p>
    <w:p w14:paraId="7A1744FB" w14:textId="77777777" w:rsidR="005B356C" w:rsidRPr="00E70DE8"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E70DE8">
        <w:rPr>
          <w:rFonts w:ascii="Calibri Light" w:eastAsiaTheme="minorEastAsia" w:hAnsi="Calibri Light" w:cs="Calibri Light"/>
        </w:rPr>
        <w:t xml:space="preserve">Documentation trail of all expenses should be preserved carefully and submitted at the end of the project period (all </w:t>
      </w:r>
      <w:r>
        <w:rPr>
          <w:rFonts w:ascii="Calibri Light" w:eastAsiaTheme="minorEastAsia" w:hAnsi="Calibri Light" w:cs="Calibri Light"/>
        </w:rPr>
        <w:t xml:space="preserve">original </w:t>
      </w:r>
      <w:r w:rsidRPr="00E70DE8">
        <w:rPr>
          <w:rFonts w:ascii="Calibri Light" w:eastAsiaTheme="minorEastAsia" w:hAnsi="Calibri Light" w:cs="Calibri Light"/>
        </w:rPr>
        <w:t>supporting bills, invoices, etc. for validating each expenditure).</w:t>
      </w:r>
    </w:p>
    <w:p w14:paraId="69BE5727" w14:textId="77777777" w:rsidR="005B356C" w:rsidRPr="00E70DE8" w:rsidRDefault="005B356C" w:rsidP="005B356C">
      <w:pPr>
        <w:pStyle w:val="Paragraphedeliste"/>
        <w:numPr>
          <w:ilvl w:val="0"/>
          <w:numId w:val="3"/>
        </w:numPr>
        <w:shd w:val="clear" w:color="auto" w:fill="FFFFFF" w:themeFill="background1"/>
        <w:spacing w:after="0"/>
        <w:jc w:val="both"/>
        <w:rPr>
          <w:rFonts w:ascii="Calibri Light" w:eastAsiaTheme="minorEastAsia" w:hAnsi="Calibri Light" w:cs="Calibri Light"/>
        </w:rPr>
      </w:pPr>
      <w:r w:rsidRPr="00E70DE8">
        <w:rPr>
          <w:rFonts w:ascii="Calibri Light" w:eastAsiaTheme="minorEastAsia" w:hAnsi="Calibri Light" w:cs="Calibri Light"/>
        </w:rPr>
        <w:t>Financial statements should be signed by the Partner financial controller/accountant and by the Executive Director / Program Director.</w:t>
      </w:r>
    </w:p>
    <w:p w14:paraId="46226AAE" w14:textId="77777777" w:rsidR="005B356C" w:rsidRPr="00482634" w:rsidRDefault="005B356C" w:rsidP="005B356C">
      <w:pPr>
        <w:pStyle w:val="Paragraphedeliste"/>
        <w:numPr>
          <w:ilvl w:val="0"/>
          <w:numId w:val="3"/>
        </w:numPr>
        <w:shd w:val="clear" w:color="auto" w:fill="FFFFFF" w:themeFill="background1"/>
        <w:spacing w:after="0"/>
        <w:jc w:val="both"/>
      </w:pPr>
      <w:r w:rsidRPr="00E70DE8">
        <w:rPr>
          <w:rFonts w:ascii="Calibri Light" w:eastAsiaTheme="minorEastAsia" w:hAnsi="Calibri Light" w:cs="Calibri Light"/>
        </w:rPr>
        <w:t>Copy of workshop/training/event attendance lists.  </w:t>
      </w:r>
    </w:p>
    <w:p w14:paraId="4533AFCF" w14:textId="77777777" w:rsidR="00482634" w:rsidRPr="00482634" w:rsidRDefault="00482634" w:rsidP="005B356C"/>
    <w:sectPr w:rsidR="00482634" w:rsidRPr="00482634" w:rsidSect="00712927">
      <w:headerReference w:type="default" r:id="rId9"/>
      <w:pgSz w:w="12240" w:h="15840"/>
      <w:pgMar w:top="1440" w:right="1440" w:bottom="732" w:left="1440" w:header="4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D5AF" w14:textId="77777777" w:rsidR="002C7A6A" w:rsidRDefault="002C7A6A" w:rsidP="007804E8">
      <w:pPr>
        <w:spacing w:after="0" w:line="240" w:lineRule="auto"/>
      </w:pPr>
      <w:r>
        <w:separator/>
      </w:r>
    </w:p>
  </w:endnote>
  <w:endnote w:type="continuationSeparator" w:id="0">
    <w:p w14:paraId="67D9C9A3" w14:textId="77777777" w:rsidR="002C7A6A" w:rsidRDefault="002C7A6A" w:rsidP="0078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7C448" w14:textId="77777777" w:rsidR="002C7A6A" w:rsidRDefault="002C7A6A" w:rsidP="007804E8">
      <w:pPr>
        <w:spacing w:after="0" w:line="240" w:lineRule="auto"/>
      </w:pPr>
      <w:r>
        <w:separator/>
      </w:r>
    </w:p>
  </w:footnote>
  <w:footnote w:type="continuationSeparator" w:id="0">
    <w:p w14:paraId="74F55A24" w14:textId="77777777" w:rsidR="002C7A6A" w:rsidRDefault="002C7A6A" w:rsidP="007804E8">
      <w:pPr>
        <w:spacing w:after="0" w:line="240" w:lineRule="auto"/>
      </w:pPr>
      <w:r>
        <w:continuationSeparator/>
      </w:r>
    </w:p>
  </w:footnote>
  <w:footnote w:id="1">
    <w:p w14:paraId="3879F28B" w14:textId="26A652F1" w:rsidR="00C953DB" w:rsidRPr="00C953DB" w:rsidRDefault="00C953DB" w:rsidP="00C953DB">
      <w:pPr>
        <w:spacing w:after="0" w:line="240" w:lineRule="auto"/>
        <w:rPr>
          <w:rFonts w:ascii="Calibri" w:eastAsia="Times New Roman" w:hAnsi="Calibri" w:cs="Calibri"/>
          <w:sz w:val="18"/>
          <w:szCs w:val="18"/>
          <w:lang w:val="en-IN" w:bidi="hi-IN"/>
        </w:rPr>
      </w:pPr>
      <w:r w:rsidRPr="00C953DB">
        <w:rPr>
          <w:rFonts w:ascii="Calibri" w:eastAsia="Times New Roman" w:hAnsi="Calibri" w:cs="Calibri"/>
          <w:sz w:val="18"/>
          <w:szCs w:val="18"/>
          <w:lang w:val="en-IN" w:bidi="hi-IN"/>
        </w:rPr>
        <w:footnoteRef/>
      </w:r>
      <w:r w:rsidRPr="00C953DB">
        <w:rPr>
          <w:rFonts w:ascii="Calibri" w:eastAsia="Times New Roman" w:hAnsi="Calibri" w:cs="Calibri"/>
          <w:sz w:val="18"/>
          <w:szCs w:val="18"/>
          <w:lang w:val="en-IN" w:bidi="hi-IN"/>
        </w:rPr>
        <w:t xml:space="preserve"> </w:t>
      </w:r>
      <w:r w:rsidR="00515E71">
        <w:rPr>
          <w:rFonts w:ascii="Calibri" w:eastAsia="Times New Roman" w:hAnsi="Calibri" w:cs="Calibri"/>
          <w:sz w:val="18"/>
          <w:szCs w:val="18"/>
          <w:lang w:val="en-IN" w:bidi="hi-IN"/>
        </w:rPr>
        <w:t>E</w:t>
      </w:r>
      <w:r w:rsidRPr="00515E71">
        <w:rPr>
          <w:rFonts w:ascii="Calibri" w:eastAsia="Times New Roman" w:hAnsi="Calibri" w:cs="Calibri"/>
          <w:sz w:val="18"/>
          <w:szCs w:val="18"/>
          <w:lang w:val="en-IN" w:bidi="hi-IN"/>
        </w:rPr>
        <w:t xml:space="preserve">conomic, social and cultural rights </w:t>
      </w:r>
      <w:r w:rsidR="00515E71">
        <w:rPr>
          <w:rFonts w:ascii="Calibri" w:eastAsia="Times New Roman" w:hAnsi="Calibri" w:cs="Calibri"/>
          <w:sz w:val="18"/>
          <w:szCs w:val="18"/>
          <w:lang w:val="en-IN" w:bidi="hi-IN"/>
        </w:rPr>
        <w:t xml:space="preserve">embrace rights </w:t>
      </w:r>
      <w:r w:rsidRPr="00515E71">
        <w:rPr>
          <w:rFonts w:ascii="Calibri" w:eastAsia="Times New Roman" w:hAnsi="Calibri" w:cs="Calibri"/>
          <w:sz w:val="18"/>
          <w:szCs w:val="18"/>
          <w:lang w:val="en-IN" w:bidi="hi-IN"/>
        </w:rPr>
        <w:t xml:space="preserve">such as the rights to adequate food, adequate housing, </w:t>
      </w:r>
      <w:r w:rsidR="00515E71">
        <w:rPr>
          <w:rFonts w:ascii="Calibri" w:eastAsia="Times New Roman" w:hAnsi="Calibri" w:cs="Calibri"/>
          <w:sz w:val="18"/>
          <w:szCs w:val="18"/>
          <w:lang w:val="en-IN" w:bidi="hi-IN"/>
        </w:rPr>
        <w:t xml:space="preserve">cultural life, </w:t>
      </w:r>
      <w:r w:rsidRPr="00515E71">
        <w:rPr>
          <w:rFonts w:ascii="Calibri" w:eastAsia="Times New Roman" w:hAnsi="Calibri" w:cs="Calibri"/>
          <w:sz w:val="18"/>
          <w:szCs w:val="18"/>
          <w:lang w:val="en-IN" w:bidi="hi-IN"/>
        </w:rPr>
        <w:t>education, health</w:t>
      </w:r>
      <w:r w:rsidR="00515E71">
        <w:rPr>
          <w:rFonts w:ascii="Calibri" w:eastAsia="Times New Roman" w:hAnsi="Calibri" w:cs="Calibri"/>
          <w:sz w:val="18"/>
          <w:szCs w:val="18"/>
          <w:lang w:val="en-IN" w:bidi="hi-IN"/>
        </w:rPr>
        <w:t>, including sexual and reproductive health and rights</w:t>
      </w:r>
      <w:r w:rsidRPr="00515E71">
        <w:rPr>
          <w:rFonts w:ascii="Calibri" w:eastAsia="Times New Roman" w:hAnsi="Calibri" w:cs="Calibri"/>
          <w:sz w:val="18"/>
          <w:szCs w:val="18"/>
          <w:lang w:val="en-IN" w:bidi="hi-IN"/>
        </w:rPr>
        <w:t xml:space="preserve">, </w:t>
      </w:r>
      <w:r w:rsidR="00515E71">
        <w:rPr>
          <w:rFonts w:ascii="Calibri" w:eastAsia="Times New Roman" w:hAnsi="Calibri" w:cs="Calibri"/>
          <w:sz w:val="18"/>
          <w:szCs w:val="18"/>
          <w:lang w:val="en-IN" w:bidi="hi-IN"/>
        </w:rPr>
        <w:t xml:space="preserve">the right to land, </w:t>
      </w:r>
      <w:r w:rsidRPr="00515E71">
        <w:rPr>
          <w:rFonts w:ascii="Calibri" w:eastAsia="Times New Roman" w:hAnsi="Calibri" w:cs="Calibri"/>
          <w:sz w:val="18"/>
          <w:szCs w:val="18"/>
          <w:lang w:val="en-IN" w:bidi="hi-IN"/>
        </w:rPr>
        <w:t>social security, water and sanitation, and work</w:t>
      </w:r>
      <w:r>
        <w:rPr>
          <w:rFonts w:ascii="Calibri" w:eastAsia="Times New Roman" w:hAnsi="Calibri" w:cs="Calibri"/>
          <w:sz w:val="18"/>
          <w:szCs w:val="18"/>
          <w:lang w:val="en-IN" w:bidi="hi-IN"/>
        </w:rPr>
        <w:t xml:space="preserve">. Further information at </w:t>
      </w:r>
      <w:hyperlink r:id="rId1" w:history="1">
        <w:r w:rsidRPr="0089640A">
          <w:rPr>
            <w:rStyle w:val="Lienhypertexte"/>
            <w:rFonts w:ascii="Calibri" w:eastAsia="Times New Roman" w:hAnsi="Calibri" w:cs="Calibri"/>
            <w:sz w:val="18"/>
            <w:szCs w:val="18"/>
            <w:lang w:val="en-IN" w:bidi="hi-IN"/>
          </w:rPr>
          <w:t>www.ohchr.org/en/treaty-bodies/cescr</w:t>
        </w:r>
      </w:hyperlink>
      <w:r w:rsidR="00862C53" w:rsidRPr="00862C53">
        <w:rPr>
          <w:rFonts w:ascii="Calibri" w:eastAsia="Times New Roman" w:hAnsi="Calibri" w:cs="Calibri"/>
          <w:sz w:val="18"/>
          <w:szCs w:val="18"/>
          <w:lang w:val="en-IN" w:bidi="hi-IN"/>
        </w:rPr>
        <w:t>,</w:t>
      </w:r>
      <w:r>
        <w:rPr>
          <w:rFonts w:ascii="Calibri" w:eastAsia="Times New Roman" w:hAnsi="Calibri" w:cs="Calibri"/>
          <w:sz w:val="18"/>
          <w:szCs w:val="18"/>
          <w:lang w:val="en-IN" w:bidi="hi-IN"/>
        </w:rPr>
        <w:t xml:space="preserve"> </w:t>
      </w:r>
    </w:p>
  </w:footnote>
  <w:footnote w:id="2">
    <w:p w14:paraId="4634C9F0" w14:textId="2862F43A" w:rsidR="004864A5" w:rsidRPr="004864A5" w:rsidRDefault="004864A5">
      <w:pPr>
        <w:pStyle w:val="Notedebasdepage"/>
        <w:rPr>
          <w:rFonts w:ascii="Calibri" w:eastAsia="Times New Roman" w:hAnsi="Calibri" w:cs="Calibri"/>
          <w:sz w:val="18"/>
          <w:szCs w:val="18"/>
          <w:lang w:val="en-IN" w:bidi="hi-IN"/>
        </w:rPr>
      </w:pPr>
      <w:r w:rsidRPr="004864A5">
        <w:rPr>
          <w:rFonts w:ascii="Calibri" w:eastAsia="Times New Roman" w:hAnsi="Calibri" w:cs="Calibri"/>
          <w:sz w:val="18"/>
          <w:szCs w:val="18"/>
          <w:lang w:val="en-IN" w:bidi="hi-IN"/>
        </w:rPr>
        <w:footnoteRef/>
      </w:r>
      <w:r w:rsidRPr="004864A5">
        <w:rPr>
          <w:rFonts w:ascii="Calibri" w:eastAsia="Times New Roman" w:hAnsi="Calibri" w:cs="Calibri"/>
          <w:sz w:val="18"/>
          <w:szCs w:val="18"/>
          <w:lang w:val="en-IN" w:bidi="hi-IN"/>
        </w:rPr>
        <w:t xml:space="preserve"> </w:t>
      </w:r>
      <w:r w:rsidR="00926522">
        <w:rPr>
          <w:rFonts w:ascii="Calibri" w:eastAsia="Times New Roman" w:hAnsi="Calibri" w:cs="Calibri"/>
          <w:sz w:val="18"/>
          <w:szCs w:val="18"/>
          <w:lang w:val="en-IN" w:bidi="hi-IN"/>
        </w:rPr>
        <w:t xml:space="preserve">Countries considered as </w:t>
      </w:r>
      <w:r w:rsidR="00926522" w:rsidRPr="004864A5">
        <w:rPr>
          <w:rFonts w:ascii="Calibri" w:eastAsia="Times New Roman" w:hAnsi="Calibri" w:cs="Calibri"/>
          <w:sz w:val="18"/>
          <w:szCs w:val="18"/>
          <w:lang w:val="en-IN" w:bidi="hi-IN"/>
        </w:rPr>
        <w:t>Southern Africa</w:t>
      </w:r>
      <w:r w:rsidR="00926522">
        <w:rPr>
          <w:rFonts w:ascii="Calibri" w:eastAsia="Times New Roman" w:hAnsi="Calibri" w:cs="Calibri"/>
          <w:sz w:val="18"/>
          <w:szCs w:val="18"/>
          <w:lang w:val="en-IN" w:bidi="hi-IN"/>
        </w:rPr>
        <w:t>n countries by the</w:t>
      </w:r>
      <w:r w:rsidR="00926522">
        <w:rPr>
          <w:rFonts w:ascii="Calibri" w:eastAsia="Times New Roman" w:hAnsi="Calibri" w:cs="Calibri"/>
          <w:sz w:val="18"/>
          <w:szCs w:val="18"/>
          <w:lang w:val="en-IN" w:bidi="hi-IN"/>
        </w:rPr>
        <w:t xml:space="preserve"> </w:t>
      </w:r>
      <w:r w:rsidRPr="004864A5">
        <w:rPr>
          <w:rFonts w:ascii="Calibri" w:eastAsia="Times New Roman" w:hAnsi="Calibri" w:cs="Calibri"/>
          <w:sz w:val="18"/>
          <w:szCs w:val="18"/>
          <w:lang w:val="en-IN" w:bidi="hi-IN"/>
        </w:rPr>
        <w:t>Southern African Development Community</w:t>
      </w:r>
      <w:r w:rsidRPr="004864A5">
        <w:rPr>
          <w:rFonts w:ascii="Calibri" w:eastAsia="Times New Roman" w:hAnsi="Calibri" w:cs="Calibri"/>
          <w:sz w:val="18"/>
          <w:szCs w:val="18"/>
          <w:lang w:val="en-IN" w:bidi="hi-IN"/>
        </w:rPr>
        <w:t xml:space="preserve"> </w:t>
      </w:r>
      <w:r w:rsidR="00926522">
        <w:rPr>
          <w:rFonts w:ascii="Calibri" w:eastAsia="Times New Roman" w:hAnsi="Calibri" w:cs="Calibri"/>
          <w:sz w:val="18"/>
          <w:szCs w:val="18"/>
          <w:lang w:val="en-IN" w:bidi="hi-IN"/>
        </w:rPr>
        <w:t>are</w:t>
      </w:r>
      <w:r w:rsidRPr="004864A5">
        <w:rPr>
          <w:rFonts w:ascii="Calibri" w:eastAsia="Times New Roman" w:hAnsi="Calibri" w:cs="Calibri"/>
          <w:sz w:val="18"/>
          <w:szCs w:val="18"/>
          <w:lang w:val="en-IN" w:bidi="hi-IN"/>
        </w:rPr>
        <w:t xml:space="preserve">: </w:t>
      </w:r>
      <w:r w:rsidRPr="004864A5">
        <w:rPr>
          <w:rFonts w:ascii="Calibri" w:eastAsia="Times New Roman" w:hAnsi="Calibri" w:cs="Calibri"/>
          <w:sz w:val="18"/>
          <w:szCs w:val="18"/>
          <w:lang w:val="en-IN" w:bidi="hi-IN"/>
        </w:rPr>
        <w:t>Angola, Botswana, Comoros, Democratic Republic of the Congo, Eswatini, Lesotho, Madagascar, Malawi, Mauritius, Mozambique, Namibia, Seychelles, South Africa, Tanzania, Zambia, Zimbabwe</w:t>
      </w:r>
      <w:r>
        <w:rPr>
          <w:rFonts w:ascii="Calibri" w:eastAsia="Times New Roman" w:hAnsi="Calibri" w:cs="Calibri"/>
          <w:sz w:val="18"/>
          <w:szCs w:val="18"/>
          <w:lang w:val="en-IN" w:bidi="hi-IN"/>
        </w:rPr>
        <w:t>,</w:t>
      </w:r>
    </w:p>
  </w:footnote>
  <w:footnote w:id="3">
    <w:p w14:paraId="45FF4661" w14:textId="0E461252" w:rsidR="00712927" w:rsidRDefault="00712927" w:rsidP="00C953DB">
      <w:pPr>
        <w:pStyle w:val="Notedebasdepage"/>
      </w:pPr>
      <w:r>
        <w:rPr>
          <w:rStyle w:val="Appelnotedebasdep"/>
        </w:rPr>
        <w:footnoteRef/>
      </w:r>
      <w:r>
        <w:t xml:space="preserve"> </w:t>
      </w:r>
      <w:r w:rsidRPr="00AE1616">
        <w:rPr>
          <w:rFonts w:ascii="Calibri" w:eastAsia="Times New Roman" w:hAnsi="Calibri" w:cs="Calibri"/>
          <w:sz w:val="18"/>
          <w:szCs w:val="18"/>
          <w:lang w:val="en-IN" w:bidi="hi-IN"/>
        </w:rPr>
        <w:t>The International Disability Alliance understands the term “under-represented groups” to be those among persons with disabilities who enjoy less visibility in decision making processes. The disability movement, like other social movements, is not homogenous. There are some groups that have traditionally been less included in participatory processes, or harder to reach, or face higher barriers to participation such as: persons who are deafblind, persons with intellectual disabilities, persons with psychosocial disabilities, persons with autism</w:t>
      </w:r>
      <w:r>
        <w:rPr>
          <w:rFonts w:ascii="Calibri" w:eastAsia="Times New Roman" w:hAnsi="Calibri" w:cs="Calibri"/>
          <w:sz w:val="18"/>
          <w:szCs w:val="18"/>
          <w:lang w:val="en-IN" w:bidi="hi-IN"/>
        </w:rPr>
        <w:t>, hard of hearing people</w:t>
      </w:r>
      <w:r w:rsidR="00F3431A">
        <w:rPr>
          <w:rFonts w:ascii="Calibri" w:eastAsia="Times New Roman" w:hAnsi="Calibri" w:cs="Calibri"/>
          <w:sz w:val="18"/>
          <w:szCs w:val="18"/>
          <w:lang w:val="en-IN" w:bidi="hi-IN"/>
        </w:rPr>
        <w:t>, D</w:t>
      </w:r>
      <w:r w:rsidRPr="00AE1616">
        <w:rPr>
          <w:rFonts w:ascii="Calibri" w:eastAsia="Times New Roman" w:hAnsi="Calibri" w:cs="Calibri"/>
          <w:sz w:val="18"/>
          <w:szCs w:val="18"/>
          <w:lang w:val="en-IN" w:bidi="hi-IN"/>
        </w:rPr>
        <w:t>eaf people</w:t>
      </w:r>
      <w:r w:rsidR="00F3431A">
        <w:rPr>
          <w:rFonts w:ascii="Calibri" w:eastAsia="Times New Roman" w:hAnsi="Calibri" w:cs="Calibri"/>
          <w:sz w:val="18"/>
          <w:szCs w:val="18"/>
          <w:lang w:val="en-IN" w:bidi="hi-IN"/>
        </w:rPr>
        <w:t>, people with albinism, people with cerebral palsy, among others</w:t>
      </w:r>
      <w:r w:rsidRPr="00AE1616">
        <w:rPr>
          <w:rFonts w:ascii="Calibri" w:eastAsia="Times New Roman" w:hAnsi="Calibri" w:cs="Calibri"/>
          <w:sz w:val="18"/>
          <w:szCs w:val="18"/>
          <w:lang w:val="en-IN" w:bidi="hi-IN"/>
        </w:rPr>
        <w:t xml:space="preserve">. It can also include those who may be less engaged in decision making such as women, children, </w:t>
      </w:r>
      <w:r>
        <w:rPr>
          <w:rFonts w:ascii="Calibri" w:eastAsia="Times New Roman" w:hAnsi="Calibri" w:cs="Calibri"/>
          <w:sz w:val="18"/>
          <w:szCs w:val="18"/>
          <w:lang w:val="en-IN" w:bidi="hi-IN"/>
        </w:rPr>
        <w:t xml:space="preserve">young, </w:t>
      </w:r>
      <w:r w:rsidRPr="00AE1616">
        <w:rPr>
          <w:rFonts w:ascii="Calibri" w:eastAsia="Times New Roman" w:hAnsi="Calibri" w:cs="Calibri"/>
          <w:sz w:val="18"/>
          <w:szCs w:val="18"/>
          <w:lang w:val="en-IN" w:bidi="hi-IN"/>
        </w:rPr>
        <w:t>older people and indigenous persons, as well as people from diverse faith, ethnicity, caste, class, sexual orientation or gender identity minorities. This understanding may differ in different countries, culture and contexts</w:t>
      </w:r>
      <w:r w:rsidR="00862C53">
        <w:rPr>
          <w:rFonts w:ascii="Calibri" w:eastAsia="Times New Roman" w:hAnsi="Calibri" w:cs="Calibri"/>
          <w:sz w:val="18"/>
          <w:szCs w:val="18"/>
          <w:lang w:val="en-IN" w:bidi="hi-I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DA64" w14:textId="2928833F" w:rsidR="007804E8" w:rsidRDefault="007804E8">
    <w:pPr>
      <w:pStyle w:val="En-tte"/>
    </w:pPr>
    <w:r w:rsidRPr="007804E8">
      <w:drawing>
        <wp:anchor distT="0" distB="0" distL="114300" distR="114300" simplePos="0" relativeHeight="251659264" behindDoc="0" locked="0" layoutInCell="1" allowOverlap="1" wp14:anchorId="3CF5E74C" wp14:editId="0A82B972">
          <wp:simplePos x="0" y="0"/>
          <wp:positionH relativeFrom="column">
            <wp:posOffset>4320369</wp:posOffset>
          </wp:positionH>
          <wp:positionV relativeFrom="paragraph">
            <wp:posOffset>135255</wp:posOffset>
          </wp:positionV>
          <wp:extent cx="1562735" cy="784860"/>
          <wp:effectExtent l="0" t="0" r="0" b="2540"/>
          <wp:wrapThrough wrapText="bothSides">
            <wp:wrapPolygon edited="0">
              <wp:start x="0" y="0"/>
              <wp:lineTo x="0" y="21320"/>
              <wp:lineTo x="21416" y="21320"/>
              <wp:lineTo x="21416" y="0"/>
              <wp:lineTo x="0" y="0"/>
            </wp:wrapPolygon>
          </wp:wrapThrough>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735" cy="784860"/>
                  </a:xfrm>
                  <a:prstGeom prst="rect">
                    <a:avLst/>
                  </a:prstGeom>
                  <a:noFill/>
                </pic:spPr>
              </pic:pic>
            </a:graphicData>
          </a:graphic>
          <wp14:sizeRelH relativeFrom="margin">
            <wp14:pctWidth>0</wp14:pctWidth>
          </wp14:sizeRelH>
          <wp14:sizeRelV relativeFrom="margin">
            <wp14:pctHeight>0</wp14:pctHeight>
          </wp14:sizeRelV>
        </wp:anchor>
      </w:drawing>
    </w:r>
    <w:r w:rsidRPr="007804E8">
      <w:drawing>
        <wp:anchor distT="0" distB="0" distL="114300" distR="114300" simplePos="0" relativeHeight="251660288" behindDoc="0" locked="0" layoutInCell="1" hidden="0" allowOverlap="1" wp14:anchorId="4D443933" wp14:editId="4D533756">
          <wp:simplePos x="0" y="0"/>
          <wp:positionH relativeFrom="column">
            <wp:posOffset>0</wp:posOffset>
          </wp:positionH>
          <wp:positionV relativeFrom="paragraph">
            <wp:posOffset>238760</wp:posOffset>
          </wp:positionV>
          <wp:extent cx="1737360" cy="681990"/>
          <wp:effectExtent l="0" t="0" r="0" b="0"/>
          <wp:wrapSquare wrapText="bothSides" distT="0" distB="0" distL="114300" distR="114300"/>
          <wp:docPr id="11" name="image4.png" descr="Logo Ministry of Foreign Affairs of Finland."/>
          <wp:cNvGraphicFramePr/>
          <a:graphic xmlns:a="http://schemas.openxmlformats.org/drawingml/2006/main">
            <a:graphicData uri="http://schemas.openxmlformats.org/drawingml/2006/picture">
              <pic:pic xmlns:pic="http://schemas.openxmlformats.org/drawingml/2006/picture">
                <pic:nvPicPr>
                  <pic:cNvPr id="0" name="image4.png" descr="Logo Ministry of Foreign Affairs of Finland."/>
                  <pic:cNvPicPr preferRelativeResize="0"/>
                </pic:nvPicPr>
                <pic:blipFill>
                  <a:blip r:embed="rId2"/>
                  <a:srcRect/>
                  <a:stretch>
                    <a:fillRect/>
                  </a:stretch>
                </pic:blipFill>
                <pic:spPr>
                  <a:xfrm>
                    <a:off x="0" y="0"/>
                    <a:ext cx="1737360" cy="681990"/>
                  </a:xfrm>
                  <a:prstGeom prst="rect">
                    <a:avLst/>
                  </a:prstGeom>
                  <a:ln/>
                </pic:spPr>
              </pic:pic>
            </a:graphicData>
          </a:graphic>
        </wp:anchor>
      </w:drawing>
    </w:r>
  </w:p>
  <w:p w14:paraId="123FCD33" w14:textId="2666EA72" w:rsidR="007804E8" w:rsidRDefault="007804E8">
    <w:pPr>
      <w:pStyle w:val="En-tte"/>
    </w:pPr>
  </w:p>
  <w:p w14:paraId="553CE9D6" w14:textId="1CE38917" w:rsidR="007804E8" w:rsidRDefault="007804E8">
    <w:pPr>
      <w:pStyle w:val="En-tte"/>
    </w:pPr>
  </w:p>
  <w:p w14:paraId="600F02BB" w14:textId="3AE8B5CC" w:rsidR="007804E8" w:rsidRDefault="007804E8">
    <w:pPr>
      <w:pStyle w:val="En-tte"/>
    </w:pPr>
  </w:p>
  <w:p w14:paraId="0C93223D" w14:textId="03952A72" w:rsidR="007804E8" w:rsidRDefault="007804E8">
    <w:pPr>
      <w:pStyle w:val="En-tte"/>
    </w:pPr>
  </w:p>
  <w:p w14:paraId="0C8A184E" w14:textId="28D3275A" w:rsidR="007804E8" w:rsidRDefault="007804E8">
    <w:pPr>
      <w:pStyle w:val="En-tte"/>
    </w:pPr>
  </w:p>
  <w:p w14:paraId="385F85E4" w14:textId="77777777" w:rsidR="007804E8" w:rsidRDefault="007804E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30946"/>
    <w:multiLevelType w:val="multilevel"/>
    <w:tmpl w:val="E5A6A55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sz w:val="28"/>
        <w:szCs w:val="28"/>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 w15:restartNumberingAfterBreak="0">
    <w:nsid w:val="2CE932A4"/>
    <w:multiLevelType w:val="multilevel"/>
    <w:tmpl w:val="087CD4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D8A28CD"/>
    <w:multiLevelType w:val="hybridMultilevel"/>
    <w:tmpl w:val="1388C4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E2B17"/>
    <w:multiLevelType w:val="multilevel"/>
    <w:tmpl w:val="7BC22F6E"/>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7651F5"/>
    <w:multiLevelType w:val="hybridMultilevel"/>
    <w:tmpl w:val="D7CC6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F1798E"/>
    <w:multiLevelType w:val="multilevel"/>
    <w:tmpl w:val="3D0A1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AC0"/>
    <w:rsid w:val="00047E82"/>
    <w:rsid w:val="0008735B"/>
    <w:rsid w:val="000E7A71"/>
    <w:rsid w:val="001408F7"/>
    <w:rsid w:val="00171414"/>
    <w:rsid w:val="00171616"/>
    <w:rsid w:val="001E6BF4"/>
    <w:rsid w:val="002826E2"/>
    <w:rsid w:val="002C0101"/>
    <w:rsid w:val="002C3DD7"/>
    <w:rsid w:val="002C6EB5"/>
    <w:rsid w:val="002C7A6A"/>
    <w:rsid w:val="0030631D"/>
    <w:rsid w:val="003B5AD6"/>
    <w:rsid w:val="003F2FA3"/>
    <w:rsid w:val="00482634"/>
    <w:rsid w:val="00485727"/>
    <w:rsid w:val="004864A5"/>
    <w:rsid w:val="00486AC0"/>
    <w:rsid w:val="005124C3"/>
    <w:rsid w:val="00515E71"/>
    <w:rsid w:val="0055277B"/>
    <w:rsid w:val="00552875"/>
    <w:rsid w:val="005B356C"/>
    <w:rsid w:val="005C31C0"/>
    <w:rsid w:val="005D34BB"/>
    <w:rsid w:val="00631E13"/>
    <w:rsid w:val="006E1098"/>
    <w:rsid w:val="00712927"/>
    <w:rsid w:val="0071311F"/>
    <w:rsid w:val="007740C3"/>
    <w:rsid w:val="00777B78"/>
    <w:rsid w:val="007804E8"/>
    <w:rsid w:val="00796254"/>
    <w:rsid w:val="007A3BBA"/>
    <w:rsid w:val="007A3FDF"/>
    <w:rsid w:val="007A4F34"/>
    <w:rsid w:val="007D2196"/>
    <w:rsid w:val="00857234"/>
    <w:rsid w:val="00862C53"/>
    <w:rsid w:val="0089638E"/>
    <w:rsid w:val="00901F9B"/>
    <w:rsid w:val="00926522"/>
    <w:rsid w:val="00952878"/>
    <w:rsid w:val="009C20CD"/>
    <w:rsid w:val="00A72A85"/>
    <w:rsid w:val="00AE193D"/>
    <w:rsid w:val="00B20F4E"/>
    <w:rsid w:val="00B40897"/>
    <w:rsid w:val="00C36FBF"/>
    <w:rsid w:val="00C953DB"/>
    <w:rsid w:val="00CE1EC3"/>
    <w:rsid w:val="00CE44F8"/>
    <w:rsid w:val="00CF56C2"/>
    <w:rsid w:val="00D13321"/>
    <w:rsid w:val="00D71900"/>
    <w:rsid w:val="00D821E3"/>
    <w:rsid w:val="00DA16A6"/>
    <w:rsid w:val="00DA593D"/>
    <w:rsid w:val="00E0379E"/>
    <w:rsid w:val="00E21D3C"/>
    <w:rsid w:val="00E244D0"/>
    <w:rsid w:val="00E343A8"/>
    <w:rsid w:val="00E70DE8"/>
    <w:rsid w:val="00EC568D"/>
    <w:rsid w:val="00F3431A"/>
    <w:rsid w:val="00F5081D"/>
    <w:rsid w:val="00FC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72BB"/>
  <w15:chartTrackingRefBased/>
  <w15:docId w15:val="{7C6187E3-D929-41D0-9BF7-272F6290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86AC0"/>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86AC0"/>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86AC0"/>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486AC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486AC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86AC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86AC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86AC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86AC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86AC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486AC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86AC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486AC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486AC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86AC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86AC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86AC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86AC0"/>
    <w:rPr>
      <w:rFonts w:asciiTheme="majorHAnsi" w:eastAsiaTheme="majorEastAsia" w:hAnsiTheme="majorHAnsi" w:cstheme="majorBidi"/>
      <w:i/>
      <w:iCs/>
      <w:color w:val="272727" w:themeColor="text1" w:themeTint="D8"/>
      <w:sz w:val="21"/>
      <w:szCs w:val="21"/>
    </w:rPr>
  </w:style>
  <w:style w:type="paragraph" w:customStyle="1" w:styleId="Normal0">
    <w:name w:val="Normal0"/>
    <w:qFormat/>
    <w:rsid w:val="00486AC0"/>
    <w:pPr>
      <w:spacing w:after="200" w:line="276" w:lineRule="auto"/>
    </w:pPr>
    <w:rPr>
      <w:rFonts w:ascii="Calibri" w:eastAsia="Calibri" w:hAnsi="Calibri" w:cs="Times New Roman"/>
    </w:rPr>
  </w:style>
  <w:style w:type="paragraph" w:styleId="Paragraphedeliste">
    <w:name w:val="List Paragraph"/>
    <w:aliases w:val="Number Bullets,List Paragraph2,Normal numbered,OBC Bullet,Dot pt,F5 List Paragraph,List Paragraph1,No Spacing1,List Paragraph Char Char Char,Indicator Text,Numbered Para 1,Bullet 1,Bullet Points,MAIN CONTENT,Colorful List - Accent 11"/>
    <w:basedOn w:val="Normal0"/>
    <w:link w:val="ParagraphedelisteCar"/>
    <w:uiPriority w:val="34"/>
    <w:qFormat/>
    <w:rsid w:val="00486AC0"/>
    <w:pPr>
      <w:ind w:left="720"/>
      <w:contextualSpacing/>
    </w:pPr>
  </w:style>
  <w:style w:type="character" w:customStyle="1" w:styleId="ParagraphedelisteCar">
    <w:name w:val="Paragraphe de liste Car"/>
    <w:aliases w:val="Number Bullets Car,List Paragraph2 Car,Normal numbered Car,OBC Bullet Car,Dot pt Car,F5 List Paragraph Car,List Paragraph1 Car,No Spacing1 Car,List Paragraph Char Char Char Car,Indicator Text Car,Numbered Para 1 Car,Bullet 1 Car"/>
    <w:basedOn w:val="Policepardfaut"/>
    <w:link w:val="Paragraphedeliste"/>
    <w:uiPriority w:val="34"/>
    <w:qFormat/>
    <w:locked/>
    <w:rsid w:val="00486AC0"/>
    <w:rPr>
      <w:rFonts w:ascii="Calibri" w:eastAsia="Calibri" w:hAnsi="Calibri" w:cs="Times New Roman"/>
    </w:rPr>
  </w:style>
  <w:style w:type="paragraph" w:styleId="NormalWeb">
    <w:name w:val="Normal (Web)"/>
    <w:basedOn w:val="Normal"/>
    <w:uiPriority w:val="99"/>
    <w:semiHidden/>
    <w:unhideWhenUsed/>
    <w:rsid w:val="00D13321"/>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13321"/>
    <w:rPr>
      <w:i/>
      <w:iCs/>
    </w:rPr>
  </w:style>
  <w:style w:type="character" w:styleId="Lienhypertexte">
    <w:name w:val="Hyperlink"/>
    <w:basedOn w:val="Policepardfaut"/>
    <w:uiPriority w:val="99"/>
    <w:unhideWhenUsed/>
    <w:rsid w:val="00482634"/>
    <w:rPr>
      <w:color w:val="0563C1" w:themeColor="hyperlink"/>
      <w:u w:val="single"/>
    </w:rPr>
  </w:style>
  <w:style w:type="paragraph" w:customStyle="1" w:styleId="heading40">
    <w:name w:val="heading 40"/>
    <w:basedOn w:val="Normal0"/>
    <w:next w:val="Normal0"/>
    <w:uiPriority w:val="9"/>
    <w:qFormat/>
    <w:rsid w:val="005D34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Sansinterligne">
    <w:name w:val="No Spacing"/>
    <w:uiPriority w:val="1"/>
    <w:qFormat/>
    <w:rsid w:val="005D34BB"/>
    <w:pPr>
      <w:spacing w:after="0" w:line="240" w:lineRule="auto"/>
    </w:pPr>
  </w:style>
  <w:style w:type="character" w:styleId="Marquedecommentaire">
    <w:name w:val="annotation reference"/>
    <w:basedOn w:val="Policepardfaut"/>
    <w:uiPriority w:val="99"/>
    <w:semiHidden/>
    <w:unhideWhenUsed/>
    <w:rsid w:val="003F2FA3"/>
    <w:rPr>
      <w:sz w:val="16"/>
      <w:szCs w:val="16"/>
    </w:rPr>
  </w:style>
  <w:style w:type="paragraph" w:styleId="Commentaire">
    <w:name w:val="annotation text"/>
    <w:basedOn w:val="Normal"/>
    <w:link w:val="CommentaireCar"/>
    <w:uiPriority w:val="99"/>
    <w:unhideWhenUsed/>
    <w:rsid w:val="003F2FA3"/>
    <w:pPr>
      <w:spacing w:line="240" w:lineRule="auto"/>
    </w:pPr>
    <w:rPr>
      <w:sz w:val="20"/>
      <w:szCs w:val="20"/>
    </w:rPr>
  </w:style>
  <w:style w:type="character" w:customStyle="1" w:styleId="CommentaireCar">
    <w:name w:val="Commentaire Car"/>
    <w:basedOn w:val="Policepardfaut"/>
    <w:link w:val="Commentaire"/>
    <w:uiPriority w:val="99"/>
    <w:rsid w:val="003F2FA3"/>
    <w:rPr>
      <w:sz w:val="20"/>
      <w:szCs w:val="20"/>
    </w:rPr>
  </w:style>
  <w:style w:type="paragraph" w:styleId="Objetducommentaire">
    <w:name w:val="annotation subject"/>
    <w:basedOn w:val="Commentaire"/>
    <w:next w:val="Commentaire"/>
    <w:link w:val="ObjetducommentaireCar"/>
    <w:uiPriority w:val="99"/>
    <w:semiHidden/>
    <w:unhideWhenUsed/>
    <w:rsid w:val="003F2FA3"/>
    <w:rPr>
      <w:b/>
      <w:bCs/>
    </w:rPr>
  </w:style>
  <w:style w:type="character" w:customStyle="1" w:styleId="ObjetducommentaireCar">
    <w:name w:val="Objet du commentaire Car"/>
    <w:basedOn w:val="CommentaireCar"/>
    <w:link w:val="Objetducommentaire"/>
    <w:uiPriority w:val="99"/>
    <w:semiHidden/>
    <w:rsid w:val="003F2FA3"/>
    <w:rPr>
      <w:b/>
      <w:bCs/>
      <w:sz w:val="20"/>
      <w:szCs w:val="20"/>
    </w:rPr>
  </w:style>
  <w:style w:type="paragraph" w:styleId="Rvision">
    <w:name w:val="Revision"/>
    <w:hidden/>
    <w:uiPriority w:val="99"/>
    <w:semiHidden/>
    <w:rsid w:val="001E6BF4"/>
    <w:pPr>
      <w:spacing w:after="0" w:line="240" w:lineRule="auto"/>
    </w:pPr>
  </w:style>
  <w:style w:type="paragraph" w:styleId="Textedebulles">
    <w:name w:val="Balloon Text"/>
    <w:basedOn w:val="Normal"/>
    <w:link w:val="TextedebullesCar"/>
    <w:uiPriority w:val="99"/>
    <w:semiHidden/>
    <w:unhideWhenUsed/>
    <w:rsid w:val="007804E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804E8"/>
    <w:rPr>
      <w:rFonts w:ascii="Times New Roman" w:hAnsi="Times New Roman" w:cs="Times New Roman"/>
      <w:sz w:val="18"/>
      <w:szCs w:val="18"/>
    </w:rPr>
  </w:style>
  <w:style w:type="paragraph" w:styleId="En-tte">
    <w:name w:val="header"/>
    <w:basedOn w:val="Normal"/>
    <w:link w:val="En-tteCar"/>
    <w:uiPriority w:val="99"/>
    <w:unhideWhenUsed/>
    <w:rsid w:val="007804E8"/>
    <w:pPr>
      <w:tabs>
        <w:tab w:val="center" w:pos="4536"/>
        <w:tab w:val="right" w:pos="9072"/>
      </w:tabs>
      <w:spacing w:after="0" w:line="240" w:lineRule="auto"/>
    </w:pPr>
  </w:style>
  <w:style w:type="character" w:customStyle="1" w:styleId="En-tteCar">
    <w:name w:val="En-tête Car"/>
    <w:basedOn w:val="Policepardfaut"/>
    <w:link w:val="En-tte"/>
    <w:uiPriority w:val="99"/>
    <w:rsid w:val="007804E8"/>
  </w:style>
  <w:style w:type="paragraph" w:styleId="Pieddepage">
    <w:name w:val="footer"/>
    <w:basedOn w:val="Normal"/>
    <w:link w:val="PieddepageCar"/>
    <w:uiPriority w:val="99"/>
    <w:unhideWhenUsed/>
    <w:rsid w:val="007804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4E8"/>
  </w:style>
  <w:style w:type="paragraph" w:styleId="Notedebasdepage">
    <w:name w:val="footnote text"/>
    <w:basedOn w:val="Normal"/>
    <w:link w:val="NotedebasdepageCar"/>
    <w:uiPriority w:val="99"/>
    <w:semiHidden/>
    <w:unhideWhenUsed/>
    <w:rsid w:val="007129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2927"/>
    <w:rPr>
      <w:sz w:val="20"/>
      <w:szCs w:val="20"/>
    </w:rPr>
  </w:style>
  <w:style w:type="character" w:styleId="Appelnotedebasdep">
    <w:name w:val="footnote reference"/>
    <w:basedOn w:val="Policepardfaut"/>
    <w:uiPriority w:val="99"/>
    <w:semiHidden/>
    <w:unhideWhenUsed/>
    <w:rsid w:val="00712927"/>
    <w:rPr>
      <w:vertAlign w:val="superscript"/>
    </w:rPr>
  </w:style>
  <w:style w:type="character" w:styleId="Mentionnonrsolue">
    <w:name w:val="Unresolved Mention"/>
    <w:basedOn w:val="Policepardfaut"/>
    <w:uiPriority w:val="99"/>
    <w:semiHidden/>
    <w:unhideWhenUsed/>
    <w:rsid w:val="00C953DB"/>
    <w:rPr>
      <w:color w:val="605E5C"/>
      <w:shd w:val="clear" w:color="auto" w:fill="E1DFDD"/>
    </w:rPr>
  </w:style>
  <w:style w:type="character" w:styleId="Lienhypertextesuivivisit">
    <w:name w:val="FollowedHyperlink"/>
    <w:basedOn w:val="Policepardfaut"/>
    <w:uiPriority w:val="99"/>
    <w:semiHidden/>
    <w:unhideWhenUsed/>
    <w:rsid w:val="00AE19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38473">
      <w:bodyDiv w:val="1"/>
      <w:marLeft w:val="0"/>
      <w:marRight w:val="0"/>
      <w:marTop w:val="0"/>
      <w:marBottom w:val="0"/>
      <w:divBdr>
        <w:top w:val="none" w:sz="0" w:space="0" w:color="auto"/>
        <w:left w:val="none" w:sz="0" w:space="0" w:color="auto"/>
        <w:bottom w:val="none" w:sz="0" w:space="0" w:color="auto"/>
        <w:right w:val="none" w:sz="0" w:space="0" w:color="auto"/>
      </w:divBdr>
    </w:div>
    <w:div w:id="168839713">
      <w:bodyDiv w:val="1"/>
      <w:marLeft w:val="0"/>
      <w:marRight w:val="0"/>
      <w:marTop w:val="0"/>
      <w:marBottom w:val="0"/>
      <w:divBdr>
        <w:top w:val="none" w:sz="0" w:space="0" w:color="auto"/>
        <w:left w:val="none" w:sz="0" w:space="0" w:color="auto"/>
        <w:bottom w:val="none" w:sz="0" w:space="0" w:color="auto"/>
        <w:right w:val="none" w:sz="0" w:space="0" w:color="auto"/>
      </w:divBdr>
    </w:div>
    <w:div w:id="479348272">
      <w:bodyDiv w:val="1"/>
      <w:marLeft w:val="0"/>
      <w:marRight w:val="0"/>
      <w:marTop w:val="0"/>
      <w:marBottom w:val="0"/>
      <w:divBdr>
        <w:top w:val="none" w:sz="0" w:space="0" w:color="auto"/>
        <w:left w:val="none" w:sz="0" w:space="0" w:color="auto"/>
        <w:bottom w:val="none" w:sz="0" w:space="0" w:color="auto"/>
        <w:right w:val="none" w:sz="0" w:space="0" w:color="auto"/>
      </w:divBdr>
    </w:div>
    <w:div w:id="697045717">
      <w:bodyDiv w:val="1"/>
      <w:marLeft w:val="0"/>
      <w:marRight w:val="0"/>
      <w:marTop w:val="0"/>
      <w:marBottom w:val="0"/>
      <w:divBdr>
        <w:top w:val="none" w:sz="0" w:space="0" w:color="auto"/>
        <w:left w:val="none" w:sz="0" w:space="0" w:color="auto"/>
        <w:bottom w:val="none" w:sz="0" w:space="0" w:color="auto"/>
        <w:right w:val="none" w:sz="0" w:space="0" w:color="auto"/>
      </w:divBdr>
    </w:div>
    <w:div w:id="798109948">
      <w:bodyDiv w:val="1"/>
      <w:marLeft w:val="0"/>
      <w:marRight w:val="0"/>
      <w:marTop w:val="0"/>
      <w:marBottom w:val="0"/>
      <w:divBdr>
        <w:top w:val="none" w:sz="0" w:space="0" w:color="auto"/>
        <w:left w:val="none" w:sz="0" w:space="0" w:color="auto"/>
        <w:bottom w:val="none" w:sz="0" w:space="0" w:color="auto"/>
        <w:right w:val="none" w:sz="0" w:space="0" w:color="auto"/>
      </w:divBdr>
    </w:div>
    <w:div w:id="947853663">
      <w:bodyDiv w:val="1"/>
      <w:marLeft w:val="0"/>
      <w:marRight w:val="0"/>
      <w:marTop w:val="0"/>
      <w:marBottom w:val="0"/>
      <w:divBdr>
        <w:top w:val="none" w:sz="0" w:space="0" w:color="auto"/>
        <w:left w:val="none" w:sz="0" w:space="0" w:color="auto"/>
        <w:bottom w:val="none" w:sz="0" w:space="0" w:color="auto"/>
        <w:right w:val="none" w:sz="0" w:space="0" w:color="auto"/>
      </w:divBdr>
    </w:div>
    <w:div w:id="1227300233">
      <w:bodyDiv w:val="1"/>
      <w:marLeft w:val="0"/>
      <w:marRight w:val="0"/>
      <w:marTop w:val="0"/>
      <w:marBottom w:val="0"/>
      <w:divBdr>
        <w:top w:val="none" w:sz="0" w:space="0" w:color="auto"/>
        <w:left w:val="none" w:sz="0" w:space="0" w:color="auto"/>
        <w:bottom w:val="none" w:sz="0" w:space="0" w:color="auto"/>
        <w:right w:val="none" w:sz="0" w:space="0" w:color="auto"/>
      </w:divBdr>
    </w:div>
    <w:div w:id="1867862452">
      <w:bodyDiv w:val="1"/>
      <w:marLeft w:val="0"/>
      <w:marRight w:val="0"/>
      <w:marTop w:val="0"/>
      <w:marBottom w:val="0"/>
      <w:divBdr>
        <w:top w:val="none" w:sz="0" w:space="0" w:color="auto"/>
        <w:left w:val="none" w:sz="0" w:space="0" w:color="auto"/>
        <w:bottom w:val="none" w:sz="0" w:space="0" w:color="auto"/>
        <w:right w:val="none" w:sz="0" w:space="0" w:color="auto"/>
      </w:divBdr>
    </w:div>
    <w:div w:id="20428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ida-secretariat.org" TargetMode="External"/><Relationship Id="rId3" Type="http://schemas.openxmlformats.org/officeDocument/2006/relationships/settings" Target="settings.xml"/><Relationship Id="rId7" Type="http://schemas.openxmlformats.org/officeDocument/2006/relationships/hyperlink" Target="https://www.globaldisabilitysummit.org/rails/active_storage/blobs/redirect/eyJfcmFpbHMiOnsibWVzc2FnZSI6IkJBaHBBbEFDIiwiZXhwIjpudWxsLCJwdXIiOiJibG9iX2lkIn19--c6dd0a369851fafecfe32139683e85f25abe259b/Call%20for%20Action_GDS%20Youth%20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en/treaty-bodies/ces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1648</Words>
  <Characters>9859</Characters>
  <Application>Microsoft Office Word</Application>
  <DocSecurity>0</DocSecurity>
  <Lines>189</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Tchaurea Fleury</cp:lastModifiedBy>
  <cp:revision>39</cp:revision>
  <dcterms:created xsi:type="dcterms:W3CDTF">2022-08-06T12:17:00Z</dcterms:created>
  <dcterms:modified xsi:type="dcterms:W3CDTF">2022-08-06T16:29:00Z</dcterms:modified>
  <cp:category/>
</cp:coreProperties>
</file>