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5699" w14:textId="77777777" w:rsidR="00112163" w:rsidRPr="00112163" w:rsidRDefault="00326933" w:rsidP="00A34DFE">
      <w:pPr>
        <w:pStyle w:val="Heading1"/>
        <w:bidi/>
        <w:rPr>
          <w:rFonts w:cs="Arial"/>
          <w:b/>
          <w:bCs/>
        </w:rPr>
      </w:pPr>
      <w:r w:rsidRPr="002943B5">
        <w:rPr>
          <w:b/>
          <w:bCs/>
          <w:noProof/>
        </w:rPr>
        <w:drawing>
          <wp:anchor distT="0" distB="0" distL="114300" distR="114300" simplePos="0" relativeHeight="251658240" behindDoc="0" locked="0" layoutInCell="1" allowOverlap="1" wp14:anchorId="45F125A5" wp14:editId="21665E34">
            <wp:simplePos x="0" y="0"/>
            <wp:positionH relativeFrom="margin">
              <wp:posOffset>32385</wp:posOffset>
            </wp:positionH>
            <wp:positionV relativeFrom="margin">
              <wp:posOffset>-46990</wp:posOffset>
            </wp:positionV>
            <wp:extent cx="2044700" cy="850900"/>
            <wp:effectExtent l="0" t="0" r="0" b="6350"/>
            <wp:wrapSquare wrapText="bothSides"/>
            <wp:docPr id="1" name="Picture 1" descr="شعار التحالف الدولي للإعاق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15683" name="Picture 1" descr="IDA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50900"/>
                    </a:xfrm>
                    <a:prstGeom prst="rect">
                      <a:avLst/>
                    </a:prstGeom>
                  </pic:spPr>
                </pic:pic>
              </a:graphicData>
            </a:graphic>
            <wp14:sizeRelH relativeFrom="margin">
              <wp14:pctWidth>0</wp14:pctWidth>
            </wp14:sizeRelH>
            <wp14:sizeRelV relativeFrom="margin">
              <wp14:pctHeight>0</wp14:pctHeight>
            </wp14:sizeRelV>
          </wp:anchor>
        </w:drawing>
      </w:r>
      <w:r w:rsidR="00112163" w:rsidRPr="00112163">
        <w:rPr>
          <w:rFonts w:cs="Arial"/>
          <w:b/>
          <w:bCs/>
          <w:noProof/>
          <w:rtl/>
        </w:rPr>
        <w:drawing>
          <wp:inline distT="0" distB="0" distL="0" distR="0" wp14:anchorId="241F8159" wp14:editId="67B1F4E4">
            <wp:extent cx="2147570" cy="514350"/>
            <wp:effectExtent l="0" t="0" r="5080" b="0"/>
            <wp:docPr id="2" name="Picture 2" descr="شعار المفوضية السامية للأمم المتحدة لشؤون اللاجئين">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18875847" name="Picture 2" descr="UNHCR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7570" cy="514350"/>
                    </a:xfrm>
                    <a:prstGeom prst="rect">
                      <a:avLst/>
                    </a:prstGeom>
                    <a:noFill/>
                    <a:ln>
                      <a:noFill/>
                    </a:ln>
                  </pic:spPr>
                </pic:pic>
              </a:graphicData>
            </a:graphic>
          </wp:inline>
        </w:drawing>
      </w:r>
    </w:p>
    <w:p w14:paraId="1051AFD8" w14:textId="77777777" w:rsidR="00112163" w:rsidRPr="00112163" w:rsidRDefault="00112163" w:rsidP="00CE0310">
      <w:pPr>
        <w:rPr>
          <w:rFonts w:cs="Arial"/>
        </w:rPr>
      </w:pPr>
    </w:p>
    <w:p w14:paraId="563D06A8" w14:textId="77777777" w:rsidR="00112163" w:rsidRPr="00112163" w:rsidRDefault="00112163" w:rsidP="00A34DFE">
      <w:pPr>
        <w:pStyle w:val="Heading1"/>
        <w:bidi/>
        <w:rPr>
          <w:rFonts w:cs="Arial"/>
          <w:b/>
          <w:bCs/>
        </w:rPr>
      </w:pPr>
      <w:r w:rsidRPr="00112163">
        <w:rPr>
          <w:rFonts w:ascii="Arial" w:eastAsia="Arial" w:hAnsi="Arial" w:cs="Arial"/>
          <w:b/>
          <w:bCs/>
          <w:color w:val="2F5496"/>
          <w:rtl/>
        </w:rPr>
        <w:t xml:space="preserve">مقدمة </w:t>
      </w:r>
    </w:p>
    <w:p w14:paraId="5DA6D93D" w14:textId="77777777" w:rsidR="00112163" w:rsidRPr="00112163" w:rsidRDefault="00112163" w:rsidP="00AC09E2">
      <w:pPr>
        <w:rPr>
          <w:rFonts w:cs="Arial"/>
        </w:rPr>
      </w:pPr>
    </w:p>
    <w:p w14:paraId="2204695A" w14:textId="20F0CA55" w:rsidR="00112163" w:rsidRPr="00112163" w:rsidRDefault="00112163" w:rsidP="00973022">
      <w:pPr>
        <w:bidi/>
        <w:jc w:val="both"/>
        <w:rPr>
          <w:rFonts w:cs="Arial"/>
        </w:rPr>
      </w:pPr>
      <w:r w:rsidRPr="00112163">
        <w:rPr>
          <w:rFonts w:ascii="Arial" w:eastAsia="Arial" w:hAnsi="Arial" w:cs="Arial"/>
          <w:rtl/>
        </w:rPr>
        <w:t xml:space="preserve">في ديسمبر 2020، وقع التحالف الدولي للإعاقة (التحالف) والمفوضيةالسامية للأمم المتحدة لشؤون اللاجئين (المفوضية) مذكرة تفاهم لتسهيل التعاون بينهما وتحديد إطاره. ولتنفيذ الالتزامات الواردة في مذكرة التفاهم، تعتمد كلتا المنظمتين على المشاركة والدور النشط للأشخاص ذوي الإعاقة والمنظمات </w:t>
      </w:r>
      <w:r w:rsidR="00973022">
        <w:rPr>
          <w:rFonts w:ascii="Arial" w:eastAsia="Arial" w:hAnsi="Arial" w:cs="Arial" w:hint="cs"/>
          <w:rtl/>
        </w:rPr>
        <w:t xml:space="preserve"> التي تمثلهم</w:t>
      </w:r>
    </w:p>
    <w:p w14:paraId="576AA367" w14:textId="1C1C02DD" w:rsidR="00112163" w:rsidRPr="00112163" w:rsidRDefault="00112163" w:rsidP="004434B6">
      <w:pPr>
        <w:bidi/>
        <w:jc w:val="both"/>
        <w:rPr>
          <w:rFonts w:cs="Arial"/>
        </w:rPr>
      </w:pPr>
      <w:r w:rsidRPr="00112163">
        <w:rPr>
          <w:rFonts w:ascii="Arial" w:eastAsia="Arial" w:hAnsi="Arial" w:cs="Arial"/>
          <w:rtl/>
        </w:rPr>
        <w:t>تقدم هذه الوثيقة نظرة عامة موجزة على مجالات التعاون المحددة في مذكرة التفاهم. والهدف من ذلك هو توفير المعلومات والخلفية المطلوبة حتى يتمكن الأشخاص ذوو الإعاقة ومنظماتهم من الاستعداد للمشاركة في الأنشطة المستقبلية. تناقش هذه الورقة النقاط التالية:</w:t>
      </w:r>
    </w:p>
    <w:p w14:paraId="1724CC06"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هدف هذا التعاون وغاياته: ما الذي نريد تحقيقه؟ </w:t>
      </w:r>
    </w:p>
    <w:p w14:paraId="05639F00"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المجالات التي ستعمل فيها المنظمتان معًا: ما الذي نخطط للقيام به؟</w:t>
      </w:r>
    </w:p>
    <w:p w14:paraId="56A62214" w14:textId="508ED31A" w:rsidR="00112163" w:rsidRPr="00112163" w:rsidRDefault="00112163" w:rsidP="004434B6">
      <w:pPr>
        <w:pStyle w:val="ListBullet"/>
        <w:numPr>
          <w:ilvl w:val="0"/>
          <w:numId w:val="17"/>
        </w:numPr>
        <w:bidi/>
        <w:jc w:val="both"/>
        <w:rPr>
          <w:rFonts w:cs="Arial"/>
        </w:rPr>
      </w:pPr>
      <w:r w:rsidRPr="00112163">
        <w:rPr>
          <w:rFonts w:ascii="Arial" w:eastAsia="Arial" w:hAnsi="Arial" w:cs="Arial"/>
          <w:rtl/>
        </w:rPr>
        <w:t xml:space="preserve">الدور الذي يمكن للأشخاص ذوي الإعاقة والمنظمات </w:t>
      </w:r>
      <w:r w:rsidR="00973022">
        <w:rPr>
          <w:rFonts w:ascii="Arial" w:eastAsia="Arial" w:hAnsi="Arial" w:cs="Arial" w:hint="cs"/>
          <w:rtl/>
        </w:rPr>
        <w:t xml:space="preserve">التي تمثلهم </w:t>
      </w:r>
      <w:r w:rsidRPr="00112163">
        <w:rPr>
          <w:rFonts w:ascii="Arial" w:eastAsia="Arial" w:hAnsi="Arial" w:cs="Arial"/>
          <w:rtl/>
        </w:rPr>
        <w:t>أدائه في الأنشطة المختلفة: ما الذي يمكنك القيام به؟</w:t>
      </w:r>
    </w:p>
    <w:p w14:paraId="220B0CAE"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الإنجازات المحتملة للأشخاص ذوي الإعاقة ومنظماتهم: ما الذي ستجنيه من خلال المشاركة في هذا العمل؟ </w:t>
      </w:r>
    </w:p>
    <w:p w14:paraId="682A1DC4"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القيود والتحديات: ما هي العوائق التي قد نواجهها؟ </w:t>
      </w:r>
    </w:p>
    <w:p w14:paraId="43DE9471" w14:textId="77777777" w:rsidR="00112163" w:rsidRPr="00112163" w:rsidRDefault="00112163" w:rsidP="00AC09E2">
      <w:pPr>
        <w:pStyle w:val="ListBullet"/>
        <w:numPr>
          <w:ilvl w:val="0"/>
          <w:numId w:val="0"/>
        </w:numPr>
        <w:jc w:val="both"/>
        <w:rPr>
          <w:rFonts w:cs="Arial"/>
        </w:rPr>
      </w:pPr>
    </w:p>
    <w:p w14:paraId="4632DA3D" w14:textId="77777777" w:rsidR="00112163" w:rsidRPr="00112163" w:rsidRDefault="00112163" w:rsidP="00AC09E2">
      <w:pPr>
        <w:pStyle w:val="ListBullet"/>
        <w:numPr>
          <w:ilvl w:val="0"/>
          <w:numId w:val="0"/>
        </w:numPr>
        <w:bidi/>
        <w:jc w:val="both"/>
        <w:rPr>
          <w:rFonts w:cs="Arial"/>
        </w:rPr>
      </w:pPr>
      <w:r w:rsidRPr="00112163">
        <w:rPr>
          <w:rFonts w:ascii="Arial" w:eastAsia="Arial" w:hAnsi="Arial" w:cs="Arial"/>
          <w:rtl/>
        </w:rPr>
        <w:t xml:space="preserve">نأمل أن تمنحكم هذه الوثيقة فهمًا واضحًا لهذا التعاون، بالإضافة إلى بعض الأفكار التي تحدد طرقًا ملموسة للمساهمة في هذه المبادرة المشتركة. </w:t>
      </w:r>
    </w:p>
    <w:p w14:paraId="19002425"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هدف هذا التعاون وغاياته: ما الذي نريد إحرازه؟ </w:t>
      </w:r>
    </w:p>
    <w:p w14:paraId="51C8F733" w14:textId="77777777" w:rsidR="00112163" w:rsidRPr="00112163" w:rsidRDefault="00112163" w:rsidP="00AC09E2">
      <w:pPr>
        <w:bidi/>
        <w:jc w:val="both"/>
        <w:rPr>
          <w:rFonts w:cs="Arial"/>
        </w:rPr>
      </w:pPr>
      <w:r w:rsidRPr="00112163">
        <w:rPr>
          <w:rFonts w:ascii="Arial" w:eastAsia="Arial" w:hAnsi="Arial" w:cs="Arial"/>
          <w:color w:val="000000"/>
          <w:rtl/>
        </w:rPr>
        <w:t>بنهاية عام 2020، قُدِّر أن 12 مليون شخص من ذوي الإعاقة</w:t>
      </w:r>
      <w:r w:rsidRPr="00112163">
        <w:rPr>
          <w:rStyle w:val="FootnoteReference"/>
          <w:rFonts w:eastAsiaTheme="minorEastAsia" w:cs="Arial"/>
          <w:color w:val="000000" w:themeColor="text1"/>
        </w:rPr>
        <w:footnoteReference w:id="1"/>
      </w:r>
      <w:r w:rsidRPr="00112163">
        <w:rPr>
          <w:rFonts w:ascii="Arial" w:eastAsia="Arial" w:hAnsi="Arial" w:cs="Arial"/>
          <w:color w:val="000000"/>
          <w:rtl/>
        </w:rPr>
        <w:t xml:space="preserve"> قد تعرضوا للتشريد القسري بسبب الاضطهاد والعنف وانتهاكات حقوق الإنسان. </w:t>
      </w:r>
      <w:r w:rsidRPr="00112163">
        <w:rPr>
          <w:rFonts w:ascii="Arial" w:eastAsia="Arial" w:hAnsi="Arial" w:cs="Arial"/>
          <w:rtl/>
        </w:rPr>
        <w:t>اضطر الكثيرون إلى الهرب من العنف والصراع أو الاضطهاد السياسي. بينما واجه آخرون كوارث، مثل: الزلازل أو الأعاصير أو الجفاف أو الفيضانات. اضطر بعض هؤلاء الأشخاص إلى مغادرة بلدهم الأم وأصبحوا طالبي لجوء ولاجئين. بينما انتقل أشخاص آخرون إلى مناطق أخرى في البلاد، ليصبحوا "أشخاصًا مشردين داخليًا". وغالبًا ما يتم تحديد كلتا المجموعتين على أنهما من الأشخاص "المشردين قسريًا".</w:t>
      </w:r>
    </w:p>
    <w:p w14:paraId="3C73BED6" w14:textId="77777777" w:rsidR="00112163" w:rsidRPr="00112163" w:rsidRDefault="00112163" w:rsidP="00AC09E2">
      <w:pPr>
        <w:bidi/>
        <w:jc w:val="both"/>
        <w:rPr>
          <w:rFonts w:cs="Arial"/>
        </w:rPr>
      </w:pPr>
      <w:r w:rsidRPr="00112163">
        <w:rPr>
          <w:rFonts w:ascii="Arial" w:eastAsia="Arial" w:hAnsi="Arial" w:cs="Arial"/>
          <w:rtl/>
        </w:rPr>
        <w:t xml:space="preserve">بعد ذلك، هناك مجموعات أخرى قد لا تحمل أي جنسية. وغالبًا ما يُطلق على هذه المجموعات الأشخاص عديمي الجنسية. بالإضافة إلى ذلك، يُطلق على اللاجئين الذين يقررون العودة إلى بلدهم اسم العائدين وقد يحتاجون هم أيضًا إلى الدعم. </w:t>
      </w:r>
    </w:p>
    <w:p w14:paraId="5690A609" w14:textId="1DDFB574" w:rsidR="00112163" w:rsidRPr="00112163" w:rsidRDefault="00112163" w:rsidP="00C443C6">
      <w:pPr>
        <w:bidi/>
        <w:jc w:val="both"/>
        <w:rPr>
          <w:rFonts w:cs="Arial"/>
        </w:rPr>
      </w:pPr>
      <w:r w:rsidRPr="00112163">
        <w:rPr>
          <w:rFonts w:ascii="Arial" w:eastAsia="Arial" w:hAnsi="Arial" w:cs="Arial"/>
          <w:rtl/>
        </w:rPr>
        <w:t xml:space="preserve">لحماية ودعم جميع هذه المجموعات، أنشأت الأمم المتحدة وكالة </w:t>
      </w:r>
      <w:r w:rsidR="00973022">
        <w:rPr>
          <w:rFonts w:ascii="Arial" w:eastAsia="Arial" w:hAnsi="Arial" w:cs="Arial" w:hint="cs"/>
          <w:rtl/>
        </w:rPr>
        <w:t xml:space="preserve"> متخصصة</w:t>
      </w:r>
      <w:r w:rsidRPr="00112163">
        <w:rPr>
          <w:rFonts w:ascii="Arial" w:eastAsia="Arial" w:hAnsi="Arial" w:cs="Arial"/>
          <w:rtl/>
        </w:rPr>
        <w:t xml:space="preserve">تُسمّى المفوضية السامية للأمم المتحدة لشؤون اللاجئين. يُشار إلى جميع المجموعات والأشخاص المذكورين أعلاه باسم "الأشخاص المشمولين باختصاص المفوضية". </w:t>
      </w:r>
    </w:p>
    <w:p w14:paraId="2B95A8C4" w14:textId="55948E16" w:rsidR="00112163" w:rsidRPr="00112163" w:rsidRDefault="00112163" w:rsidP="00973022">
      <w:pPr>
        <w:bidi/>
        <w:jc w:val="both"/>
        <w:rPr>
          <w:rFonts w:cs="Arial"/>
        </w:rPr>
      </w:pPr>
      <w:r w:rsidRPr="00112163">
        <w:rPr>
          <w:rFonts w:ascii="Arial" w:eastAsia="Arial" w:hAnsi="Arial" w:cs="Arial"/>
          <w:rtl/>
        </w:rPr>
        <w:t>وبعيدًا عن التقديرات، تندر البيانات المتعلقة بعدد الأشخاص المشردين قسريًا</w:t>
      </w:r>
      <w:r w:rsidR="00973022">
        <w:rPr>
          <w:rFonts w:ascii="Arial" w:eastAsia="Arial" w:hAnsi="Arial" w:cs="Arial" w:hint="cs"/>
          <w:rtl/>
        </w:rPr>
        <w:t xml:space="preserve">من ذوي الاعاقة </w:t>
      </w:r>
      <w:r w:rsidRPr="00112163">
        <w:rPr>
          <w:rFonts w:ascii="Arial" w:eastAsia="Arial" w:hAnsi="Arial" w:cs="Arial"/>
          <w:rtl/>
        </w:rPr>
        <w:t xml:space="preserve">. ومع ذلك، نعلم أنه لأسباب مختلفة، فإن عدد الأشخاص ذوي الإعاقة أعلى بين هذه الفئة من السكان. على سبيل المثال، يتسبب العنف المسلح أو الكوارث في </w:t>
      </w:r>
      <w:r w:rsidR="00973022">
        <w:rPr>
          <w:rFonts w:ascii="Arial" w:eastAsia="Arial" w:hAnsi="Arial" w:cs="Arial" w:hint="cs"/>
          <w:rtl/>
        </w:rPr>
        <w:t xml:space="preserve">اعاقات </w:t>
      </w:r>
      <w:r w:rsidRPr="00112163">
        <w:rPr>
          <w:rFonts w:ascii="Arial" w:eastAsia="Arial" w:hAnsi="Arial" w:cs="Arial"/>
          <w:rtl/>
        </w:rPr>
        <w:t xml:space="preserve">جديدة. علاوة على أن </w:t>
      </w:r>
      <w:r w:rsidR="00973022">
        <w:rPr>
          <w:rFonts w:ascii="Arial" w:eastAsia="Arial" w:hAnsi="Arial" w:cs="Arial" w:hint="cs"/>
          <w:rtl/>
        </w:rPr>
        <w:t xml:space="preserve">الحواجز </w:t>
      </w:r>
      <w:r w:rsidRPr="00112163">
        <w:rPr>
          <w:rFonts w:ascii="Arial" w:eastAsia="Arial" w:hAnsi="Arial" w:cs="Arial"/>
          <w:rtl/>
        </w:rPr>
        <w:t xml:space="preserve">الإضافية في مخيمات اللاجئين أو مستوطناتهم تفرض على الأشخاص ذوي الإعاقة المزيد من القيود في الوصول إلى الحقوق الأساسية، مثل: العيش المستقل أو التنقل أو الأهلية القانونية أو الصحة أو التعليم. </w:t>
      </w:r>
    </w:p>
    <w:p w14:paraId="3F1847DD" w14:textId="3F1BCA11" w:rsidR="00112163" w:rsidRPr="00112163" w:rsidRDefault="00112163" w:rsidP="00973022">
      <w:pPr>
        <w:bidi/>
        <w:jc w:val="both"/>
        <w:rPr>
          <w:rFonts w:cs="Arial"/>
        </w:rPr>
      </w:pPr>
      <w:r w:rsidRPr="00112163">
        <w:rPr>
          <w:rFonts w:ascii="Arial" w:eastAsia="Arial" w:hAnsi="Arial" w:cs="Arial"/>
          <w:rtl/>
        </w:rPr>
        <w:t xml:space="preserve">وكما تعلمون، فإن دور التحالف هو تمثيل الأشخاص ذوي الإعاقة </w:t>
      </w:r>
      <w:r w:rsidR="00973022">
        <w:rPr>
          <w:rFonts w:ascii="Arial" w:eastAsia="Arial" w:hAnsi="Arial" w:cs="Arial" w:hint="cs"/>
          <w:rtl/>
        </w:rPr>
        <w:t xml:space="preserve">بمختلف اعاقاتهم وباختلاف المناطق التي يعيشون فيها </w:t>
      </w:r>
      <w:r w:rsidRPr="00112163">
        <w:rPr>
          <w:rFonts w:ascii="Arial" w:eastAsia="Arial" w:hAnsi="Arial" w:cs="Arial"/>
          <w:rtl/>
        </w:rPr>
        <w:t xml:space="preserve">على المستوى العالمي. لذلك، فإن التعاون بين المفوضية والتحالف أمر ضروري لضمان المساواة في الحماية والشمول ومشاركة جميع الأشخاص ذوي الإعاقة، بما في ذلك أولئك الذين يعيشون في حالات التشرد القسري وعديمي الجنسية. </w:t>
      </w:r>
    </w:p>
    <w:p w14:paraId="20560A11" w14:textId="77777777" w:rsidR="00112163" w:rsidRPr="00112163" w:rsidRDefault="00112163" w:rsidP="00AC09E2">
      <w:pPr>
        <w:bidi/>
        <w:jc w:val="both"/>
        <w:rPr>
          <w:rFonts w:cs="Arial"/>
        </w:rPr>
      </w:pPr>
      <w:r w:rsidRPr="00112163">
        <w:rPr>
          <w:rFonts w:ascii="Arial" w:eastAsia="Arial" w:hAnsi="Arial" w:cs="Arial"/>
          <w:rtl/>
        </w:rPr>
        <w:lastRenderedPageBreak/>
        <w:t xml:space="preserve">ولهذا الغرض، أبرمت المنظمتان مذكرة تفاهم في ديسمبر 2020 لتعزيز التعاون بينهما وتحديده. وتسري مذكرة التفاهم هذه حتى عام 2024 وهي حاليًا في مرحلة البدء. </w:t>
      </w:r>
    </w:p>
    <w:p w14:paraId="16B53F4A"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المجالات التي ستعمل فيها المنظمتان معًا: ما الذي نخطط للقيام به؟</w:t>
      </w:r>
    </w:p>
    <w:p w14:paraId="42684EB1" w14:textId="77777777" w:rsidR="00112163" w:rsidRPr="00112163" w:rsidRDefault="00112163" w:rsidP="00AC09E2">
      <w:pPr>
        <w:bidi/>
        <w:jc w:val="both"/>
        <w:rPr>
          <w:rFonts w:cs="Arial"/>
        </w:rPr>
      </w:pPr>
      <w:r w:rsidRPr="00112163">
        <w:rPr>
          <w:rFonts w:ascii="Arial" w:eastAsia="Arial" w:hAnsi="Arial" w:cs="Arial"/>
          <w:rtl/>
        </w:rPr>
        <w:t xml:space="preserve">يخطط التحالف الدولي للإعاقة والمفوضية السامية للأمم المتحدة لشؤون اللاجئين للتعاون في أربعة مجالات رئيسية: </w:t>
      </w:r>
    </w:p>
    <w:p w14:paraId="21A9D99C"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بناء القدرات المتبادلة</w:t>
      </w:r>
    </w:p>
    <w:p w14:paraId="1CC3C5F3" w14:textId="0174DF58" w:rsidR="00112163" w:rsidRPr="00112163" w:rsidRDefault="00112163" w:rsidP="00973022">
      <w:pPr>
        <w:bidi/>
        <w:ind w:left="360"/>
        <w:jc w:val="both"/>
        <w:rPr>
          <w:rFonts w:cs="Arial"/>
        </w:rPr>
      </w:pPr>
      <w:r w:rsidRPr="00112163">
        <w:rPr>
          <w:rFonts w:ascii="Arial" w:eastAsia="Arial" w:hAnsi="Arial" w:cs="Arial"/>
          <w:rtl/>
        </w:rPr>
        <w:t xml:space="preserve">نحن نعتقد أن نقص الوعي والمعرفة هو السبب الرئيسي للعديد من أوجه القصور في تحقيق الشمول والحماية للأشخاص المشردين قسريًا من ذوي الإعاقة. ولذلك، فإننا نعطي الأولوية للاستثمار في بناء القدرات المتبادلة. والهدف من ذلك هو تزويد موظفي المفوضية بالمعرفة والفهم اللازميْن لمراعاة الأشخاص المشردين قسريًا من ذوي الإعاقة في قراراتهم، وخططهم، وأفعالهم، وتعزيز فرص المشاركة أمام هذه الفئات. ونهدف أيضًا إلى تزويد المنظمات </w:t>
      </w:r>
      <w:r w:rsidR="00973022">
        <w:rPr>
          <w:rFonts w:ascii="Arial" w:eastAsia="Arial" w:hAnsi="Arial" w:cs="Arial" w:hint="cs"/>
          <w:rtl/>
        </w:rPr>
        <w:t xml:space="preserve">التي تمثل </w:t>
      </w:r>
      <w:r w:rsidRPr="00112163">
        <w:rPr>
          <w:rFonts w:ascii="Arial" w:eastAsia="Arial" w:hAnsi="Arial" w:cs="Arial"/>
          <w:rtl/>
        </w:rPr>
        <w:t xml:space="preserve">الأشخاصذوي الإعاقة (يُشار إليها اختصارًا بـ </w:t>
      </w:r>
      <w:r w:rsidRPr="00112163">
        <w:rPr>
          <w:rFonts w:ascii="Arial" w:eastAsia="Arial" w:hAnsi="Arial" w:cs="Arial"/>
        </w:rPr>
        <w:t>DPOs</w:t>
      </w:r>
      <w:r w:rsidRPr="00112163">
        <w:rPr>
          <w:rFonts w:ascii="Arial" w:eastAsia="Arial" w:hAnsi="Arial" w:cs="Arial"/>
          <w:rtl/>
        </w:rPr>
        <w:t xml:space="preserve">) والمدافعين عن </w:t>
      </w:r>
      <w:r w:rsidR="00973022">
        <w:rPr>
          <w:rFonts w:ascii="Arial" w:eastAsia="Arial" w:hAnsi="Arial" w:cs="Arial" w:hint="cs"/>
          <w:rtl/>
        </w:rPr>
        <w:t xml:space="preserve">حقوق الاشخاص </w:t>
      </w:r>
      <w:r w:rsidRPr="00112163">
        <w:rPr>
          <w:rFonts w:ascii="Arial" w:eastAsia="Arial" w:hAnsi="Arial" w:cs="Arial"/>
          <w:rtl/>
        </w:rPr>
        <w:t>ذوي الإعاقة بالمعرفة والخبرة التي يحتاجونها للمساهمة بفعالية في الاستجابة العالمية أو الإقليمية أو الوطنية أو المحلية للتشرد القسري وانعدام الجنسية.</w:t>
      </w:r>
    </w:p>
    <w:p w14:paraId="0B9A128F"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 xml:space="preserve">المنتدى العالمي للاجئين </w:t>
      </w:r>
    </w:p>
    <w:p w14:paraId="7D6F09C6" w14:textId="77777777" w:rsidR="00112163" w:rsidRPr="00112163" w:rsidRDefault="00112163" w:rsidP="00AC09E2">
      <w:pPr>
        <w:bidi/>
        <w:ind w:left="360"/>
        <w:jc w:val="both"/>
        <w:rPr>
          <w:rFonts w:cs="Arial"/>
        </w:rPr>
      </w:pPr>
      <w:r w:rsidRPr="00112163">
        <w:rPr>
          <w:rFonts w:ascii="Arial" w:eastAsia="Arial" w:hAnsi="Arial" w:cs="Arial"/>
          <w:rtl/>
        </w:rPr>
        <w:t>المنتدى العالمي للاجئين هو منصة تجتمع فيها الحكومات والجهات الفاعلة في المجال الإنساني والمجتمع المدني كل أربع سنوات لتعزيز حقوق اللاجئين. وقد أُقيم المنتدى الأو</w:t>
      </w:r>
      <w:bookmarkStart w:id="0" w:name="_Hlk69300235"/>
      <w:r w:rsidRPr="00112163">
        <w:rPr>
          <w:rFonts w:ascii="Arial" w:eastAsia="Arial" w:hAnsi="Arial" w:cs="Arial"/>
          <w:rtl/>
        </w:rPr>
        <w:t xml:space="preserve">ل </w:t>
      </w:r>
      <w:hyperlink r:id="rId9" w:history="1">
        <w:r w:rsidRPr="00112163">
          <w:rPr>
            <w:rFonts w:ascii="Arial" w:eastAsia="Arial" w:hAnsi="Arial" w:cs="Arial"/>
            <w:color w:val="0563C1"/>
            <w:u w:val="single"/>
            <w:rtl/>
          </w:rPr>
          <w:t>في عام 2019</w:t>
        </w:r>
      </w:hyperlink>
      <w:bookmarkEnd w:id="0"/>
      <w:r w:rsidRPr="00112163">
        <w:rPr>
          <w:rFonts w:ascii="Arial" w:eastAsia="Arial" w:hAnsi="Arial" w:cs="Arial"/>
          <w:rtl/>
        </w:rPr>
        <w:t xml:space="preserve">، وتعاون التحالف والمفوضية لتعزيز حقوق اللاجئين من ذوي الإعاقة. ويتعاون التحالف والمفوضية الآن في مراقبة تنفيذ التعهدات القائمة مع التركيز على تضمين ذوي الإعاقة وتعزيز عدد ونوعية التعهدات المستقبلية المتعلقة بالحماية المتساوية، والشمول، ومشاركة اللاجئين ذوي الإعاقة. </w:t>
      </w:r>
    </w:p>
    <w:p w14:paraId="677A96A3" w14:textId="7BA8D548" w:rsidR="00112163" w:rsidRPr="00112163" w:rsidRDefault="00973022" w:rsidP="00AC09E2">
      <w:pPr>
        <w:pStyle w:val="Heading3"/>
        <w:numPr>
          <w:ilvl w:val="0"/>
          <w:numId w:val="8"/>
        </w:numPr>
        <w:bidi/>
        <w:jc w:val="both"/>
        <w:rPr>
          <w:rFonts w:cs="Arial"/>
          <w:b/>
          <w:bCs/>
        </w:rPr>
      </w:pPr>
      <w:r>
        <w:rPr>
          <w:rFonts w:ascii="Arial" w:eastAsia="Arial" w:hAnsi="Arial" w:cs="Arial" w:hint="cs"/>
          <w:b/>
          <w:bCs/>
          <w:color w:val="1F3763"/>
          <w:rtl/>
        </w:rPr>
        <w:t>مجموعات العمل الانساني</w:t>
      </w:r>
    </w:p>
    <w:p w14:paraId="108A4B06" w14:textId="170B32B5" w:rsidR="00112163" w:rsidRPr="00112163" w:rsidRDefault="00112163" w:rsidP="00C443C6">
      <w:pPr>
        <w:bidi/>
        <w:ind w:left="360"/>
        <w:jc w:val="both"/>
        <w:rPr>
          <w:rFonts w:cs="Arial"/>
        </w:rPr>
      </w:pPr>
      <w:r w:rsidRPr="00112163">
        <w:rPr>
          <w:rFonts w:ascii="Arial" w:eastAsia="Arial" w:hAnsi="Arial" w:cs="Arial"/>
          <w:rtl/>
        </w:rPr>
        <w:t xml:space="preserve">بُغية تنسيق الاستجابة لحالات الطوارئ الإنسانية وضمان عمل مختلف الجهات الفاعلة معًا، تم إنشاء آلية على المستويين العالمي والوطني تُعرف باسم "مجموعات العمل الإنساني". تغطي المجموعات المختلفة قطاعات مختلفة، مثل: الحماية والوصول إلى المياه والصرف الصحي والنظافة والمأوى وما إلى ذلك. وتلعب هذه المجموعات دورًا رئيسيًا في الاستجابات الإنسانية، لذلك من الضروري التأكد من ضمان </w:t>
      </w:r>
      <w:r w:rsidR="00973022">
        <w:rPr>
          <w:rFonts w:ascii="Arial" w:eastAsia="Arial" w:hAnsi="Arial" w:cs="Arial" w:hint="cs"/>
          <w:rtl/>
        </w:rPr>
        <w:t xml:space="preserve">مراعاة هذه المجموعات لمفهوم الاعاقة </w:t>
      </w:r>
      <w:r w:rsidRPr="00112163">
        <w:rPr>
          <w:rFonts w:ascii="Arial" w:eastAsia="Arial" w:hAnsi="Arial" w:cs="Arial"/>
          <w:rtl/>
        </w:rPr>
        <w:t xml:space="preserve">في برامجها. وتُعد المفوضية جهة فاعلة رئيسية في العديد من المجموعات، وعلى وجه الخصوص تتولى قيادة </w:t>
      </w:r>
      <w:hyperlink r:id="rId10" w:history="1">
        <w:r w:rsidRPr="00112163">
          <w:rPr>
            <w:rFonts w:ascii="Arial" w:eastAsia="Arial" w:hAnsi="Arial" w:cs="Arial"/>
            <w:color w:val="0563C1"/>
            <w:u w:val="single"/>
            <w:rtl/>
          </w:rPr>
          <w:t>مجموعة الحماية العالمية</w:t>
        </w:r>
      </w:hyperlink>
      <w:r w:rsidRPr="00112163">
        <w:rPr>
          <w:rFonts w:ascii="Arial" w:eastAsia="Arial" w:hAnsi="Arial" w:cs="Arial"/>
          <w:rtl/>
        </w:rPr>
        <w:t xml:space="preserve">. ولذلك، فإن أحد مجالات التعاون بين المنظمتين هو أن المفوضية تدعم المشاركة الفعّالة للتحالف الدولي للإعاقة وأعضائه في المجموعات. </w:t>
      </w:r>
    </w:p>
    <w:p w14:paraId="503CD7C3"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مراقبة تنفيذ اتفاقية حقوق الأشخاص ذوي الإعاقة</w:t>
      </w:r>
    </w:p>
    <w:p w14:paraId="5915B785" w14:textId="0AF2995A" w:rsidR="00112163" w:rsidRPr="00112163" w:rsidRDefault="00112163" w:rsidP="001400ED">
      <w:pPr>
        <w:bidi/>
        <w:ind w:left="360"/>
        <w:jc w:val="both"/>
        <w:rPr>
          <w:rFonts w:cs="Arial"/>
        </w:rPr>
      </w:pPr>
      <w:r w:rsidRPr="00112163">
        <w:rPr>
          <w:rFonts w:ascii="Arial" w:eastAsia="Arial" w:hAnsi="Arial" w:cs="Arial"/>
          <w:rtl/>
        </w:rPr>
        <w:t>تنص المادة 11 من اتفاقية حقوق الأشخاص ذوي الإعاقة (</w:t>
      </w:r>
      <w:r w:rsidRPr="00112163">
        <w:rPr>
          <w:rFonts w:ascii="Arial" w:eastAsia="Arial" w:hAnsi="Arial" w:cs="Arial"/>
        </w:rPr>
        <w:t>CRPD</w:t>
      </w:r>
      <w:r w:rsidRPr="00112163">
        <w:rPr>
          <w:rFonts w:ascii="Arial" w:eastAsia="Arial" w:hAnsi="Arial" w:cs="Arial"/>
          <w:rtl/>
        </w:rPr>
        <w:t xml:space="preserve">) على </w:t>
      </w:r>
      <w:r w:rsidR="00973022">
        <w:rPr>
          <w:rFonts w:ascii="Arial" w:eastAsia="Arial" w:hAnsi="Arial" w:cs="Arial" w:hint="cs"/>
          <w:rtl/>
        </w:rPr>
        <w:t xml:space="preserve">التزام </w:t>
      </w:r>
      <w:r w:rsidRPr="00112163">
        <w:rPr>
          <w:rFonts w:ascii="Arial" w:eastAsia="Arial" w:hAnsi="Arial" w:cs="Arial"/>
          <w:rtl/>
        </w:rPr>
        <w:t xml:space="preserve">الدول الأعضاء ضمان إشراك وحماية الأشخاص ذوي الإعاقة في حالات المخاطر والطوارئ الإنسانية. علاوة على ذلك، يحق للأشخاص عديمي الجنسية والمشردين قسريًا من ذوي الإعاقة الحصول على حقوق الإنسان والحريات الأساسية المنصوص عليها في المواد الأخرى من الاتفاقية، على سبيل المثال: العيش بشكل مستقل والدمج في المجتمع، وإمكانية الوصول، والحصول على الرعاية الصحية والتعليم. </w:t>
      </w:r>
    </w:p>
    <w:p w14:paraId="34C7FCB7" w14:textId="759AAC33" w:rsidR="00112163" w:rsidRPr="00112163" w:rsidRDefault="00112163" w:rsidP="001F1159">
      <w:pPr>
        <w:bidi/>
        <w:ind w:left="360"/>
        <w:jc w:val="both"/>
        <w:rPr>
          <w:rFonts w:cs="Arial"/>
        </w:rPr>
      </w:pPr>
      <w:r w:rsidRPr="00112163">
        <w:rPr>
          <w:rFonts w:ascii="Arial" w:eastAsia="Arial" w:hAnsi="Arial" w:cs="Arial"/>
          <w:rtl/>
        </w:rPr>
        <w:t>ومن المقرر أن يتعاون التحالف والمفوضية لضمان قدرة هيئات رصد حقوق الإنسان التابعة للأمم المتحدة، وخاصة اللجنة المعنية</w:t>
      </w:r>
      <w:r w:rsidR="00973022">
        <w:rPr>
          <w:rFonts w:ascii="Arial" w:eastAsia="Arial" w:hAnsi="Arial" w:cs="Arial" w:hint="cs"/>
          <w:rtl/>
        </w:rPr>
        <w:t xml:space="preserve"> رصد تنفيذ اتفاقية حقوق الاشخاص ذوي الاعاقة </w:t>
      </w:r>
      <w:r w:rsidRPr="00112163">
        <w:rPr>
          <w:rFonts w:ascii="Arial" w:eastAsia="Arial" w:hAnsi="Arial" w:cs="Arial"/>
          <w:rtl/>
        </w:rPr>
        <w:t xml:space="preserve"> ، على الوصول إلى المعلومات التفصيلية المباشرة عن وضع حقوق الإنسان للأشخاص عديمي الجنسية والمشردين قسريًا من ذوي الإعاقة. وستكون بداية هذا الجهد بإعداد مذكرات</w:t>
      </w:r>
      <w:r w:rsidR="00973022">
        <w:rPr>
          <w:rFonts w:ascii="Arial" w:eastAsia="Arial" w:hAnsi="Arial" w:cs="Arial" w:hint="cs"/>
          <w:rtl/>
        </w:rPr>
        <w:t xml:space="preserve"> مشتركة</w:t>
      </w:r>
      <w:r w:rsidRPr="00112163">
        <w:rPr>
          <w:rFonts w:ascii="Arial" w:eastAsia="Arial" w:hAnsi="Arial" w:cs="Arial"/>
          <w:rtl/>
        </w:rPr>
        <w:t xml:space="preserve"> بشأن عدد قليل من الدول تتم مشاركتها مع اللجنة المعنية برصد تنفيذ اتفاقية حقوق الأشخاص ذوي الإعاقة. </w:t>
      </w:r>
    </w:p>
    <w:p w14:paraId="2BBA55DA" w14:textId="5BCCAA82" w:rsidR="00112163" w:rsidRPr="00112163" w:rsidRDefault="00112163" w:rsidP="001F1159">
      <w:pPr>
        <w:bidi/>
        <w:ind w:left="360"/>
        <w:jc w:val="both"/>
        <w:rPr>
          <w:rFonts w:cs="Arial"/>
        </w:rPr>
      </w:pPr>
      <w:r w:rsidRPr="00112163">
        <w:rPr>
          <w:rFonts w:ascii="Arial" w:eastAsia="Arial" w:hAnsi="Arial" w:cs="Arial"/>
          <w:rtl/>
        </w:rPr>
        <w:t>إضافة إلى ذلك، في عام 2019، اعتمد مجلس الأمن التابع للأمم المتحدة القرار رقم 2475 الذي يفرض المساواة في الحماية والشمول والمشاركة للأشخاص ذوي الإعاقة المتضررين من</w:t>
      </w:r>
      <w:r w:rsidR="00973022">
        <w:rPr>
          <w:rFonts w:ascii="Arial" w:eastAsia="Arial" w:hAnsi="Arial" w:cs="Arial" w:hint="cs"/>
          <w:rtl/>
        </w:rPr>
        <w:t xml:space="preserve">النزاعات المسلحة </w:t>
      </w:r>
      <w:r w:rsidRPr="00112163">
        <w:rPr>
          <w:rFonts w:ascii="Arial" w:eastAsia="Arial" w:hAnsi="Arial" w:cs="Arial"/>
          <w:rtl/>
        </w:rPr>
        <w:t>. وتتمثل إحدى الطرق الفعّالة لضمان تنفيذ هذا القرار في تسهيل قيام الأشخاص ذوي الإعاقة الذين يعيشون في المناطق المتضررة من الصراعات بتقديم إحاطات إلى مجلس الأمن. ويلتزم التحالف والمفوضية بالتعاون في ترتيب جلسات الإحاطة هذه عند الاقتضاء.</w:t>
      </w:r>
    </w:p>
    <w:p w14:paraId="29B64640"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 xml:space="preserve">استراتيجية الأمم المتحدة لإدماج منظور الإعاقة </w:t>
      </w:r>
    </w:p>
    <w:p w14:paraId="692F91C9" w14:textId="45355DA2" w:rsidR="00112163" w:rsidRPr="00112163" w:rsidRDefault="00112163" w:rsidP="001F1159">
      <w:pPr>
        <w:bidi/>
        <w:ind w:left="360"/>
        <w:jc w:val="both"/>
        <w:rPr>
          <w:rFonts w:cs="Arial"/>
        </w:rPr>
      </w:pPr>
      <w:r w:rsidRPr="00112163">
        <w:rPr>
          <w:rFonts w:ascii="Arial" w:eastAsia="Arial" w:hAnsi="Arial" w:cs="Arial"/>
          <w:rtl/>
        </w:rPr>
        <w:t xml:space="preserve">في عام 2019، اعتمدت الأمم المتحدة أول استراتيجية على </w:t>
      </w:r>
      <w:r w:rsidR="00973022">
        <w:rPr>
          <w:rFonts w:ascii="Arial" w:eastAsia="Arial" w:hAnsi="Arial" w:cs="Arial" w:hint="cs"/>
          <w:rtl/>
        </w:rPr>
        <w:t xml:space="preserve">مستوى اعمالها وهياكلها </w:t>
      </w:r>
      <w:r w:rsidRPr="00112163">
        <w:rPr>
          <w:rFonts w:ascii="Arial" w:eastAsia="Arial" w:hAnsi="Arial" w:cs="Arial"/>
          <w:rtl/>
        </w:rPr>
        <w:t xml:space="preserve">تقتضي من جميع وكالات الأمم المتحدة تضمين </w:t>
      </w:r>
      <w:r w:rsidR="00973022">
        <w:rPr>
          <w:rFonts w:ascii="Arial" w:eastAsia="Arial" w:hAnsi="Arial" w:cs="Arial" w:hint="cs"/>
          <w:rtl/>
        </w:rPr>
        <w:t xml:space="preserve">منظور الاعاقة </w:t>
      </w:r>
      <w:r w:rsidRPr="00112163">
        <w:rPr>
          <w:rFonts w:ascii="Arial" w:eastAsia="Arial" w:hAnsi="Arial" w:cs="Arial"/>
          <w:rtl/>
        </w:rPr>
        <w:t xml:space="preserve">افي سياساتهم وبرامجهم ومرافقهم واتصالاتهم وفرص العمل لديهم وتمكينهم من الوصول إليها. وكوكالة تابعة للأمم المتحدة، اتخذت المفوضية السامية للأمم المتحدة لشؤون اللاجئين خطوات صارمة منذ ذلك الحين لتنفيذ الاستراتيجية. وبموجب مذكرة التفاهم لعام 2020، يتعاون التحالف والمفوضية لضمان التنفيذ الفعّال للاستراتيجية عبر المستويات المختلفة للمفوضية ومن خلال </w:t>
      </w:r>
      <w:r w:rsidRPr="00112163">
        <w:rPr>
          <w:rFonts w:ascii="Arial" w:eastAsia="Arial" w:hAnsi="Arial" w:cs="Arial"/>
          <w:rtl/>
        </w:rPr>
        <w:lastRenderedPageBreak/>
        <w:t>أقسامها المختلفة. ومن شأن هذا التعاون أن يؤدي إلى تحسين إمكانية وصول الأشخاص ذوي الإعاقة إلى أماكن المفوضية ومرافقها واتصالاتها؛ وتعزيز مشاركتهم ودورهم في وضع سياسات المفوضية وتخطيطها وتنفيذها؛ وتحسين فرص توظيفهم داخل المفوضية.</w:t>
      </w:r>
    </w:p>
    <w:p w14:paraId="0AECAA2C"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الدور الذي يمكن للأشخاص ذوي الإعاقة والمنظمات الممثلة لهم أدائه في الأنشطة المختلفة: ما الذي يمكنك القيام به؟ </w:t>
      </w:r>
    </w:p>
    <w:p w14:paraId="5DE0ED98" w14:textId="19BC5F6F"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لن تكون جميع الأهداف الموضحة أعلاه قابلة للتحقيق دون المشاركة الفعّالة من المنظمات</w:t>
      </w:r>
      <w:r w:rsidR="00973022">
        <w:rPr>
          <w:rFonts w:ascii="Arial" w:eastAsia="Arial" w:hAnsi="Arial" w:cs="Arial" w:hint="cs"/>
          <w:rtl/>
        </w:rPr>
        <w:t xml:space="preserve"> التي تمثل</w:t>
      </w:r>
      <w:r w:rsidRPr="00112163">
        <w:rPr>
          <w:rFonts w:ascii="Arial" w:eastAsia="Arial" w:hAnsi="Arial" w:cs="Arial"/>
          <w:rtl/>
        </w:rPr>
        <w:t xml:space="preserve"> الأشخاص ذوي الإعاقة، وبالأخص تلك العاملة على المستوى الوطني والمحلي. ولبدء تنفيذ هذا التعاون، يقوم التحالف والمفوضية باختيار 3 دول لتجريب تنفيذ المشروع في عام 2021. </w:t>
      </w:r>
    </w:p>
    <w:p w14:paraId="5959D908" w14:textId="77777777" w:rsidR="00112163" w:rsidRPr="00112163" w:rsidRDefault="00112163" w:rsidP="00AC09E2">
      <w:pPr>
        <w:pStyle w:val="ListBullet"/>
        <w:numPr>
          <w:ilvl w:val="0"/>
          <w:numId w:val="0"/>
        </w:numPr>
        <w:ind w:left="360"/>
        <w:jc w:val="both"/>
        <w:rPr>
          <w:rFonts w:cs="Arial"/>
        </w:rPr>
      </w:pPr>
    </w:p>
    <w:p w14:paraId="1508BFB3" w14:textId="77777777" w:rsidR="00112163" w:rsidRPr="00112163" w:rsidRDefault="00112163" w:rsidP="00AC09E2">
      <w:pPr>
        <w:pStyle w:val="ListBullet"/>
        <w:numPr>
          <w:ilvl w:val="0"/>
          <w:numId w:val="0"/>
        </w:numPr>
        <w:bidi/>
        <w:ind w:left="360" w:hanging="360"/>
        <w:jc w:val="both"/>
        <w:rPr>
          <w:rFonts w:cs="Arial"/>
        </w:rPr>
      </w:pPr>
      <w:r w:rsidRPr="00112163">
        <w:rPr>
          <w:rFonts w:ascii="Arial" w:eastAsia="Arial" w:hAnsi="Arial" w:cs="Arial"/>
          <w:rtl/>
        </w:rPr>
        <w:t xml:space="preserve">وهناك العديد من الفرص المحتملة لإشراك ومشاركة المنظمات المعنية بالأشخاص ذوي الإعاقة في هذا التعاون. وقد تشمل بعض الأمثلة: </w:t>
      </w:r>
    </w:p>
    <w:p w14:paraId="3497FC62"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المشاركة في الاستشارات في توفير التدريب ورفع الوعي لدى موظفي المفوضية بشأن تضمين منظور الإعاقة؛ </w:t>
      </w:r>
    </w:p>
    <w:p w14:paraId="1B6F180F"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تقديم المشورة والتعقيبات بشأن التدابير المخطط لها أو المتخذة لتعزيز إشراك ومشاركة الأشخاص المشردين قسريًا من ذوي الإعاقة؛ </w:t>
      </w:r>
    </w:p>
    <w:p w14:paraId="0D38BCFC"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التحقق من إمكانية الوصول إلى مرافق المفوضية ومعداتها واتصالاتها وبرامجها؛ </w:t>
      </w:r>
    </w:p>
    <w:p w14:paraId="30C42F10" w14:textId="6AA5D9EC" w:rsidR="00112163" w:rsidRPr="00112163" w:rsidRDefault="00112163" w:rsidP="001F1159">
      <w:pPr>
        <w:pStyle w:val="ListBullet"/>
        <w:numPr>
          <w:ilvl w:val="0"/>
          <w:numId w:val="16"/>
        </w:numPr>
        <w:bidi/>
        <w:jc w:val="both"/>
        <w:rPr>
          <w:rFonts w:cs="Arial"/>
        </w:rPr>
      </w:pPr>
      <w:r w:rsidRPr="00112163">
        <w:rPr>
          <w:rFonts w:ascii="Arial" w:eastAsia="Arial" w:hAnsi="Arial" w:cs="Arial"/>
          <w:rtl/>
        </w:rPr>
        <w:t xml:space="preserve">المشاركة في آليات وفعاليات التنسيق الإنساني؛ </w:t>
      </w:r>
    </w:p>
    <w:p w14:paraId="42727F3F"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دعم بناء القدرات وتنمية المهارات للأشخاص المشردين قسريًا من ذوي الإعاقة من أجل أداء دور نشط في مجتمعاتهم. </w:t>
      </w:r>
    </w:p>
    <w:p w14:paraId="35033476" w14:textId="77777777" w:rsidR="00112163" w:rsidRPr="00112163" w:rsidRDefault="00112163" w:rsidP="00AC09E2">
      <w:pPr>
        <w:pStyle w:val="ListBullet"/>
        <w:numPr>
          <w:ilvl w:val="0"/>
          <w:numId w:val="0"/>
        </w:numPr>
        <w:jc w:val="both"/>
        <w:rPr>
          <w:rFonts w:cs="Arial"/>
        </w:rPr>
      </w:pPr>
    </w:p>
    <w:p w14:paraId="66217565"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الإنجازات المحتملة للأشخاص ذوي الإعاقة ومنظماتهم: ما الذي ستجنيه من خلال المشاركة في هذا العمل؟ </w:t>
      </w:r>
    </w:p>
    <w:p w14:paraId="32FCD765" w14:textId="3B2E5331"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إذا كنت شخصًا من ذوي الإعاقة أو تمثل منظمة </w:t>
      </w:r>
      <w:r w:rsidR="00973022">
        <w:rPr>
          <w:rFonts w:ascii="Arial" w:eastAsia="Arial" w:hAnsi="Arial" w:cs="Arial" w:hint="cs"/>
          <w:rtl/>
        </w:rPr>
        <w:t xml:space="preserve">تمثل الاشخاص </w:t>
      </w:r>
      <w:r w:rsidRPr="00112163">
        <w:rPr>
          <w:rFonts w:ascii="Arial" w:eastAsia="Arial" w:hAnsi="Arial" w:cs="Arial"/>
          <w:rtl/>
        </w:rPr>
        <w:t xml:space="preserve">ذوي الإعاقة تركز تحديدًا على حقوق وإشراك الأشخاص ذوي الإعاقة، فإن المشاركة في التعاون المُبرم بين التحالف والمفوضية من شأنه أن يوفر لك الفرصة لتطوير عملك وإقامة شراكات استراتيجية مع مكاتب المفوضية والجهات الفاعلة الأخرى في المجال الإنساني. </w:t>
      </w:r>
    </w:p>
    <w:p w14:paraId="37A311B3" w14:textId="77777777" w:rsidR="00112163" w:rsidRPr="00112163" w:rsidRDefault="00112163" w:rsidP="00AC09E2">
      <w:pPr>
        <w:pStyle w:val="ListBullet"/>
        <w:numPr>
          <w:ilvl w:val="0"/>
          <w:numId w:val="0"/>
        </w:numPr>
        <w:jc w:val="both"/>
        <w:rPr>
          <w:rFonts w:cs="Arial"/>
        </w:rPr>
      </w:pPr>
    </w:p>
    <w:p w14:paraId="7DB0868C" w14:textId="456A2EDA"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إذا كنت تمثل منظمة </w:t>
      </w:r>
      <w:r w:rsidR="00973022">
        <w:rPr>
          <w:rFonts w:ascii="Arial" w:eastAsia="Arial" w:hAnsi="Arial" w:cs="Arial" w:hint="cs"/>
          <w:rtl/>
        </w:rPr>
        <w:t xml:space="preserve">تمثل </w:t>
      </w:r>
      <w:r w:rsidRPr="00112163">
        <w:rPr>
          <w:rFonts w:ascii="Arial" w:eastAsia="Arial" w:hAnsi="Arial" w:cs="Arial"/>
          <w:rtl/>
        </w:rPr>
        <w:t>الأشخاص ذوي الإعاقة، فإن المشاركة تمثل فرصة فريدة لإدراج الأشخاص المشردين قسريًا من ذوي الإعاقة في خططك وأنشطتك. وإضافة إلى دعم واحدة من أكثر مجموعات الأشخاص</w:t>
      </w:r>
      <w:r w:rsidR="00973022">
        <w:rPr>
          <w:rFonts w:ascii="Arial" w:eastAsia="Arial" w:hAnsi="Arial" w:cs="Arial" w:hint="cs"/>
          <w:rtl/>
        </w:rPr>
        <w:t xml:space="preserve"> تهميشا</w:t>
      </w:r>
      <w:r w:rsidRPr="00112163">
        <w:rPr>
          <w:rFonts w:ascii="Arial" w:eastAsia="Arial" w:hAnsi="Arial" w:cs="Arial"/>
          <w:rtl/>
        </w:rPr>
        <w:t xml:space="preserve"> من ذوي الإعاقة، فإن ذلك سيفتح مسارات تعاون جديدة للمشاركة مع وكالات الأمم المتحدة والجهات الفاعلة الدولية والوطنية الأخرى في المجال الإنساني. يتطلب تنفيذ استراتيجية الأمم المتحدة لإدماج منظور الإعاقة من المنظمات توفير خدمات </w:t>
      </w:r>
      <w:r w:rsidR="00973022">
        <w:rPr>
          <w:rFonts w:ascii="Arial" w:eastAsia="Arial" w:hAnsi="Arial" w:cs="Arial" w:hint="cs"/>
          <w:rtl/>
        </w:rPr>
        <w:t xml:space="preserve">امكانية </w:t>
      </w:r>
      <w:r w:rsidRPr="00112163">
        <w:rPr>
          <w:rFonts w:ascii="Arial" w:eastAsia="Arial" w:hAnsi="Arial" w:cs="Arial"/>
          <w:rtl/>
        </w:rPr>
        <w:t>الوصول والمشورة الفنية</w:t>
      </w:r>
      <w:r w:rsidR="00973022">
        <w:rPr>
          <w:rFonts w:ascii="Arial" w:eastAsia="Arial" w:hAnsi="Arial" w:cs="Arial" w:hint="cs"/>
          <w:rtl/>
        </w:rPr>
        <w:t xml:space="preserve"> وتعتبر المنظمات التي تمثل الاشخاص ذوي الاعاقة افضل من يقوم بتقديم تلك الخدمات</w:t>
      </w:r>
      <w:r w:rsidRPr="00112163">
        <w:rPr>
          <w:rFonts w:ascii="Arial" w:eastAsia="Arial" w:hAnsi="Arial" w:cs="Arial"/>
          <w:rtl/>
        </w:rPr>
        <w:t xml:space="preserve"> . وقد تظهر أيضًا فرصًا للتعلم والعمل عند تنفيذ الاستراتيجية وأيضًا من أجل دعم التعاون بين التحالف والمفوضية في إقليمك/بلدك/منطقتك. </w:t>
      </w:r>
    </w:p>
    <w:p w14:paraId="0024C610" w14:textId="77777777" w:rsidR="00112163" w:rsidRPr="00112163" w:rsidRDefault="00112163" w:rsidP="00AC09E2">
      <w:pPr>
        <w:pStyle w:val="ListBullet"/>
        <w:numPr>
          <w:ilvl w:val="0"/>
          <w:numId w:val="0"/>
        </w:numPr>
        <w:jc w:val="both"/>
        <w:rPr>
          <w:rFonts w:cs="Arial"/>
        </w:rPr>
      </w:pPr>
    </w:p>
    <w:p w14:paraId="40376557"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القيود والتحديات: ما هي العوائق التي قد نواجهها؟ </w:t>
      </w:r>
    </w:p>
    <w:p w14:paraId="44F5EE79" w14:textId="77777777" w:rsidR="00112163" w:rsidRPr="00112163" w:rsidRDefault="00112163" w:rsidP="00AC09E2">
      <w:pPr>
        <w:pStyle w:val="ListBullet"/>
        <w:numPr>
          <w:ilvl w:val="0"/>
          <w:numId w:val="0"/>
        </w:numPr>
        <w:bidi/>
        <w:jc w:val="both"/>
        <w:rPr>
          <w:rFonts w:cs="Arial"/>
        </w:rPr>
      </w:pPr>
      <w:r w:rsidRPr="00112163">
        <w:rPr>
          <w:rFonts w:ascii="Arial" w:eastAsia="Arial" w:hAnsi="Arial" w:cs="Arial"/>
          <w:rtl/>
        </w:rPr>
        <w:t xml:space="preserve">يتعلق التحدي الرئيسي المتوقع لهذا التعاون، لا سيما خلال العام الأول، بالقيود التي تسببها جائحة كوفيد-19 على الصعيد العالمي. يجب أن تتم جميع الاجتماعات والأنشطة عبر الإنترنت، مما يضع قيودًا على جودة وكفاءة المشاركة. يمتلك التحالف والمفوضية الموارد الأولية اللازمة لتنفيذ أنشطة الاتصالات الأولية في عام 2021، ولكن ستكون هناك حاجة لاستخدام موارد إضافية لمتابعة التعاون. كذلك، أثرت الجائحة العالمية على فرص التمويل للعمل الإنساني وإدماج منظور الإعاقة. </w:t>
      </w:r>
    </w:p>
    <w:p w14:paraId="552C1FE9" w14:textId="77777777" w:rsidR="00112163" w:rsidRPr="00112163" w:rsidRDefault="00112163" w:rsidP="00AC09E2">
      <w:pPr>
        <w:pStyle w:val="ListBullet"/>
        <w:numPr>
          <w:ilvl w:val="0"/>
          <w:numId w:val="0"/>
        </w:numPr>
        <w:jc w:val="both"/>
        <w:rPr>
          <w:rFonts w:cs="Arial"/>
        </w:rPr>
      </w:pPr>
    </w:p>
    <w:p w14:paraId="7A13ED75" w14:textId="2EAC9433"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وهناك تحدٍ آخر يتمثل في حداثة الحوار والتعاون بين العاملين في المجال الإنساني ومسؤولي المنظمات </w:t>
      </w:r>
      <w:r w:rsidR="00973022">
        <w:rPr>
          <w:rFonts w:ascii="Arial" w:eastAsia="Arial" w:hAnsi="Arial" w:cs="Arial" w:hint="cs"/>
          <w:rtl/>
        </w:rPr>
        <w:t xml:space="preserve">التي تمثل الاشخاص </w:t>
      </w:r>
      <w:r w:rsidRPr="00112163">
        <w:rPr>
          <w:rFonts w:ascii="Arial" w:eastAsia="Arial" w:hAnsi="Arial" w:cs="Arial"/>
          <w:rtl/>
        </w:rPr>
        <w:t xml:space="preserve"> ذوي الإعاقة في العديد من السياقات. المنظمات الإنسانية بشكلٍ عام ليسوا شركاء معتادين للعديد من المنظمات</w:t>
      </w:r>
      <w:r w:rsidR="00973022">
        <w:rPr>
          <w:rFonts w:ascii="Arial" w:eastAsia="Arial" w:hAnsi="Arial" w:cs="Arial" w:hint="cs"/>
          <w:rtl/>
        </w:rPr>
        <w:t xml:space="preserve"> التي تمثل</w:t>
      </w:r>
      <w:r w:rsidRPr="00112163">
        <w:rPr>
          <w:rFonts w:ascii="Arial" w:eastAsia="Arial" w:hAnsi="Arial" w:cs="Arial"/>
          <w:rtl/>
        </w:rPr>
        <w:t xml:space="preserve"> الأشخاص ذوي الإعاقة، لذا قد يحتاج كلا الجانبين إلى بعض الدعم والوقت لمواءمة التواصل وتطوير الثقة والتفاهم المتبادل. </w:t>
      </w:r>
    </w:p>
    <w:p w14:paraId="5E94DF5E" w14:textId="77777777" w:rsidR="00112163" w:rsidRPr="00112163" w:rsidRDefault="00112163" w:rsidP="00AC09E2">
      <w:pPr>
        <w:pStyle w:val="ListBullet"/>
        <w:numPr>
          <w:ilvl w:val="0"/>
          <w:numId w:val="0"/>
        </w:numPr>
        <w:jc w:val="both"/>
        <w:rPr>
          <w:rFonts w:cs="Arial"/>
        </w:rPr>
      </w:pPr>
    </w:p>
    <w:p w14:paraId="759BFEDF" w14:textId="5F607691"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وأخيرًا، قد تُعيق الأولويات المتنافسة التنفيذ السريع والفعّال لهذا التعاون. تواجه المنظمات </w:t>
      </w:r>
      <w:r w:rsidR="00973022">
        <w:rPr>
          <w:rFonts w:ascii="Arial" w:eastAsia="Arial" w:hAnsi="Arial" w:cs="Arial" w:hint="cs"/>
          <w:rtl/>
        </w:rPr>
        <w:t xml:space="preserve">التي تمثل </w:t>
      </w:r>
      <w:r w:rsidRPr="00112163">
        <w:rPr>
          <w:rFonts w:ascii="Arial" w:eastAsia="Arial" w:hAnsi="Arial" w:cs="Arial"/>
          <w:rtl/>
        </w:rPr>
        <w:t xml:space="preserve">الأشخاص ذوي الإعاقة قيودًا مالية ولوجيستية وتتلقى الكثير من </w:t>
      </w:r>
      <w:r w:rsidR="00973022">
        <w:rPr>
          <w:rFonts w:ascii="Arial" w:eastAsia="Arial" w:hAnsi="Arial" w:cs="Arial" w:hint="cs"/>
          <w:rtl/>
        </w:rPr>
        <w:t xml:space="preserve">طلبات تقديم المشورة </w:t>
      </w:r>
      <w:r w:rsidRPr="00112163">
        <w:rPr>
          <w:rFonts w:ascii="Arial" w:eastAsia="Arial" w:hAnsi="Arial" w:cs="Arial"/>
          <w:rtl/>
        </w:rPr>
        <w:t xml:space="preserve">ا وطلبات الدعم من المجتمع المدني المحلي ووكالات الأمم المتحدة والجهات الفاعلة الأخرى وهو ما يجعل تحديد الأولويات أمرًا صعبًا بالنسبة للكثير </w:t>
      </w:r>
      <w:r w:rsidR="00973022">
        <w:rPr>
          <w:rFonts w:ascii="Arial" w:eastAsia="Arial" w:hAnsi="Arial" w:cs="Arial" w:hint="cs"/>
          <w:rtl/>
        </w:rPr>
        <w:t xml:space="preserve">من تلك المنظمات </w:t>
      </w:r>
      <w:r w:rsidRPr="00112163">
        <w:rPr>
          <w:rFonts w:ascii="Arial" w:eastAsia="Arial" w:hAnsi="Arial" w:cs="Arial"/>
          <w:rtl/>
        </w:rPr>
        <w:t xml:space="preserve">م. وعلى الجانب الآخر، ونظرًا للأزمات المستمرة التي تؤدي إلى النزوح وندرة الموارد بما في ذلك الفهم المحدود بشأن إدماج منظور الإعاقة، قد تواجه فرق المفوضية تحديات في إعطاء الأولوية المطلوبة لإدماج منظور الإعاقة. </w:t>
      </w:r>
    </w:p>
    <w:p w14:paraId="639D93AC" w14:textId="77777777" w:rsidR="00112163" w:rsidRPr="00112163" w:rsidRDefault="00112163" w:rsidP="00AC09E2">
      <w:pPr>
        <w:pStyle w:val="ListBullet"/>
        <w:numPr>
          <w:ilvl w:val="0"/>
          <w:numId w:val="0"/>
        </w:numPr>
        <w:jc w:val="both"/>
        <w:rPr>
          <w:rFonts w:cs="Arial"/>
        </w:rPr>
      </w:pPr>
    </w:p>
    <w:p w14:paraId="1F6239D9" w14:textId="77777777" w:rsidR="00112163" w:rsidRPr="00112163" w:rsidRDefault="00112163" w:rsidP="00AC09E2">
      <w:pPr>
        <w:pStyle w:val="ListBullet"/>
        <w:numPr>
          <w:ilvl w:val="0"/>
          <w:numId w:val="0"/>
        </w:numPr>
        <w:bidi/>
        <w:jc w:val="both"/>
        <w:rPr>
          <w:rFonts w:cs="Arial"/>
          <w:b/>
          <w:bCs/>
        </w:rPr>
      </w:pPr>
      <w:r w:rsidRPr="00112163">
        <w:rPr>
          <w:rFonts w:ascii="Arial" w:eastAsia="Arial" w:hAnsi="Arial" w:cs="Arial"/>
          <w:b/>
          <w:bCs/>
          <w:rtl/>
        </w:rPr>
        <w:t>لمزيدٍ من المعلومات</w:t>
      </w:r>
    </w:p>
    <w:p w14:paraId="6F21A810"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lastRenderedPageBreak/>
        <w:t xml:space="preserve">لمعرفة المزيد عن عمل المفوضية السامية للأمم المتحدة لشؤون اللاجئين مع الأشخاص ذوي الإعاقة، يُرجى زيارة </w:t>
      </w:r>
      <w:hyperlink r:id="rId11" w:history="1">
        <w:r w:rsidRPr="00112163">
          <w:rPr>
            <w:rFonts w:ascii="Arial" w:eastAsia="Arial" w:hAnsi="Arial" w:cs="Arial"/>
            <w:color w:val="0563C1"/>
            <w:u w:val="single"/>
            <w:rtl/>
          </w:rPr>
          <w:t>المفوضية السامية للأمم المتحدة لشؤون اللاجئين - الأشخاص ذوي الإعاقة</w:t>
        </w:r>
      </w:hyperlink>
      <w:r w:rsidRPr="00112163">
        <w:rPr>
          <w:rFonts w:ascii="Arial" w:eastAsia="Arial" w:hAnsi="Arial" w:cs="Arial"/>
          <w:rtl/>
        </w:rPr>
        <w:t>.</w:t>
      </w:r>
    </w:p>
    <w:p w14:paraId="01A0753A"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t xml:space="preserve">لمعرفة المزيد عن أنشطة التحالف الدولي للإعاقة في العمل الإنساني الشامل والحد من مخاطر الكوارث، يُرجى زيارة </w:t>
      </w:r>
      <w:hyperlink r:id="rId12" w:history="1">
        <w:r w:rsidRPr="00112163">
          <w:rPr>
            <w:rFonts w:ascii="Arial" w:eastAsia="Arial" w:hAnsi="Arial" w:cs="Arial"/>
            <w:color w:val="0563C1"/>
            <w:u w:val="single"/>
            <w:rtl/>
          </w:rPr>
          <w:t>العمل الإنساني الشامل والحد من مخاطر الكوارث | التحالف الدولي للإعاقة</w:t>
        </w:r>
      </w:hyperlink>
      <w:r w:rsidRPr="00112163">
        <w:rPr>
          <w:rFonts w:ascii="Arial" w:eastAsia="Arial" w:hAnsi="Arial" w:cs="Arial"/>
          <w:rtl/>
        </w:rPr>
        <w:t>.</w:t>
      </w:r>
    </w:p>
    <w:p w14:paraId="3850E164"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t xml:space="preserve">إذا كانت لديك أي أسئلة أو ترغب في المشاركة أكثر، يمكنك التواصل باستخدام بيانات الاتصال التالية: </w:t>
      </w:r>
    </w:p>
    <w:p w14:paraId="59B8A081" w14:textId="554E95A4" w:rsidR="00112163" w:rsidRPr="00112163" w:rsidRDefault="00112163" w:rsidP="00AC09E2">
      <w:pPr>
        <w:pStyle w:val="ListParagraph"/>
        <w:bidi/>
        <w:jc w:val="both"/>
        <w:rPr>
          <w:rFonts w:cs="Arial"/>
          <w:lang w:val="en-GB"/>
        </w:rPr>
      </w:pPr>
      <w:r w:rsidRPr="00112163">
        <w:rPr>
          <w:rFonts w:ascii="Arial" w:eastAsia="Arial" w:hAnsi="Arial" w:cs="Arial"/>
          <w:rtl/>
          <w:lang w:val="en-GB"/>
        </w:rPr>
        <w:t xml:space="preserve">بالنسبة للمفوضية السامية للأمم المتحدة لشؤون اللاجئين: ريكاردو بلا كورديرو </w:t>
      </w:r>
      <w:r w:rsidR="007320D7">
        <w:rPr>
          <w:rFonts w:ascii="Arial" w:eastAsia="Arial" w:hAnsi="Arial" w:cs="Arial"/>
          <w:rtl/>
          <w:lang w:val="en-GB"/>
        </w:rPr>
        <w:t>عن طريق عنوان البريد الإلكتروني</w:t>
      </w:r>
      <w:hyperlink r:id="rId13" w:history="1">
        <w:r w:rsidRPr="00112163">
          <w:rPr>
            <w:rFonts w:ascii="Arial" w:eastAsia="Arial" w:hAnsi="Arial" w:cs="Arial"/>
            <w:color w:val="0563C1"/>
            <w:lang w:val="en-GB"/>
          </w:rPr>
          <w:t xml:space="preserve"> </w:t>
        </w:r>
        <w:r w:rsidRPr="00112163">
          <w:rPr>
            <w:rFonts w:ascii="Arial" w:eastAsia="Arial" w:hAnsi="Arial" w:cs="Arial"/>
            <w:color w:val="0563C1"/>
            <w:u w:val="single"/>
            <w:lang w:val="en-GB"/>
          </w:rPr>
          <w:t>placorde@unhcr.org</w:t>
        </w:r>
      </w:hyperlink>
      <w:r w:rsidRPr="00112163">
        <w:rPr>
          <w:rFonts w:ascii="Arial" w:eastAsia="Arial" w:hAnsi="Arial" w:cs="Arial"/>
          <w:rtl/>
          <w:lang w:val="en-GB"/>
        </w:rPr>
        <w:t xml:space="preserve"> </w:t>
      </w:r>
    </w:p>
    <w:p w14:paraId="7B2B4489" w14:textId="4F1EE630" w:rsidR="005B6740" w:rsidRPr="00A34DFE" w:rsidRDefault="00112163" w:rsidP="00AC09E2">
      <w:pPr>
        <w:pStyle w:val="ListParagraph"/>
        <w:bidi/>
        <w:jc w:val="both"/>
      </w:pPr>
      <w:r w:rsidRPr="00112163">
        <w:rPr>
          <w:rFonts w:ascii="Arial" w:eastAsia="Arial" w:hAnsi="Arial" w:cs="Arial"/>
          <w:rtl/>
        </w:rPr>
        <w:t xml:space="preserve">بالنسبة للتحالف الدولي للإعاقة: إلهام يوسفيان عن طريق عنوان البريد الإلكتروني </w:t>
      </w:r>
      <w:hyperlink r:id="rId14" w:history="1">
        <w:r w:rsidRPr="00112163">
          <w:rPr>
            <w:rFonts w:ascii="Arial" w:eastAsia="Arial" w:hAnsi="Arial" w:cs="Arial"/>
            <w:color w:val="0563C1"/>
          </w:rPr>
          <w:t xml:space="preserve"> </w:t>
        </w:r>
        <w:r w:rsidRPr="00112163">
          <w:rPr>
            <w:rFonts w:ascii="Arial" w:eastAsia="Arial" w:hAnsi="Arial" w:cs="Arial"/>
            <w:color w:val="0563C1"/>
            <w:u w:val="single"/>
          </w:rPr>
          <w:t>eyoussefian@ida-secretariat.org</w:t>
        </w:r>
      </w:hyperlink>
      <w:r w:rsidRPr="00112163">
        <w:rPr>
          <w:rFonts w:ascii="Arial" w:eastAsia="Arial" w:hAnsi="Arial" w:cs="Arial"/>
          <w:rtl/>
        </w:rPr>
        <w:t xml:space="preserve"> </w:t>
      </w:r>
    </w:p>
    <w:sectPr w:rsidR="005B6740" w:rsidRPr="00A3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423B" w14:textId="77777777" w:rsidR="00D63845" w:rsidRDefault="00D63845">
      <w:pPr>
        <w:spacing w:after="0" w:line="240" w:lineRule="auto"/>
      </w:pPr>
      <w:r>
        <w:separator/>
      </w:r>
    </w:p>
  </w:endnote>
  <w:endnote w:type="continuationSeparator" w:id="0">
    <w:p w14:paraId="06A0B696" w14:textId="77777777" w:rsidR="00D63845" w:rsidRDefault="00D6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DFCC" w14:textId="77777777" w:rsidR="00D63845" w:rsidRDefault="00D63845" w:rsidP="00B956F1">
      <w:pPr>
        <w:spacing w:after="0" w:line="240" w:lineRule="auto"/>
      </w:pPr>
      <w:r>
        <w:separator/>
      </w:r>
    </w:p>
  </w:footnote>
  <w:footnote w:type="continuationSeparator" w:id="0">
    <w:p w14:paraId="6C1D4D09" w14:textId="77777777" w:rsidR="00D63845" w:rsidRDefault="00D63845" w:rsidP="00B956F1">
      <w:pPr>
        <w:spacing w:after="0" w:line="240" w:lineRule="auto"/>
      </w:pPr>
      <w:r>
        <w:continuationSeparator/>
      </w:r>
    </w:p>
  </w:footnote>
  <w:footnote w:id="1">
    <w:p w14:paraId="38F64E25" w14:textId="38337BD8" w:rsidR="00112163" w:rsidRDefault="00112163" w:rsidP="00A34DFE">
      <w:pPr>
        <w:pStyle w:val="FootnoteText"/>
        <w:bidi/>
      </w:pPr>
      <w:r w:rsidRPr="00112163">
        <w:rPr>
          <w:rStyle w:val="FootnoteReference"/>
          <w:rFonts w:cs="Arial"/>
        </w:rPr>
        <w:footnoteRef/>
      </w:r>
      <w:r w:rsidRPr="00112163">
        <w:rPr>
          <w:rFonts w:ascii="Arial" w:eastAsia="Arial" w:hAnsi="Arial" w:cs="Arial"/>
          <w:rtl/>
        </w:rPr>
        <w:t xml:space="preserve"> هذا التقدير مستمد من تطبيق التقدير العالمي للإعاقة بنسبة 15% (تقرير منظمة الصحة العالمية العالمي بشأن الإعاقة، 2011) على ما يقرب من 80 مليون مشرد قسريًا في عام 2020 (</w:t>
      </w:r>
      <w:hyperlink r:id="rId1" w:history="1">
        <w:r w:rsidRPr="00112163">
          <w:rPr>
            <w:rFonts w:ascii="Arial" w:eastAsia="Arial" w:hAnsi="Arial" w:cs="Arial"/>
            <w:color w:val="0563C1"/>
            <w:u w:val="single"/>
            <w:rtl/>
          </w:rPr>
          <w:t>تقرير اتجاهات منتصف العام 2020 للمفوضية السامية للأمم المتحدة لشؤون اللاجئين</w:t>
        </w:r>
      </w:hyperlink>
      <w:r w:rsidRPr="00112163">
        <w:rPr>
          <w:rFonts w:ascii="Arial" w:eastAsia="Arial" w:hAnsi="Arial" w:cs="Arial"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7009D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5D31E97"/>
    <w:multiLevelType w:val="hybridMultilevel"/>
    <w:tmpl w:val="97028E40"/>
    <w:lvl w:ilvl="0" w:tplc="E124B1CC">
      <w:start w:val="1"/>
      <w:numFmt w:val="upperLetter"/>
      <w:lvlText w:val="%1."/>
      <w:lvlJc w:val="left"/>
      <w:pPr>
        <w:ind w:left="720" w:hanging="360"/>
      </w:pPr>
      <w:rPr>
        <w:rFonts w:hint="default"/>
      </w:rPr>
    </w:lvl>
    <w:lvl w:ilvl="1" w:tplc="51D81CF2" w:tentative="1">
      <w:start w:val="1"/>
      <w:numFmt w:val="lowerLetter"/>
      <w:lvlText w:val="%2."/>
      <w:lvlJc w:val="left"/>
      <w:pPr>
        <w:ind w:left="1440" w:hanging="360"/>
      </w:pPr>
    </w:lvl>
    <w:lvl w:ilvl="2" w:tplc="F65CAD86" w:tentative="1">
      <w:start w:val="1"/>
      <w:numFmt w:val="lowerRoman"/>
      <w:lvlText w:val="%3."/>
      <w:lvlJc w:val="right"/>
      <w:pPr>
        <w:ind w:left="2160" w:hanging="180"/>
      </w:pPr>
    </w:lvl>
    <w:lvl w:ilvl="3" w:tplc="6AEC4B30" w:tentative="1">
      <w:start w:val="1"/>
      <w:numFmt w:val="decimal"/>
      <w:lvlText w:val="%4."/>
      <w:lvlJc w:val="left"/>
      <w:pPr>
        <w:ind w:left="2880" w:hanging="360"/>
      </w:pPr>
    </w:lvl>
    <w:lvl w:ilvl="4" w:tplc="CCD6DB12" w:tentative="1">
      <w:start w:val="1"/>
      <w:numFmt w:val="lowerLetter"/>
      <w:lvlText w:val="%5."/>
      <w:lvlJc w:val="left"/>
      <w:pPr>
        <w:ind w:left="3600" w:hanging="360"/>
      </w:pPr>
    </w:lvl>
    <w:lvl w:ilvl="5" w:tplc="05B2D0BC" w:tentative="1">
      <w:start w:val="1"/>
      <w:numFmt w:val="lowerRoman"/>
      <w:lvlText w:val="%6."/>
      <w:lvlJc w:val="right"/>
      <w:pPr>
        <w:ind w:left="4320" w:hanging="180"/>
      </w:pPr>
    </w:lvl>
    <w:lvl w:ilvl="6" w:tplc="73F02A9E" w:tentative="1">
      <w:start w:val="1"/>
      <w:numFmt w:val="decimal"/>
      <w:lvlText w:val="%7."/>
      <w:lvlJc w:val="left"/>
      <w:pPr>
        <w:ind w:left="5040" w:hanging="360"/>
      </w:pPr>
    </w:lvl>
    <w:lvl w:ilvl="7" w:tplc="42703382" w:tentative="1">
      <w:start w:val="1"/>
      <w:numFmt w:val="lowerLetter"/>
      <w:lvlText w:val="%8."/>
      <w:lvlJc w:val="left"/>
      <w:pPr>
        <w:ind w:left="5760" w:hanging="360"/>
      </w:pPr>
    </w:lvl>
    <w:lvl w:ilvl="8" w:tplc="6E6EF02A" w:tentative="1">
      <w:start w:val="1"/>
      <w:numFmt w:val="lowerRoman"/>
      <w:lvlText w:val="%9."/>
      <w:lvlJc w:val="right"/>
      <w:pPr>
        <w:ind w:left="6480" w:hanging="180"/>
      </w:pPr>
    </w:lvl>
  </w:abstractNum>
  <w:abstractNum w:abstractNumId="2" w15:restartNumberingAfterBreak="0">
    <w:nsid w:val="088F7CED"/>
    <w:multiLevelType w:val="hybridMultilevel"/>
    <w:tmpl w:val="37C8433E"/>
    <w:lvl w:ilvl="0" w:tplc="47064168">
      <w:start w:val="1"/>
      <w:numFmt w:val="decimal"/>
      <w:lvlText w:val="%1."/>
      <w:lvlJc w:val="left"/>
      <w:pPr>
        <w:ind w:left="360" w:hanging="360"/>
      </w:pPr>
      <w:rPr>
        <w:rFonts w:hint="default"/>
      </w:rPr>
    </w:lvl>
    <w:lvl w:ilvl="1" w:tplc="AD646A88" w:tentative="1">
      <w:start w:val="1"/>
      <w:numFmt w:val="lowerLetter"/>
      <w:lvlText w:val="%2."/>
      <w:lvlJc w:val="left"/>
      <w:pPr>
        <w:ind w:left="1080" w:hanging="360"/>
      </w:pPr>
    </w:lvl>
    <w:lvl w:ilvl="2" w:tplc="6D8C2496" w:tentative="1">
      <w:start w:val="1"/>
      <w:numFmt w:val="lowerRoman"/>
      <w:lvlText w:val="%3."/>
      <w:lvlJc w:val="right"/>
      <w:pPr>
        <w:ind w:left="1800" w:hanging="180"/>
      </w:pPr>
    </w:lvl>
    <w:lvl w:ilvl="3" w:tplc="F7CC02F6" w:tentative="1">
      <w:start w:val="1"/>
      <w:numFmt w:val="decimal"/>
      <w:lvlText w:val="%4."/>
      <w:lvlJc w:val="left"/>
      <w:pPr>
        <w:ind w:left="2520" w:hanging="360"/>
      </w:pPr>
    </w:lvl>
    <w:lvl w:ilvl="4" w:tplc="15A26BC4" w:tentative="1">
      <w:start w:val="1"/>
      <w:numFmt w:val="lowerLetter"/>
      <w:lvlText w:val="%5."/>
      <w:lvlJc w:val="left"/>
      <w:pPr>
        <w:ind w:left="3240" w:hanging="360"/>
      </w:pPr>
    </w:lvl>
    <w:lvl w:ilvl="5" w:tplc="B506235C" w:tentative="1">
      <w:start w:val="1"/>
      <w:numFmt w:val="lowerRoman"/>
      <w:lvlText w:val="%6."/>
      <w:lvlJc w:val="right"/>
      <w:pPr>
        <w:ind w:left="3960" w:hanging="180"/>
      </w:pPr>
    </w:lvl>
    <w:lvl w:ilvl="6" w:tplc="FFB0B8B0" w:tentative="1">
      <w:start w:val="1"/>
      <w:numFmt w:val="decimal"/>
      <w:lvlText w:val="%7."/>
      <w:lvlJc w:val="left"/>
      <w:pPr>
        <w:ind w:left="4680" w:hanging="360"/>
      </w:pPr>
    </w:lvl>
    <w:lvl w:ilvl="7" w:tplc="AB0A1450" w:tentative="1">
      <w:start w:val="1"/>
      <w:numFmt w:val="lowerLetter"/>
      <w:lvlText w:val="%8."/>
      <w:lvlJc w:val="left"/>
      <w:pPr>
        <w:ind w:left="5400" w:hanging="360"/>
      </w:pPr>
    </w:lvl>
    <w:lvl w:ilvl="8" w:tplc="7FB02426" w:tentative="1">
      <w:start w:val="1"/>
      <w:numFmt w:val="lowerRoman"/>
      <w:lvlText w:val="%9."/>
      <w:lvlJc w:val="right"/>
      <w:pPr>
        <w:ind w:left="6120" w:hanging="180"/>
      </w:pPr>
    </w:lvl>
  </w:abstractNum>
  <w:abstractNum w:abstractNumId="3" w15:restartNumberingAfterBreak="0">
    <w:nsid w:val="0CB53C38"/>
    <w:multiLevelType w:val="hybridMultilevel"/>
    <w:tmpl w:val="2CE8141C"/>
    <w:lvl w:ilvl="0" w:tplc="D7068E00">
      <w:start w:val="1"/>
      <w:numFmt w:val="arabicAbjad"/>
      <w:lvlText w:val="%1."/>
      <w:lvlJc w:val="left"/>
      <w:pPr>
        <w:ind w:left="360" w:hanging="360"/>
      </w:pPr>
      <w:rPr>
        <w:rFonts w:hint="default"/>
      </w:rPr>
    </w:lvl>
    <w:lvl w:ilvl="1" w:tplc="93F460BA" w:tentative="1">
      <w:start w:val="1"/>
      <w:numFmt w:val="lowerLetter"/>
      <w:lvlText w:val="%2."/>
      <w:lvlJc w:val="left"/>
      <w:pPr>
        <w:ind w:left="1080" w:hanging="360"/>
      </w:pPr>
    </w:lvl>
    <w:lvl w:ilvl="2" w:tplc="26CCD29A" w:tentative="1">
      <w:start w:val="1"/>
      <w:numFmt w:val="lowerRoman"/>
      <w:lvlText w:val="%3."/>
      <w:lvlJc w:val="right"/>
      <w:pPr>
        <w:ind w:left="1800" w:hanging="180"/>
      </w:pPr>
    </w:lvl>
    <w:lvl w:ilvl="3" w:tplc="02F6D138" w:tentative="1">
      <w:start w:val="1"/>
      <w:numFmt w:val="decimal"/>
      <w:lvlText w:val="%4."/>
      <w:lvlJc w:val="left"/>
      <w:pPr>
        <w:ind w:left="2520" w:hanging="360"/>
      </w:pPr>
    </w:lvl>
    <w:lvl w:ilvl="4" w:tplc="001EB87C" w:tentative="1">
      <w:start w:val="1"/>
      <w:numFmt w:val="lowerLetter"/>
      <w:lvlText w:val="%5."/>
      <w:lvlJc w:val="left"/>
      <w:pPr>
        <w:ind w:left="3240" w:hanging="360"/>
      </w:pPr>
    </w:lvl>
    <w:lvl w:ilvl="5" w:tplc="1E527CC2" w:tentative="1">
      <w:start w:val="1"/>
      <w:numFmt w:val="lowerRoman"/>
      <w:lvlText w:val="%6."/>
      <w:lvlJc w:val="right"/>
      <w:pPr>
        <w:ind w:left="3960" w:hanging="180"/>
      </w:pPr>
    </w:lvl>
    <w:lvl w:ilvl="6" w:tplc="A01A95BA" w:tentative="1">
      <w:start w:val="1"/>
      <w:numFmt w:val="decimal"/>
      <w:lvlText w:val="%7."/>
      <w:lvlJc w:val="left"/>
      <w:pPr>
        <w:ind w:left="4680" w:hanging="360"/>
      </w:pPr>
    </w:lvl>
    <w:lvl w:ilvl="7" w:tplc="97843A82" w:tentative="1">
      <w:start w:val="1"/>
      <w:numFmt w:val="lowerLetter"/>
      <w:lvlText w:val="%8."/>
      <w:lvlJc w:val="left"/>
      <w:pPr>
        <w:ind w:left="5400" w:hanging="360"/>
      </w:pPr>
    </w:lvl>
    <w:lvl w:ilvl="8" w:tplc="F1F01A16" w:tentative="1">
      <w:start w:val="1"/>
      <w:numFmt w:val="lowerRoman"/>
      <w:lvlText w:val="%9."/>
      <w:lvlJc w:val="right"/>
      <w:pPr>
        <w:ind w:left="6120" w:hanging="180"/>
      </w:pPr>
    </w:lvl>
  </w:abstractNum>
  <w:abstractNum w:abstractNumId="4" w15:restartNumberingAfterBreak="0">
    <w:nsid w:val="16C525D4"/>
    <w:multiLevelType w:val="hybridMultilevel"/>
    <w:tmpl w:val="79E2508A"/>
    <w:lvl w:ilvl="0" w:tplc="9F2E125E">
      <w:start w:val="4"/>
      <w:numFmt w:val="decimal"/>
      <w:lvlText w:val="%1"/>
      <w:lvlJc w:val="left"/>
      <w:pPr>
        <w:ind w:left="720" w:hanging="360"/>
      </w:pPr>
      <w:rPr>
        <w:rFonts w:hint="default"/>
      </w:rPr>
    </w:lvl>
    <w:lvl w:ilvl="1" w:tplc="EA0C82CE" w:tentative="1">
      <w:start w:val="1"/>
      <w:numFmt w:val="lowerLetter"/>
      <w:lvlText w:val="%2."/>
      <w:lvlJc w:val="left"/>
      <w:pPr>
        <w:ind w:left="1440" w:hanging="360"/>
      </w:pPr>
    </w:lvl>
    <w:lvl w:ilvl="2" w:tplc="999ECFB6" w:tentative="1">
      <w:start w:val="1"/>
      <w:numFmt w:val="lowerRoman"/>
      <w:lvlText w:val="%3."/>
      <w:lvlJc w:val="right"/>
      <w:pPr>
        <w:ind w:left="2160" w:hanging="180"/>
      </w:pPr>
    </w:lvl>
    <w:lvl w:ilvl="3" w:tplc="17B0F8DC" w:tentative="1">
      <w:start w:val="1"/>
      <w:numFmt w:val="decimal"/>
      <w:lvlText w:val="%4."/>
      <w:lvlJc w:val="left"/>
      <w:pPr>
        <w:ind w:left="2880" w:hanging="360"/>
      </w:pPr>
    </w:lvl>
    <w:lvl w:ilvl="4" w:tplc="C6B6AD14" w:tentative="1">
      <w:start w:val="1"/>
      <w:numFmt w:val="lowerLetter"/>
      <w:lvlText w:val="%5."/>
      <w:lvlJc w:val="left"/>
      <w:pPr>
        <w:ind w:left="3600" w:hanging="360"/>
      </w:pPr>
    </w:lvl>
    <w:lvl w:ilvl="5" w:tplc="8286F2A0" w:tentative="1">
      <w:start w:val="1"/>
      <w:numFmt w:val="lowerRoman"/>
      <w:lvlText w:val="%6."/>
      <w:lvlJc w:val="right"/>
      <w:pPr>
        <w:ind w:left="4320" w:hanging="180"/>
      </w:pPr>
    </w:lvl>
    <w:lvl w:ilvl="6" w:tplc="73DC5CC4" w:tentative="1">
      <w:start w:val="1"/>
      <w:numFmt w:val="decimal"/>
      <w:lvlText w:val="%7."/>
      <w:lvlJc w:val="left"/>
      <w:pPr>
        <w:ind w:left="5040" w:hanging="360"/>
      </w:pPr>
    </w:lvl>
    <w:lvl w:ilvl="7" w:tplc="3F6ECC90" w:tentative="1">
      <w:start w:val="1"/>
      <w:numFmt w:val="lowerLetter"/>
      <w:lvlText w:val="%8."/>
      <w:lvlJc w:val="left"/>
      <w:pPr>
        <w:ind w:left="5760" w:hanging="360"/>
      </w:pPr>
    </w:lvl>
    <w:lvl w:ilvl="8" w:tplc="2982B3B0" w:tentative="1">
      <w:start w:val="1"/>
      <w:numFmt w:val="lowerRoman"/>
      <w:lvlText w:val="%9."/>
      <w:lvlJc w:val="right"/>
      <w:pPr>
        <w:ind w:left="6480" w:hanging="180"/>
      </w:pPr>
    </w:lvl>
  </w:abstractNum>
  <w:abstractNum w:abstractNumId="5" w15:restartNumberingAfterBreak="0">
    <w:nsid w:val="2EFD6281"/>
    <w:multiLevelType w:val="hybridMultilevel"/>
    <w:tmpl w:val="58680A0E"/>
    <w:lvl w:ilvl="0" w:tplc="6F1AD146">
      <w:start w:val="4"/>
      <w:numFmt w:val="decimal"/>
      <w:lvlText w:val="%1"/>
      <w:lvlJc w:val="left"/>
      <w:pPr>
        <w:ind w:left="720" w:hanging="360"/>
      </w:pPr>
      <w:rPr>
        <w:rFonts w:hint="default"/>
      </w:rPr>
    </w:lvl>
    <w:lvl w:ilvl="1" w:tplc="293EBCAA" w:tentative="1">
      <w:start w:val="1"/>
      <w:numFmt w:val="lowerLetter"/>
      <w:lvlText w:val="%2."/>
      <w:lvlJc w:val="left"/>
      <w:pPr>
        <w:ind w:left="1440" w:hanging="360"/>
      </w:pPr>
    </w:lvl>
    <w:lvl w:ilvl="2" w:tplc="4F4EF354" w:tentative="1">
      <w:start w:val="1"/>
      <w:numFmt w:val="lowerRoman"/>
      <w:lvlText w:val="%3."/>
      <w:lvlJc w:val="right"/>
      <w:pPr>
        <w:ind w:left="2160" w:hanging="180"/>
      </w:pPr>
    </w:lvl>
    <w:lvl w:ilvl="3" w:tplc="8F1A5DC8" w:tentative="1">
      <w:start w:val="1"/>
      <w:numFmt w:val="decimal"/>
      <w:lvlText w:val="%4."/>
      <w:lvlJc w:val="left"/>
      <w:pPr>
        <w:ind w:left="2880" w:hanging="360"/>
      </w:pPr>
    </w:lvl>
    <w:lvl w:ilvl="4" w:tplc="3ACE7842" w:tentative="1">
      <w:start w:val="1"/>
      <w:numFmt w:val="lowerLetter"/>
      <w:lvlText w:val="%5."/>
      <w:lvlJc w:val="left"/>
      <w:pPr>
        <w:ind w:left="3600" w:hanging="360"/>
      </w:pPr>
    </w:lvl>
    <w:lvl w:ilvl="5" w:tplc="F864DBDC" w:tentative="1">
      <w:start w:val="1"/>
      <w:numFmt w:val="lowerRoman"/>
      <w:lvlText w:val="%6."/>
      <w:lvlJc w:val="right"/>
      <w:pPr>
        <w:ind w:left="4320" w:hanging="180"/>
      </w:pPr>
    </w:lvl>
    <w:lvl w:ilvl="6" w:tplc="43EC1EAC" w:tentative="1">
      <w:start w:val="1"/>
      <w:numFmt w:val="decimal"/>
      <w:lvlText w:val="%7."/>
      <w:lvlJc w:val="left"/>
      <w:pPr>
        <w:ind w:left="5040" w:hanging="360"/>
      </w:pPr>
    </w:lvl>
    <w:lvl w:ilvl="7" w:tplc="1734A4E2" w:tentative="1">
      <w:start w:val="1"/>
      <w:numFmt w:val="lowerLetter"/>
      <w:lvlText w:val="%8."/>
      <w:lvlJc w:val="left"/>
      <w:pPr>
        <w:ind w:left="5760" w:hanging="360"/>
      </w:pPr>
    </w:lvl>
    <w:lvl w:ilvl="8" w:tplc="1CC890C4" w:tentative="1">
      <w:start w:val="1"/>
      <w:numFmt w:val="lowerRoman"/>
      <w:lvlText w:val="%9."/>
      <w:lvlJc w:val="right"/>
      <w:pPr>
        <w:ind w:left="6480" w:hanging="180"/>
      </w:pPr>
    </w:lvl>
  </w:abstractNum>
  <w:abstractNum w:abstractNumId="6" w15:restartNumberingAfterBreak="0">
    <w:nsid w:val="32971217"/>
    <w:multiLevelType w:val="hybridMultilevel"/>
    <w:tmpl w:val="74509F60"/>
    <w:lvl w:ilvl="0" w:tplc="0DE80288">
      <w:start w:val="1"/>
      <w:numFmt w:val="decimal"/>
      <w:lvlText w:val="%1."/>
      <w:lvlJc w:val="left"/>
      <w:pPr>
        <w:ind w:left="360" w:hanging="360"/>
      </w:pPr>
    </w:lvl>
    <w:lvl w:ilvl="1" w:tplc="8DCAEA0A" w:tentative="1">
      <w:start w:val="1"/>
      <w:numFmt w:val="lowerLetter"/>
      <w:lvlText w:val="%2."/>
      <w:lvlJc w:val="left"/>
      <w:pPr>
        <w:ind w:left="1080" w:hanging="360"/>
      </w:pPr>
    </w:lvl>
    <w:lvl w:ilvl="2" w:tplc="3E3AC804" w:tentative="1">
      <w:start w:val="1"/>
      <w:numFmt w:val="lowerRoman"/>
      <w:lvlText w:val="%3."/>
      <w:lvlJc w:val="right"/>
      <w:pPr>
        <w:ind w:left="1800" w:hanging="180"/>
      </w:pPr>
    </w:lvl>
    <w:lvl w:ilvl="3" w:tplc="DC0EBFC8" w:tentative="1">
      <w:start w:val="1"/>
      <w:numFmt w:val="decimal"/>
      <w:lvlText w:val="%4."/>
      <w:lvlJc w:val="left"/>
      <w:pPr>
        <w:ind w:left="2520" w:hanging="360"/>
      </w:pPr>
    </w:lvl>
    <w:lvl w:ilvl="4" w:tplc="F594ED0A" w:tentative="1">
      <w:start w:val="1"/>
      <w:numFmt w:val="lowerLetter"/>
      <w:lvlText w:val="%5."/>
      <w:lvlJc w:val="left"/>
      <w:pPr>
        <w:ind w:left="3240" w:hanging="360"/>
      </w:pPr>
    </w:lvl>
    <w:lvl w:ilvl="5" w:tplc="1C0440B8" w:tentative="1">
      <w:start w:val="1"/>
      <w:numFmt w:val="lowerRoman"/>
      <w:lvlText w:val="%6."/>
      <w:lvlJc w:val="right"/>
      <w:pPr>
        <w:ind w:left="3960" w:hanging="180"/>
      </w:pPr>
    </w:lvl>
    <w:lvl w:ilvl="6" w:tplc="303023C2" w:tentative="1">
      <w:start w:val="1"/>
      <w:numFmt w:val="decimal"/>
      <w:lvlText w:val="%7."/>
      <w:lvlJc w:val="left"/>
      <w:pPr>
        <w:ind w:left="4680" w:hanging="360"/>
      </w:pPr>
    </w:lvl>
    <w:lvl w:ilvl="7" w:tplc="1A56ADE8" w:tentative="1">
      <w:start w:val="1"/>
      <w:numFmt w:val="lowerLetter"/>
      <w:lvlText w:val="%8."/>
      <w:lvlJc w:val="left"/>
      <w:pPr>
        <w:ind w:left="5400" w:hanging="360"/>
      </w:pPr>
    </w:lvl>
    <w:lvl w:ilvl="8" w:tplc="2DA0C506" w:tentative="1">
      <w:start w:val="1"/>
      <w:numFmt w:val="lowerRoman"/>
      <w:lvlText w:val="%9."/>
      <w:lvlJc w:val="right"/>
      <w:pPr>
        <w:ind w:left="6120" w:hanging="180"/>
      </w:pPr>
    </w:lvl>
  </w:abstractNum>
  <w:abstractNum w:abstractNumId="7" w15:restartNumberingAfterBreak="0">
    <w:nsid w:val="3ED658FD"/>
    <w:multiLevelType w:val="hybridMultilevel"/>
    <w:tmpl w:val="D838607A"/>
    <w:lvl w:ilvl="0" w:tplc="1E5AAD9A">
      <w:start w:val="4"/>
      <w:numFmt w:val="decimal"/>
      <w:lvlText w:val="%1"/>
      <w:lvlJc w:val="left"/>
      <w:pPr>
        <w:ind w:left="1440" w:hanging="720"/>
      </w:pPr>
      <w:rPr>
        <w:rFonts w:hint="default"/>
      </w:rPr>
    </w:lvl>
    <w:lvl w:ilvl="1" w:tplc="815C0F98" w:tentative="1">
      <w:start w:val="1"/>
      <w:numFmt w:val="lowerLetter"/>
      <w:lvlText w:val="%2."/>
      <w:lvlJc w:val="left"/>
      <w:pPr>
        <w:ind w:left="1800" w:hanging="360"/>
      </w:pPr>
    </w:lvl>
    <w:lvl w:ilvl="2" w:tplc="8CF8A698" w:tentative="1">
      <w:start w:val="1"/>
      <w:numFmt w:val="lowerRoman"/>
      <w:lvlText w:val="%3."/>
      <w:lvlJc w:val="right"/>
      <w:pPr>
        <w:ind w:left="2520" w:hanging="180"/>
      </w:pPr>
    </w:lvl>
    <w:lvl w:ilvl="3" w:tplc="8E06EE46" w:tentative="1">
      <w:start w:val="1"/>
      <w:numFmt w:val="decimal"/>
      <w:lvlText w:val="%4."/>
      <w:lvlJc w:val="left"/>
      <w:pPr>
        <w:ind w:left="3240" w:hanging="360"/>
      </w:pPr>
    </w:lvl>
    <w:lvl w:ilvl="4" w:tplc="90580CE8" w:tentative="1">
      <w:start w:val="1"/>
      <w:numFmt w:val="lowerLetter"/>
      <w:lvlText w:val="%5."/>
      <w:lvlJc w:val="left"/>
      <w:pPr>
        <w:ind w:left="3960" w:hanging="360"/>
      </w:pPr>
    </w:lvl>
    <w:lvl w:ilvl="5" w:tplc="9E301ED4" w:tentative="1">
      <w:start w:val="1"/>
      <w:numFmt w:val="lowerRoman"/>
      <w:lvlText w:val="%6."/>
      <w:lvlJc w:val="right"/>
      <w:pPr>
        <w:ind w:left="4680" w:hanging="180"/>
      </w:pPr>
    </w:lvl>
    <w:lvl w:ilvl="6" w:tplc="F7120E18" w:tentative="1">
      <w:start w:val="1"/>
      <w:numFmt w:val="decimal"/>
      <w:lvlText w:val="%7."/>
      <w:lvlJc w:val="left"/>
      <w:pPr>
        <w:ind w:left="5400" w:hanging="360"/>
      </w:pPr>
    </w:lvl>
    <w:lvl w:ilvl="7" w:tplc="3516E16A" w:tentative="1">
      <w:start w:val="1"/>
      <w:numFmt w:val="lowerLetter"/>
      <w:lvlText w:val="%8."/>
      <w:lvlJc w:val="left"/>
      <w:pPr>
        <w:ind w:left="6120" w:hanging="360"/>
      </w:pPr>
    </w:lvl>
    <w:lvl w:ilvl="8" w:tplc="4CE420BC" w:tentative="1">
      <w:start w:val="1"/>
      <w:numFmt w:val="lowerRoman"/>
      <w:lvlText w:val="%9."/>
      <w:lvlJc w:val="right"/>
      <w:pPr>
        <w:ind w:left="6840" w:hanging="180"/>
      </w:pPr>
    </w:lvl>
  </w:abstractNum>
  <w:abstractNum w:abstractNumId="8" w15:restartNumberingAfterBreak="0">
    <w:nsid w:val="4FA4136F"/>
    <w:multiLevelType w:val="hybridMultilevel"/>
    <w:tmpl w:val="A9A257F4"/>
    <w:lvl w:ilvl="0" w:tplc="8904F3DE">
      <w:start w:val="4"/>
      <w:numFmt w:val="decimal"/>
      <w:lvlText w:val="%1"/>
      <w:lvlJc w:val="left"/>
      <w:pPr>
        <w:ind w:left="720" w:hanging="360"/>
      </w:pPr>
      <w:rPr>
        <w:rFonts w:hint="default"/>
      </w:rPr>
    </w:lvl>
    <w:lvl w:ilvl="1" w:tplc="5282D86C" w:tentative="1">
      <w:start w:val="1"/>
      <w:numFmt w:val="lowerLetter"/>
      <w:lvlText w:val="%2."/>
      <w:lvlJc w:val="left"/>
      <w:pPr>
        <w:ind w:left="1440" w:hanging="360"/>
      </w:pPr>
    </w:lvl>
    <w:lvl w:ilvl="2" w:tplc="37A08142" w:tentative="1">
      <w:start w:val="1"/>
      <w:numFmt w:val="lowerRoman"/>
      <w:lvlText w:val="%3."/>
      <w:lvlJc w:val="right"/>
      <w:pPr>
        <w:ind w:left="2160" w:hanging="180"/>
      </w:pPr>
    </w:lvl>
    <w:lvl w:ilvl="3" w:tplc="683EB48A" w:tentative="1">
      <w:start w:val="1"/>
      <w:numFmt w:val="decimal"/>
      <w:lvlText w:val="%4."/>
      <w:lvlJc w:val="left"/>
      <w:pPr>
        <w:ind w:left="2880" w:hanging="360"/>
      </w:pPr>
    </w:lvl>
    <w:lvl w:ilvl="4" w:tplc="83280DEA" w:tentative="1">
      <w:start w:val="1"/>
      <w:numFmt w:val="lowerLetter"/>
      <w:lvlText w:val="%5."/>
      <w:lvlJc w:val="left"/>
      <w:pPr>
        <w:ind w:left="3600" w:hanging="360"/>
      </w:pPr>
    </w:lvl>
    <w:lvl w:ilvl="5" w:tplc="4FE6AB58" w:tentative="1">
      <w:start w:val="1"/>
      <w:numFmt w:val="lowerRoman"/>
      <w:lvlText w:val="%6."/>
      <w:lvlJc w:val="right"/>
      <w:pPr>
        <w:ind w:left="4320" w:hanging="180"/>
      </w:pPr>
    </w:lvl>
    <w:lvl w:ilvl="6" w:tplc="F5A455F0" w:tentative="1">
      <w:start w:val="1"/>
      <w:numFmt w:val="decimal"/>
      <w:lvlText w:val="%7."/>
      <w:lvlJc w:val="left"/>
      <w:pPr>
        <w:ind w:left="5040" w:hanging="360"/>
      </w:pPr>
    </w:lvl>
    <w:lvl w:ilvl="7" w:tplc="33C6AE54" w:tentative="1">
      <w:start w:val="1"/>
      <w:numFmt w:val="lowerLetter"/>
      <w:lvlText w:val="%8."/>
      <w:lvlJc w:val="left"/>
      <w:pPr>
        <w:ind w:left="5760" w:hanging="360"/>
      </w:pPr>
    </w:lvl>
    <w:lvl w:ilvl="8" w:tplc="60DA110C" w:tentative="1">
      <w:start w:val="1"/>
      <w:numFmt w:val="lowerRoman"/>
      <w:lvlText w:val="%9."/>
      <w:lvlJc w:val="right"/>
      <w:pPr>
        <w:ind w:left="6480" w:hanging="180"/>
      </w:pPr>
    </w:lvl>
  </w:abstractNum>
  <w:abstractNum w:abstractNumId="9" w15:restartNumberingAfterBreak="0">
    <w:nsid w:val="59695544"/>
    <w:multiLevelType w:val="hybridMultilevel"/>
    <w:tmpl w:val="B39CFB72"/>
    <w:lvl w:ilvl="0" w:tplc="B6CE6CDE">
      <w:start w:val="1"/>
      <w:numFmt w:val="bullet"/>
      <w:lvlText w:val=""/>
      <w:lvlJc w:val="left"/>
      <w:pPr>
        <w:ind w:left="360" w:hanging="360"/>
      </w:pPr>
      <w:rPr>
        <w:rFonts w:ascii="Symbol" w:hAnsi="Symbol" w:hint="default"/>
      </w:rPr>
    </w:lvl>
    <w:lvl w:ilvl="1" w:tplc="EBD4D024" w:tentative="1">
      <w:start w:val="1"/>
      <w:numFmt w:val="bullet"/>
      <w:lvlText w:val="o"/>
      <w:lvlJc w:val="left"/>
      <w:pPr>
        <w:ind w:left="1080" w:hanging="360"/>
      </w:pPr>
      <w:rPr>
        <w:rFonts w:ascii="Courier New" w:hAnsi="Courier New" w:cs="Courier New" w:hint="default"/>
      </w:rPr>
    </w:lvl>
    <w:lvl w:ilvl="2" w:tplc="7B6446E8" w:tentative="1">
      <w:start w:val="1"/>
      <w:numFmt w:val="bullet"/>
      <w:lvlText w:val=""/>
      <w:lvlJc w:val="left"/>
      <w:pPr>
        <w:ind w:left="1800" w:hanging="360"/>
      </w:pPr>
      <w:rPr>
        <w:rFonts w:ascii="Wingdings" w:hAnsi="Wingdings" w:hint="default"/>
      </w:rPr>
    </w:lvl>
    <w:lvl w:ilvl="3" w:tplc="9182C69E" w:tentative="1">
      <w:start w:val="1"/>
      <w:numFmt w:val="bullet"/>
      <w:lvlText w:val=""/>
      <w:lvlJc w:val="left"/>
      <w:pPr>
        <w:ind w:left="2520" w:hanging="360"/>
      </w:pPr>
      <w:rPr>
        <w:rFonts w:ascii="Symbol" w:hAnsi="Symbol" w:hint="default"/>
      </w:rPr>
    </w:lvl>
    <w:lvl w:ilvl="4" w:tplc="3B2C540A" w:tentative="1">
      <w:start w:val="1"/>
      <w:numFmt w:val="bullet"/>
      <w:lvlText w:val="o"/>
      <w:lvlJc w:val="left"/>
      <w:pPr>
        <w:ind w:left="3240" w:hanging="360"/>
      </w:pPr>
      <w:rPr>
        <w:rFonts w:ascii="Courier New" w:hAnsi="Courier New" w:cs="Courier New" w:hint="default"/>
      </w:rPr>
    </w:lvl>
    <w:lvl w:ilvl="5" w:tplc="75DC1B46" w:tentative="1">
      <w:start w:val="1"/>
      <w:numFmt w:val="bullet"/>
      <w:lvlText w:val=""/>
      <w:lvlJc w:val="left"/>
      <w:pPr>
        <w:ind w:left="3960" w:hanging="360"/>
      </w:pPr>
      <w:rPr>
        <w:rFonts w:ascii="Wingdings" w:hAnsi="Wingdings" w:hint="default"/>
      </w:rPr>
    </w:lvl>
    <w:lvl w:ilvl="6" w:tplc="8F66B014" w:tentative="1">
      <w:start w:val="1"/>
      <w:numFmt w:val="bullet"/>
      <w:lvlText w:val=""/>
      <w:lvlJc w:val="left"/>
      <w:pPr>
        <w:ind w:left="4680" w:hanging="360"/>
      </w:pPr>
      <w:rPr>
        <w:rFonts w:ascii="Symbol" w:hAnsi="Symbol" w:hint="default"/>
      </w:rPr>
    </w:lvl>
    <w:lvl w:ilvl="7" w:tplc="98DCD17C" w:tentative="1">
      <w:start w:val="1"/>
      <w:numFmt w:val="bullet"/>
      <w:lvlText w:val="o"/>
      <w:lvlJc w:val="left"/>
      <w:pPr>
        <w:ind w:left="5400" w:hanging="360"/>
      </w:pPr>
      <w:rPr>
        <w:rFonts w:ascii="Courier New" w:hAnsi="Courier New" w:cs="Courier New" w:hint="default"/>
      </w:rPr>
    </w:lvl>
    <w:lvl w:ilvl="8" w:tplc="2F923C3A" w:tentative="1">
      <w:start w:val="1"/>
      <w:numFmt w:val="bullet"/>
      <w:lvlText w:val=""/>
      <w:lvlJc w:val="left"/>
      <w:pPr>
        <w:ind w:left="6120" w:hanging="360"/>
      </w:pPr>
      <w:rPr>
        <w:rFonts w:ascii="Wingdings" w:hAnsi="Wingdings" w:hint="default"/>
      </w:rPr>
    </w:lvl>
  </w:abstractNum>
  <w:abstractNum w:abstractNumId="10" w15:restartNumberingAfterBreak="0">
    <w:nsid w:val="5E5F3F33"/>
    <w:multiLevelType w:val="hybridMultilevel"/>
    <w:tmpl w:val="512218AA"/>
    <w:lvl w:ilvl="0" w:tplc="C19ACE9C">
      <w:start w:val="4"/>
      <w:numFmt w:val="decimal"/>
      <w:lvlText w:val="%1"/>
      <w:lvlJc w:val="left"/>
      <w:pPr>
        <w:ind w:left="720" w:hanging="360"/>
      </w:pPr>
      <w:rPr>
        <w:rFonts w:hint="default"/>
      </w:rPr>
    </w:lvl>
    <w:lvl w:ilvl="1" w:tplc="F716A350" w:tentative="1">
      <w:start w:val="1"/>
      <w:numFmt w:val="lowerLetter"/>
      <w:lvlText w:val="%2."/>
      <w:lvlJc w:val="left"/>
      <w:pPr>
        <w:ind w:left="1440" w:hanging="360"/>
      </w:pPr>
    </w:lvl>
    <w:lvl w:ilvl="2" w:tplc="BA1EA828" w:tentative="1">
      <w:start w:val="1"/>
      <w:numFmt w:val="lowerRoman"/>
      <w:lvlText w:val="%3."/>
      <w:lvlJc w:val="right"/>
      <w:pPr>
        <w:ind w:left="2160" w:hanging="180"/>
      </w:pPr>
    </w:lvl>
    <w:lvl w:ilvl="3" w:tplc="9056D2FC" w:tentative="1">
      <w:start w:val="1"/>
      <w:numFmt w:val="decimal"/>
      <w:lvlText w:val="%4."/>
      <w:lvlJc w:val="left"/>
      <w:pPr>
        <w:ind w:left="2880" w:hanging="360"/>
      </w:pPr>
    </w:lvl>
    <w:lvl w:ilvl="4" w:tplc="9D987DAC" w:tentative="1">
      <w:start w:val="1"/>
      <w:numFmt w:val="lowerLetter"/>
      <w:lvlText w:val="%5."/>
      <w:lvlJc w:val="left"/>
      <w:pPr>
        <w:ind w:left="3600" w:hanging="360"/>
      </w:pPr>
    </w:lvl>
    <w:lvl w:ilvl="5" w:tplc="8F4E3AC8" w:tentative="1">
      <w:start w:val="1"/>
      <w:numFmt w:val="lowerRoman"/>
      <w:lvlText w:val="%6."/>
      <w:lvlJc w:val="right"/>
      <w:pPr>
        <w:ind w:left="4320" w:hanging="180"/>
      </w:pPr>
    </w:lvl>
    <w:lvl w:ilvl="6" w:tplc="5C3A7718" w:tentative="1">
      <w:start w:val="1"/>
      <w:numFmt w:val="decimal"/>
      <w:lvlText w:val="%7."/>
      <w:lvlJc w:val="left"/>
      <w:pPr>
        <w:ind w:left="5040" w:hanging="360"/>
      </w:pPr>
    </w:lvl>
    <w:lvl w:ilvl="7" w:tplc="3FEC9516" w:tentative="1">
      <w:start w:val="1"/>
      <w:numFmt w:val="lowerLetter"/>
      <w:lvlText w:val="%8."/>
      <w:lvlJc w:val="left"/>
      <w:pPr>
        <w:ind w:left="5760" w:hanging="360"/>
      </w:pPr>
    </w:lvl>
    <w:lvl w:ilvl="8" w:tplc="D616A2D0" w:tentative="1">
      <w:start w:val="1"/>
      <w:numFmt w:val="lowerRoman"/>
      <w:lvlText w:val="%9."/>
      <w:lvlJc w:val="right"/>
      <w:pPr>
        <w:ind w:left="6480" w:hanging="180"/>
      </w:pPr>
    </w:lvl>
  </w:abstractNum>
  <w:abstractNum w:abstractNumId="11" w15:restartNumberingAfterBreak="0">
    <w:nsid w:val="623A0627"/>
    <w:multiLevelType w:val="hybridMultilevel"/>
    <w:tmpl w:val="2CA04AB4"/>
    <w:lvl w:ilvl="0" w:tplc="D7046788">
      <w:start w:val="1"/>
      <w:numFmt w:val="decimal"/>
      <w:lvlText w:val="%1."/>
      <w:lvlJc w:val="left"/>
      <w:pPr>
        <w:ind w:left="720" w:hanging="360"/>
      </w:pPr>
      <w:rPr>
        <w:rFonts w:hint="default"/>
      </w:rPr>
    </w:lvl>
    <w:lvl w:ilvl="1" w:tplc="3EB039BA" w:tentative="1">
      <w:start w:val="1"/>
      <w:numFmt w:val="lowerLetter"/>
      <w:lvlText w:val="%2."/>
      <w:lvlJc w:val="left"/>
      <w:pPr>
        <w:ind w:left="1440" w:hanging="360"/>
      </w:pPr>
    </w:lvl>
    <w:lvl w:ilvl="2" w:tplc="F8EE651C" w:tentative="1">
      <w:start w:val="1"/>
      <w:numFmt w:val="lowerRoman"/>
      <w:lvlText w:val="%3."/>
      <w:lvlJc w:val="right"/>
      <w:pPr>
        <w:ind w:left="2160" w:hanging="180"/>
      </w:pPr>
    </w:lvl>
    <w:lvl w:ilvl="3" w:tplc="7D36F112" w:tentative="1">
      <w:start w:val="1"/>
      <w:numFmt w:val="decimal"/>
      <w:lvlText w:val="%4."/>
      <w:lvlJc w:val="left"/>
      <w:pPr>
        <w:ind w:left="2880" w:hanging="360"/>
      </w:pPr>
    </w:lvl>
    <w:lvl w:ilvl="4" w:tplc="04F43EF4" w:tentative="1">
      <w:start w:val="1"/>
      <w:numFmt w:val="lowerLetter"/>
      <w:lvlText w:val="%5."/>
      <w:lvlJc w:val="left"/>
      <w:pPr>
        <w:ind w:left="3600" w:hanging="360"/>
      </w:pPr>
    </w:lvl>
    <w:lvl w:ilvl="5" w:tplc="A1EA1B36" w:tentative="1">
      <w:start w:val="1"/>
      <w:numFmt w:val="lowerRoman"/>
      <w:lvlText w:val="%6."/>
      <w:lvlJc w:val="right"/>
      <w:pPr>
        <w:ind w:left="4320" w:hanging="180"/>
      </w:pPr>
    </w:lvl>
    <w:lvl w:ilvl="6" w:tplc="35102EE0" w:tentative="1">
      <w:start w:val="1"/>
      <w:numFmt w:val="decimal"/>
      <w:lvlText w:val="%7."/>
      <w:lvlJc w:val="left"/>
      <w:pPr>
        <w:ind w:left="5040" w:hanging="360"/>
      </w:pPr>
    </w:lvl>
    <w:lvl w:ilvl="7" w:tplc="BC327F9C" w:tentative="1">
      <w:start w:val="1"/>
      <w:numFmt w:val="lowerLetter"/>
      <w:lvlText w:val="%8."/>
      <w:lvlJc w:val="left"/>
      <w:pPr>
        <w:ind w:left="5760" w:hanging="360"/>
      </w:pPr>
    </w:lvl>
    <w:lvl w:ilvl="8" w:tplc="299A7BA6" w:tentative="1">
      <w:start w:val="1"/>
      <w:numFmt w:val="lowerRoman"/>
      <w:lvlText w:val="%9."/>
      <w:lvlJc w:val="right"/>
      <w:pPr>
        <w:ind w:left="6480" w:hanging="180"/>
      </w:pPr>
    </w:lvl>
  </w:abstractNum>
  <w:abstractNum w:abstractNumId="12" w15:restartNumberingAfterBreak="0">
    <w:nsid w:val="6A186EF4"/>
    <w:multiLevelType w:val="hybridMultilevel"/>
    <w:tmpl w:val="D222196C"/>
    <w:lvl w:ilvl="0" w:tplc="C2DE7220">
      <w:start w:val="1"/>
      <w:numFmt w:val="bullet"/>
      <w:lvlText w:val=""/>
      <w:lvlJc w:val="left"/>
      <w:pPr>
        <w:ind w:left="720" w:hanging="360"/>
      </w:pPr>
      <w:rPr>
        <w:rFonts w:ascii="Symbol" w:hAnsi="Symbol" w:hint="default"/>
      </w:rPr>
    </w:lvl>
    <w:lvl w:ilvl="1" w:tplc="C0C4CC5C" w:tentative="1">
      <w:start w:val="1"/>
      <w:numFmt w:val="bullet"/>
      <w:lvlText w:val="o"/>
      <w:lvlJc w:val="left"/>
      <w:pPr>
        <w:ind w:left="1440" w:hanging="360"/>
      </w:pPr>
      <w:rPr>
        <w:rFonts w:ascii="Courier New" w:hAnsi="Courier New" w:cs="Courier New" w:hint="default"/>
      </w:rPr>
    </w:lvl>
    <w:lvl w:ilvl="2" w:tplc="798A46F4" w:tentative="1">
      <w:start w:val="1"/>
      <w:numFmt w:val="bullet"/>
      <w:lvlText w:val=""/>
      <w:lvlJc w:val="left"/>
      <w:pPr>
        <w:ind w:left="2160" w:hanging="360"/>
      </w:pPr>
      <w:rPr>
        <w:rFonts w:ascii="Wingdings" w:hAnsi="Wingdings" w:hint="default"/>
      </w:rPr>
    </w:lvl>
    <w:lvl w:ilvl="3" w:tplc="82C2D750" w:tentative="1">
      <w:start w:val="1"/>
      <w:numFmt w:val="bullet"/>
      <w:lvlText w:val=""/>
      <w:lvlJc w:val="left"/>
      <w:pPr>
        <w:ind w:left="2880" w:hanging="360"/>
      </w:pPr>
      <w:rPr>
        <w:rFonts w:ascii="Symbol" w:hAnsi="Symbol" w:hint="default"/>
      </w:rPr>
    </w:lvl>
    <w:lvl w:ilvl="4" w:tplc="A7B8D9D2" w:tentative="1">
      <w:start w:val="1"/>
      <w:numFmt w:val="bullet"/>
      <w:lvlText w:val="o"/>
      <w:lvlJc w:val="left"/>
      <w:pPr>
        <w:ind w:left="3600" w:hanging="360"/>
      </w:pPr>
      <w:rPr>
        <w:rFonts w:ascii="Courier New" w:hAnsi="Courier New" w:cs="Courier New" w:hint="default"/>
      </w:rPr>
    </w:lvl>
    <w:lvl w:ilvl="5" w:tplc="E24AB3A0" w:tentative="1">
      <w:start w:val="1"/>
      <w:numFmt w:val="bullet"/>
      <w:lvlText w:val=""/>
      <w:lvlJc w:val="left"/>
      <w:pPr>
        <w:ind w:left="4320" w:hanging="360"/>
      </w:pPr>
      <w:rPr>
        <w:rFonts w:ascii="Wingdings" w:hAnsi="Wingdings" w:hint="default"/>
      </w:rPr>
    </w:lvl>
    <w:lvl w:ilvl="6" w:tplc="9EBADD28" w:tentative="1">
      <w:start w:val="1"/>
      <w:numFmt w:val="bullet"/>
      <w:lvlText w:val=""/>
      <w:lvlJc w:val="left"/>
      <w:pPr>
        <w:ind w:left="5040" w:hanging="360"/>
      </w:pPr>
      <w:rPr>
        <w:rFonts w:ascii="Symbol" w:hAnsi="Symbol" w:hint="default"/>
      </w:rPr>
    </w:lvl>
    <w:lvl w:ilvl="7" w:tplc="C5469D42" w:tentative="1">
      <w:start w:val="1"/>
      <w:numFmt w:val="bullet"/>
      <w:lvlText w:val="o"/>
      <w:lvlJc w:val="left"/>
      <w:pPr>
        <w:ind w:left="5760" w:hanging="360"/>
      </w:pPr>
      <w:rPr>
        <w:rFonts w:ascii="Courier New" w:hAnsi="Courier New" w:cs="Courier New" w:hint="default"/>
      </w:rPr>
    </w:lvl>
    <w:lvl w:ilvl="8" w:tplc="95648640" w:tentative="1">
      <w:start w:val="1"/>
      <w:numFmt w:val="bullet"/>
      <w:lvlText w:val=""/>
      <w:lvlJc w:val="left"/>
      <w:pPr>
        <w:ind w:left="6480" w:hanging="360"/>
      </w:pPr>
      <w:rPr>
        <w:rFonts w:ascii="Wingdings" w:hAnsi="Wingdings" w:hint="default"/>
      </w:rPr>
    </w:lvl>
  </w:abstractNum>
  <w:abstractNum w:abstractNumId="13" w15:restartNumberingAfterBreak="0">
    <w:nsid w:val="6B2122DD"/>
    <w:multiLevelType w:val="hybridMultilevel"/>
    <w:tmpl w:val="9A949D32"/>
    <w:lvl w:ilvl="0" w:tplc="56B0F87C">
      <w:start w:val="4"/>
      <w:numFmt w:val="decimal"/>
      <w:lvlText w:val="%1"/>
      <w:lvlJc w:val="left"/>
      <w:pPr>
        <w:ind w:left="1080" w:hanging="720"/>
      </w:pPr>
      <w:rPr>
        <w:rFonts w:hint="default"/>
      </w:rPr>
    </w:lvl>
    <w:lvl w:ilvl="1" w:tplc="3DBCC94C" w:tentative="1">
      <w:start w:val="1"/>
      <w:numFmt w:val="lowerLetter"/>
      <w:lvlText w:val="%2."/>
      <w:lvlJc w:val="left"/>
      <w:pPr>
        <w:ind w:left="1440" w:hanging="360"/>
      </w:pPr>
    </w:lvl>
    <w:lvl w:ilvl="2" w:tplc="E612E59E" w:tentative="1">
      <w:start w:val="1"/>
      <w:numFmt w:val="lowerRoman"/>
      <w:lvlText w:val="%3."/>
      <w:lvlJc w:val="right"/>
      <w:pPr>
        <w:ind w:left="2160" w:hanging="180"/>
      </w:pPr>
    </w:lvl>
    <w:lvl w:ilvl="3" w:tplc="613840D6" w:tentative="1">
      <w:start w:val="1"/>
      <w:numFmt w:val="decimal"/>
      <w:lvlText w:val="%4."/>
      <w:lvlJc w:val="left"/>
      <w:pPr>
        <w:ind w:left="2880" w:hanging="360"/>
      </w:pPr>
    </w:lvl>
    <w:lvl w:ilvl="4" w:tplc="BEF2C89E" w:tentative="1">
      <w:start w:val="1"/>
      <w:numFmt w:val="lowerLetter"/>
      <w:lvlText w:val="%5."/>
      <w:lvlJc w:val="left"/>
      <w:pPr>
        <w:ind w:left="3600" w:hanging="360"/>
      </w:pPr>
    </w:lvl>
    <w:lvl w:ilvl="5" w:tplc="F7A2AB78" w:tentative="1">
      <w:start w:val="1"/>
      <w:numFmt w:val="lowerRoman"/>
      <w:lvlText w:val="%6."/>
      <w:lvlJc w:val="right"/>
      <w:pPr>
        <w:ind w:left="4320" w:hanging="180"/>
      </w:pPr>
    </w:lvl>
    <w:lvl w:ilvl="6" w:tplc="A8007DF4" w:tentative="1">
      <w:start w:val="1"/>
      <w:numFmt w:val="decimal"/>
      <w:lvlText w:val="%7."/>
      <w:lvlJc w:val="left"/>
      <w:pPr>
        <w:ind w:left="5040" w:hanging="360"/>
      </w:pPr>
    </w:lvl>
    <w:lvl w:ilvl="7" w:tplc="9D58DF44" w:tentative="1">
      <w:start w:val="1"/>
      <w:numFmt w:val="lowerLetter"/>
      <w:lvlText w:val="%8."/>
      <w:lvlJc w:val="left"/>
      <w:pPr>
        <w:ind w:left="5760" w:hanging="360"/>
      </w:pPr>
    </w:lvl>
    <w:lvl w:ilvl="8" w:tplc="BE3C9F24" w:tentative="1">
      <w:start w:val="1"/>
      <w:numFmt w:val="lowerRoman"/>
      <w:lvlText w:val="%9."/>
      <w:lvlJc w:val="right"/>
      <w:pPr>
        <w:ind w:left="6480" w:hanging="180"/>
      </w:pPr>
    </w:lvl>
  </w:abstractNum>
  <w:abstractNum w:abstractNumId="14" w15:restartNumberingAfterBreak="0">
    <w:nsid w:val="6E8B29C3"/>
    <w:multiLevelType w:val="hybridMultilevel"/>
    <w:tmpl w:val="5B367D84"/>
    <w:lvl w:ilvl="0" w:tplc="E8EC2836">
      <w:start w:val="4"/>
      <w:numFmt w:val="decimal"/>
      <w:lvlText w:val="%1"/>
      <w:lvlJc w:val="left"/>
      <w:pPr>
        <w:ind w:left="1080" w:hanging="720"/>
      </w:pPr>
      <w:rPr>
        <w:rFonts w:hint="default"/>
      </w:rPr>
    </w:lvl>
    <w:lvl w:ilvl="1" w:tplc="F552E64E" w:tentative="1">
      <w:start w:val="1"/>
      <w:numFmt w:val="lowerLetter"/>
      <w:lvlText w:val="%2."/>
      <w:lvlJc w:val="left"/>
      <w:pPr>
        <w:ind w:left="1440" w:hanging="360"/>
      </w:pPr>
    </w:lvl>
    <w:lvl w:ilvl="2" w:tplc="BBD08934" w:tentative="1">
      <w:start w:val="1"/>
      <w:numFmt w:val="lowerRoman"/>
      <w:lvlText w:val="%3."/>
      <w:lvlJc w:val="right"/>
      <w:pPr>
        <w:ind w:left="2160" w:hanging="180"/>
      </w:pPr>
    </w:lvl>
    <w:lvl w:ilvl="3" w:tplc="F7B234A2" w:tentative="1">
      <w:start w:val="1"/>
      <w:numFmt w:val="decimal"/>
      <w:lvlText w:val="%4."/>
      <w:lvlJc w:val="left"/>
      <w:pPr>
        <w:ind w:left="2880" w:hanging="360"/>
      </w:pPr>
    </w:lvl>
    <w:lvl w:ilvl="4" w:tplc="8C0C3A60" w:tentative="1">
      <w:start w:val="1"/>
      <w:numFmt w:val="lowerLetter"/>
      <w:lvlText w:val="%5."/>
      <w:lvlJc w:val="left"/>
      <w:pPr>
        <w:ind w:left="3600" w:hanging="360"/>
      </w:pPr>
    </w:lvl>
    <w:lvl w:ilvl="5" w:tplc="E10E7A60" w:tentative="1">
      <w:start w:val="1"/>
      <w:numFmt w:val="lowerRoman"/>
      <w:lvlText w:val="%6."/>
      <w:lvlJc w:val="right"/>
      <w:pPr>
        <w:ind w:left="4320" w:hanging="180"/>
      </w:pPr>
    </w:lvl>
    <w:lvl w:ilvl="6" w:tplc="4E48A812" w:tentative="1">
      <w:start w:val="1"/>
      <w:numFmt w:val="decimal"/>
      <w:lvlText w:val="%7."/>
      <w:lvlJc w:val="left"/>
      <w:pPr>
        <w:ind w:left="5040" w:hanging="360"/>
      </w:pPr>
    </w:lvl>
    <w:lvl w:ilvl="7" w:tplc="6EE82BCC" w:tentative="1">
      <w:start w:val="1"/>
      <w:numFmt w:val="lowerLetter"/>
      <w:lvlText w:val="%8."/>
      <w:lvlJc w:val="left"/>
      <w:pPr>
        <w:ind w:left="5760" w:hanging="360"/>
      </w:pPr>
    </w:lvl>
    <w:lvl w:ilvl="8" w:tplc="8CCCECEC" w:tentative="1">
      <w:start w:val="1"/>
      <w:numFmt w:val="lowerRoman"/>
      <w:lvlText w:val="%9."/>
      <w:lvlJc w:val="right"/>
      <w:pPr>
        <w:ind w:left="6480" w:hanging="180"/>
      </w:pPr>
    </w:lvl>
  </w:abstractNum>
  <w:abstractNum w:abstractNumId="15" w15:restartNumberingAfterBreak="0">
    <w:nsid w:val="76794564"/>
    <w:multiLevelType w:val="hybridMultilevel"/>
    <w:tmpl w:val="8A90548C"/>
    <w:lvl w:ilvl="0" w:tplc="A7C4BB42">
      <w:start w:val="1"/>
      <w:numFmt w:val="decimal"/>
      <w:lvlText w:val="%1."/>
      <w:lvlJc w:val="left"/>
      <w:pPr>
        <w:ind w:left="720" w:hanging="360"/>
      </w:pPr>
      <w:rPr>
        <w:rFonts w:hint="default"/>
      </w:rPr>
    </w:lvl>
    <w:lvl w:ilvl="1" w:tplc="758CFB7C" w:tentative="1">
      <w:start w:val="1"/>
      <w:numFmt w:val="lowerLetter"/>
      <w:lvlText w:val="%2."/>
      <w:lvlJc w:val="left"/>
      <w:pPr>
        <w:ind w:left="1440" w:hanging="360"/>
      </w:pPr>
    </w:lvl>
    <w:lvl w:ilvl="2" w:tplc="62DAD4B4" w:tentative="1">
      <w:start w:val="1"/>
      <w:numFmt w:val="lowerRoman"/>
      <w:lvlText w:val="%3."/>
      <w:lvlJc w:val="right"/>
      <w:pPr>
        <w:ind w:left="2160" w:hanging="180"/>
      </w:pPr>
    </w:lvl>
    <w:lvl w:ilvl="3" w:tplc="B4EEB0C6" w:tentative="1">
      <w:start w:val="1"/>
      <w:numFmt w:val="decimal"/>
      <w:lvlText w:val="%4."/>
      <w:lvlJc w:val="left"/>
      <w:pPr>
        <w:ind w:left="2880" w:hanging="360"/>
      </w:pPr>
    </w:lvl>
    <w:lvl w:ilvl="4" w:tplc="461C2242" w:tentative="1">
      <w:start w:val="1"/>
      <w:numFmt w:val="lowerLetter"/>
      <w:lvlText w:val="%5."/>
      <w:lvlJc w:val="left"/>
      <w:pPr>
        <w:ind w:left="3600" w:hanging="360"/>
      </w:pPr>
    </w:lvl>
    <w:lvl w:ilvl="5" w:tplc="95D6CE54" w:tentative="1">
      <w:start w:val="1"/>
      <w:numFmt w:val="lowerRoman"/>
      <w:lvlText w:val="%6."/>
      <w:lvlJc w:val="right"/>
      <w:pPr>
        <w:ind w:left="4320" w:hanging="180"/>
      </w:pPr>
    </w:lvl>
    <w:lvl w:ilvl="6" w:tplc="1040D462" w:tentative="1">
      <w:start w:val="1"/>
      <w:numFmt w:val="decimal"/>
      <w:lvlText w:val="%7."/>
      <w:lvlJc w:val="left"/>
      <w:pPr>
        <w:ind w:left="5040" w:hanging="360"/>
      </w:pPr>
    </w:lvl>
    <w:lvl w:ilvl="7" w:tplc="51DA69D4" w:tentative="1">
      <w:start w:val="1"/>
      <w:numFmt w:val="lowerLetter"/>
      <w:lvlText w:val="%8."/>
      <w:lvlJc w:val="left"/>
      <w:pPr>
        <w:ind w:left="5760" w:hanging="360"/>
      </w:pPr>
    </w:lvl>
    <w:lvl w:ilvl="8" w:tplc="8998EF02" w:tentative="1">
      <w:start w:val="1"/>
      <w:numFmt w:val="lowerRoman"/>
      <w:lvlText w:val="%9."/>
      <w:lvlJc w:val="right"/>
      <w:pPr>
        <w:ind w:left="6480" w:hanging="180"/>
      </w:pPr>
    </w:lvl>
  </w:abstractNum>
  <w:abstractNum w:abstractNumId="16" w15:restartNumberingAfterBreak="0">
    <w:nsid w:val="7909278C"/>
    <w:multiLevelType w:val="hybridMultilevel"/>
    <w:tmpl w:val="A308F6A4"/>
    <w:lvl w:ilvl="0" w:tplc="5AA83F54">
      <w:start w:val="4"/>
      <w:numFmt w:val="decimal"/>
      <w:lvlText w:val="%1"/>
      <w:lvlJc w:val="left"/>
      <w:pPr>
        <w:ind w:left="1080" w:hanging="720"/>
      </w:pPr>
      <w:rPr>
        <w:rFonts w:hint="default"/>
      </w:rPr>
    </w:lvl>
    <w:lvl w:ilvl="1" w:tplc="EF6E1130" w:tentative="1">
      <w:start w:val="1"/>
      <w:numFmt w:val="lowerLetter"/>
      <w:lvlText w:val="%2."/>
      <w:lvlJc w:val="left"/>
      <w:pPr>
        <w:ind w:left="1440" w:hanging="360"/>
      </w:pPr>
    </w:lvl>
    <w:lvl w:ilvl="2" w:tplc="DA08EF3A" w:tentative="1">
      <w:start w:val="1"/>
      <w:numFmt w:val="lowerRoman"/>
      <w:lvlText w:val="%3."/>
      <w:lvlJc w:val="right"/>
      <w:pPr>
        <w:ind w:left="2160" w:hanging="180"/>
      </w:pPr>
    </w:lvl>
    <w:lvl w:ilvl="3" w:tplc="061EFA0C" w:tentative="1">
      <w:start w:val="1"/>
      <w:numFmt w:val="decimal"/>
      <w:lvlText w:val="%4."/>
      <w:lvlJc w:val="left"/>
      <w:pPr>
        <w:ind w:left="2880" w:hanging="360"/>
      </w:pPr>
    </w:lvl>
    <w:lvl w:ilvl="4" w:tplc="30129B10" w:tentative="1">
      <w:start w:val="1"/>
      <w:numFmt w:val="lowerLetter"/>
      <w:lvlText w:val="%5."/>
      <w:lvlJc w:val="left"/>
      <w:pPr>
        <w:ind w:left="3600" w:hanging="360"/>
      </w:pPr>
    </w:lvl>
    <w:lvl w:ilvl="5" w:tplc="29424F7C" w:tentative="1">
      <w:start w:val="1"/>
      <w:numFmt w:val="lowerRoman"/>
      <w:lvlText w:val="%6."/>
      <w:lvlJc w:val="right"/>
      <w:pPr>
        <w:ind w:left="4320" w:hanging="180"/>
      </w:pPr>
    </w:lvl>
    <w:lvl w:ilvl="6" w:tplc="DCFEA82A" w:tentative="1">
      <w:start w:val="1"/>
      <w:numFmt w:val="decimal"/>
      <w:lvlText w:val="%7."/>
      <w:lvlJc w:val="left"/>
      <w:pPr>
        <w:ind w:left="5040" w:hanging="360"/>
      </w:pPr>
    </w:lvl>
    <w:lvl w:ilvl="7" w:tplc="D672936A" w:tentative="1">
      <w:start w:val="1"/>
      <w:numFmt w:val="lowerLetter"/>
      <w:lvlText w:val="%8."/>
      <w:lvlJc w:val="left"/>
      <w:pPr>
        <w:ind w:left="5760" w:hanging="360"/>
      </w:pPr>
    </w:lvl>
    <w:lvl w:ilvl="8" w:tplc="E850F512" w:tentative="1">
      <w:start w:val="1"/>
      <w:numFmt w:val="lowerRoman"/>
      <w:lvlText w:val="%9."/>
      <w:lvlJc w:val="right"/>
      <w:pPr>
        <w:ind w:left="6480" w:hanging="180"/>
      </w:pPr>
    </w:lvl>
  </w:abstractNum>
  <w:abstractNum w:abstractNumId="17" w15:restartNumberingAfterBreak="0">
    <w:nsid w:val="7C15155B"/>
    <w:multiLevelType w:val="hybridMultilevel"/>
    <w:tmpl w:val="24367CA8"/>
    <w:lvl w:ilvl="0" w:tplc="5CD4B644">
      <w:start w:val="5"/>
      <w:numFmt w:val="decimal"/>
      <w:lvlText w:val="%1."/>
      <w:lvlJc w:val="left"/>
      <w:pPr>
        <w:ind w:left="1080" w:hanging="360"/>
      </w:pPr>
      <w:rPr>
        <w:rFonts w:hint="default"/>
      </w:rPr>
    </w:lvl>
    <w:lvl w:ilvl="1" w:tplc="040EE512" w:tentative="1">
      <w:start w:val="1"/>
      <w:numFmt w:val="lowerLetter"/>
      <w:lvlText w:val="%2."/>
      <w:lvlJc w:val="left"/>
      <w:pPr>
        <w:ind w:left="1800" w:hanging="360"/>
      </w:pPr>
    </w:lvl>
    <w:lvl w:ilvl="2" w:tplc="76C2902A" w:tentative="1">
      <w:start w:val="1"/>
      <w:numFmt w:val="lowerRoman"/>
      <w:lvlText w:val="%3."/>
      <w:lvlJc w:val="right"/>
      <w:pPr>
        <w:ind w:left="2520" w:hanging="180"/>
      </w:pPr>
    </w:lvl>
    <w:lvl w:ilvl="3" w:tplc="3636003C" w:tentative="1">
      <w:start w:val="1"/>
      <w:numFmt w:val="decimal"/>
      <w:lvlText w:val="%4."/>
      <w:lvlJc w:val="left"/>
      <w:pPr>
        <w:ind w:left="3240" w:hanging="360"/>
      </w:pPr>
    </w:lvl>
    <w:lvl w:ilvl="4" w:tplc="65FA8602" w:tentative="1">
      <w:start w:val="1"/>
      <w:numFmt w:val="lowerLetter"/>
      <w:lvlText w:val="%5."/>
      <w:lvlJc w:val="left"/>
      <w:pPr>
        <w:ind w:left="3960" w:hanging="360"/>
      </w:pPr>
    </w:lvl>
    <w:lvl w:ilvl="5" w:tplc="8D5A25C6" w:tentative="1">
      <w:start w:val="1"/>
      <w:numFmt w:val="lowerRoman"/>
      <w:lvlText w:val="%6."/>
      <w:lvlJc w:val="right"/>
      <w:pPr>
        <w:ind w:left="4680" w:hanging="180"/>
      </w:pPr>
    </w:lvl>
    <w:lvl w:ilvl="6" w:tplc="63FE6CF0" w:tentative="1">
      <w:start w:val="1"/>
      <w:numFmt w:val="decimal"/>
      <w:lvlText w:val="%7."/>
      <w:lvlJc w:val="left"/>
      <w:pPr>
        <w:ind w:left="5400" w:hanging="360"/>
      </w:pPr>
    </w:lvl>
    <w:lvl w:ilvl="7" w:tplc="B876F460" w:tentative="1">
      <w:start w:val="1"/>
      <w:numFmt w:val="lowerLetter"/>
      <w:lvlText w:val="%8."/>
      <w:lvlJc w:val="left"/>
      <w:pPr>
        <w:ind w:left="6120" w:hanging="360"/>
      </w:pPr>
    </w:lvl>
    <w:lvl w:ilvl="8" w:tplc="B06C8F68"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5"/>
  </w:num>
  <w:num w:numId="5">
    <w:abstractNumId w:val="7"/>
  </w:num>
  <w:num w:numId="6">
    <w:abstractNumId w:val="17"/>
  </w:num>
  <w:num w:numId="7">
    <w:abstractNumId w:val="15"/>
  </w:num>
  <w:num w:numId="8">
    <w:abstractNumId w:val="3"/>
  </w:num>
  <w:num w:numId="9">
    <w:abstractNumId w:val="10"/>
  </w:num>
  <w:num w:numId="10">
    <w:abstractNumId w:val="8"/>
  </w:num>
  <w:num w:numId="11">
    <w:abstractNumId w:val="13"/>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E7"/>
    <w:rsid w:val="00000E22"/>
    <w:rsid w:val="0001179F"/>
    <w:rsid w:val="0002465E"/>
    <w:rsid w:val="00032D0E"/>
    <w:rsid w:val="00064AEB"/>
    <w:rsid w:val="00076D5A"/>
    <w:rsid w:val="000823E4"/>
    <w:rsid w:val="0009096C"/>
    <w:rsid w:val="00096A67"/>
    <w:rsid w:val="000A25FC"/>
    <w:rsid w:val="000A4B8E"/>
    <w:rsid w:val="000A5FEF"/>
    <w:rsid w:val="000B0683"/>
    <w:rsid w:val="000B073B"/>
    <w:rsid w:val="000C79D3"/>
    <w:rsid w:val="000D4B1C"/>
    <w:rsid w:val="000E4772"/>
    <w:rsid w:val="000F5C80"/>
    <w:rsid w:val="00112163"/>
    <w:rsid w:val="00130FAD"/>
    <w:rsid w:val="0013483C"/>
    <w:rsid w:val="0013711D"/>
    <w:rsid w:val="001400ED"/>
    <w:rsid w:val="0014497A"/>
    <w:rsid w:val="00146F21"/>
    <w:rsid w:val="001501D6"/>
    <w:rsid w:val="001A1D95"/>
    <w:rsid w:val="001C4991"/>
    <w:rsid w:val="001C6FB1"/>
    <w:rsid w:val="001D063D"/>
    <w:rsid w:val="001F1159"/>
    <w:rsid w:val="001F5A6B"/>
    <w:rsid w:val="00204FC4"/>
    <w:rsid w:val="00246FE0"/>
    <w:rsid w:val="00251828"/>
    <w:rsid w:val="00253A79"/>
    <w:rsid w:val="00257C6D"/>
    <w:rsid w:val="0026546D"/>
    <w:rsid w:val="00267EE5"/>
    <w:rsid w:val="00287655"/>
    <w:rsid w:val="00287BF9"/>
    <w:rsid w:val="00293151"/>
    <w:rsid w:val="002943B5"/>
    <w:rsid w:val="002A0B7D"/>
    <w:rsid w:val="002B0AB9"/>
    <w:rsid w:val="002C5FE2"/>
    <w:rsid w:val="002D13DD"/>
    <w:rsid w:val="002D623F"/>
    <w:rsid w:val="002E235C"/>
    <w:rsid w:val="002E2ED8"/>
    <w:rsid w:val="002E360F"/>
    <w:rsid w:val="002F2DC7"/>
    <w:rsid w:val="00300ED5"/>
    <w:rsid w:val="00300F9E"/>
    <w:rsid w:val="003030C7"/>
    <w:rsid w:val="00306357"/>
    <w:rsid w:val="00306B99"/>
    <w:rsid w:val="00306DCD"/>
    <w:rsid w:val="0032464B"/>
    <w:rsid w:val="00326933"/>
    <w:rsid w:val="003312A8"/>
    <w:rsid w:val="00340A0F"/>
    <w:rsid w:val="003425BD"/>
    <w:rsid w:val="003500B0"/>
    <w:rsid w:val="00375DC3"/>
    <w:rsid w:val="00383A42"/>
    <w:rsid w:val="0039352B"/>
    <w:rsid w:val="0039495D"/>
    <w:rsid w:val="003A21A2"/>
    <w:rsid w:val="003B1062"/>
    <w:rsid w:val="003D3DA4"/>
    <w:rsid w:val="003D423A"/>
    <w:rsid w:val="003E62A1"/>
    <w:rsid w:val="003F2A60"/>
    <w:rsid w:val="003F4B45"/>
    <w:rsid w:val="003F54A3"/>
    <w:rsid w:val="004022E9"/>
    <w:rsid w:val="0041223E"/>
    <w:rsid w:val="004141A8"/>
    <w:rsid w:val="0042187B"/>
    <w:rsid w:val="004367DF"/>
    <w:rsid w:val="00436C95"/>
    <w:rsid w:val="00442204"/>
    <w:rsid w:val="004434B6"/>
    <w:rsid w:val="00464A1B"/>
    <w:rsid w:val="004661F9"/>
    <w:rsid w:val="00466C76"/>
    <w:rsid w:val="0048277B"/>
    <w:rsid w:val="00490098"/>
    <w:rsid w:val="00493DD9"/>
    <w:rsid w:val="00497D61"/>
    <w:rsid w:val="004A6BF9"/>
    <w:rsid w:val="004C25FB"/>
    <w:rsid w:val="004C292C"/>
    <w:rsid w:val="004D3FBE"/>
    <w:rsid w:val="004D5D14"/>
    <w:rsid w:val="005010B2"/>
    <w:rsid w:val="00510EC8"/>
    <w:rsid w:val="00520320"/>
    <w:rsid w:val="0052610C"/>
    <w:rsid w:val="00537D7F"/>
    <w:rsid w:val="00553BD7"/>
    <w:rsid w:val="00591E78"/>
    <w:rsid w:val="005B6740"/>
    <w:rsid w:val="005C2DA9"/>
    <w:rsid w:val="005C5E82"/>
    <w:rsid w:val="005E0C94"/>
    <w:rsid w:val="005E1189"/>
    <w:rsid w:val="005E4430"/>
    <w:rsid w:val="005F21CB"/>
    <w:rsid w:val="005F69FD"/>
    <w:rsid w:val="0060062B"/>
    <w:rsid w:val="00632768"/>
    <w:rsid w:val="006377B1"/>
    <w:rsid w:val="006424D7"/>
    <w:rsid w:val="0064769F"/>
    <w:rsid w:val="0065557E"/>
    <w:rsid w:val="0065663D"/>
    <w:rsid w:val="006624B5"/>
    <w:rsid w:val="0066675C"/>
    <w:rsid w:val="006770A3"/>
    <w:rsid w:val="006809ED"/>
    <w:rsid w:val="006873BB"/>
    <w:rsid w:val="00695790"/>
    <w:rsid w:val="006A2098"/>
    <w:rsid w:val="006A6594"/>
    <w:rsid w:val="006B16F9"/>
    <w:rsid w:val="006B6C2E"/>
    <w:rsid w:val="006C6735"/>
    <w:rsid w:val="006D33D0"/>
    <w:rsid w:val="006F0459"/>
    <w:rsid w:val="00714735"/>
    <w:rsid w:val="00721058"/>
    <w:rsid w:val="0072365A"/>
    <w:rsid w:val="0072780F"/>
    <w:rsid w:val="007300C6"/>
    <w:rsid w:val="007320D7"/>
    <w:rsid w:val="00734A1A"/>
    <w:rsid w:val="00741C60"/>
    <w:rsid w:val="007515D7"/>
    <w:rsid w:val="00762EEF"/>
    <w:rsid w:val="0079069A"/>
    <w:rsid w:val="007C268E"/>
    <w:rsid w:val="007D550E"/>
    <w:rsid w:val="007E6E9D"/>
    <w:rsid w:val="007E73AB"/>
    <w:rsid w:val="00801996"/>
    <w:rsid w:val="008072F0"/>
    <w:rsid w:val="008228FD"/>
    <w:rsid w:val="00822B26"/>
    <w:rsid w:val="008270F1"/>
    <w:rsid w:val="00834A3B"/>
    <w:rsid w:val="00843D68"/>
    <w:rsid w:val="00850F45"/>
    <w:rsid w:val="00855B2F"/>
    <w:rsid w:val="00883EEE"/>
    <w:rsid w:val="00894BC7"/>
    <w:rsid w:val="0089585E"/>
    <w:rsid w:val="008A7DB9"/>
    <w:rsid w:val="008B4F04"/>
    <w:rsid w:val="008B506A"/>
    <w:rsid w:val="008D0E90"/>
    <w:rsid w:val="008D6364"/>
    <w:rsid w:val="00913277"/>
    <w:rsid w:val="009156D9"/>
    <w:rsid w:val="00925572"/>
    <w:rsid w:val="009419C3"/>
    <w:rsid w:val="009508A6"/>
    <w:rsid w:val="00973022"/>
    <w:rsid w:val="00973C34"/>
    <w:rsid w:val="0097757A"/>
    <w:rsid w:val="0098094B"/>
    <w:rsid w:val="00987D81"/>
    <w:rsid w:val="009901C9"/>
    <w:rsid w:val="009A3801"/>
    <w:rsid w:val="009A51DE"/>
    <w:rsid w:val="009B3B42"/>
    <w:rsid w:val="009B4715"/>
    <w:rsid w:val="009B5AFE"/>
    <w:rsid w:val="009C2152"/>
    <w:rsid w:val="009D3BA4"/>
    <w:rsid w:val="009F3B2C"/>
    <w:rsid w:val="00A02A5C"/>
    <w:rsid w:val="00A3064B"/>
    <w:rsid w:val="00A34DFE"/>
    <w:rsid w:val="00A43DB5"/>
    <w:rsid w:val="00A443D7"/>
    <w:rsid w:val="00A52A45"/>
    <w:rsid w:val="00A94407"/>
    <w:rsid w:val="00AC09E2"/>
    <w:rsid w:val="00AE282F"/>
    <w:rsid w:val="00AE63E7"/>
    <w:rsid w:val="00AF0A86"/>
    <w:rsid w:val="00B041E2"/>
    <w:rsid w:val="00B066B7"/>
    <w:rsid w:val="00B24912"/>
    <w:rsid w:val="00B2587D"/>
    <w:rsid w:val="00B27A59"/>
    <w:rsid w:val="00B316B3"/>
    <w:rsid w:val="00B379CB"/>
    <w:rsid w:val="00B37BFB"/>
    <w:rsid w:val="00B567A0"/>
    <w:rsid w:val="00B570B8"/>
    <w:rsid w:val="00B6106E"/>
    <w:rsid w:val="00B6568D"/>
    <w:rsid w:val="00B77117"/>
    <w:rsid w:val="00B93201"/>
    <w:rsid w:val="00B956F1"/>
    <w:rsid w:val="00B97261"/>
    <w:rsid w:val="00BB1279"/>
    <w:rsid w:val="00BB4527"/>
    <w:rsid w:val="00BB707F"/>
    <w:rsid w:val="00BE56AE"/>
    <w:rsid w:val="00BF054D"/>
    <w:rsid w:val="00BF2252"/>
    <w:rsid w:val="00C07A02"/>
    <w:rsid w:val="00C16D8E"/>
    <w:rsid w:val="00C17738"/>
    <w:rsid w:val="00C2206A"/>
    <w:rsid w:val="00C443C6"/>
    <w:rsid w:val="00C45658"/>
    <w:rsid w:val="00C50295"/>
    <w:rsid w:val="00C62495"/>
    <w:rsid w:val="00C6615D"/>
    <w:rsid w:val="00C865B6"/>
    <w:rsid w:val="00C9752A"/>
    <w:rsid w:val="00CA5045"/>
    <w:rsid w:val="00CB0C24"/>
    <w:rsid w:val="00CB2C68"/>
    <w:rsid w:val="00CC0E02"/>
    <w:rsid w:val="00CE0310"/>
    <w:rsid w:val="00CE6997"/>
    <w:rsid w:val="00CF6881"/>
    <w:rsid w:val="00CF7C2B"/>
    <w:rsid w:val="00D01190"/>
    <w:rsid w:val="00D14E1D"/>
    <w:rsid w:val="00D341E5"/>
    <w:rsid w:val="00D54ACA"/>
    <w:rsid w:val="00D63845"/>
    <w:rsid w:val="00D7420E"/>
    <w:rsid w:val="00D84B6A"/>
    <w:rsid w:val="00D85154"/>
    <w:rsid w:val="00D8790A"/>
    <w:rsid w:val="00DA2DB8"/>
    <w:rsid w:val="00DC480D"/>
    <w:rsid w:val="00DC7D64"/>
    <w:rsid w:val="00DD1131"/>
    <w:rsid w:val="00DE0FAA"/>
    <w:rsid w:val="00DE2C8A"/>
    <w:rsid w:val="00E22295"/>
    <w:rsid w:val="00E33334"/>
    <w:rsid w:val="00E5394A"/>
    <w:rsid w:val="00E53C27"/>
    <w:rsid w:val="00E54B1A"/>
    <w:rsid w:val="00E61F80"/>
    <w:rsid w:val="00E62920"/>
    <w:rsid w:val="00E7709B"/>
    <w:rsid w:val="00E91211"/>
    <w:rsid w:val="00E91555"/>
    <w:rsid w:val="00EA480A"/>
    <w:rsid w:val="00EA76AE"/>
    <w:rsid w:val="00EB4033"/>
    <w:rsid w:val="00EC3133"/>
    <w:rsid w:val="00EC7393"/>
    <w:rsid w:val="00ED6486"/>
    <w:rsid w:val="00F02C9E"/>
    <w:rsid w:val="00F1132D"/>
    <w:rsid w:val="00F368BC"/>
    <w:rsid w:val="00F72EB8"/>
    <w:rsid w:val="00F85B2A"/>
    <w:rsid w:val="00FA0E7B"/>
    <w:rsid w:val="00FA134E"/>
    <w:rsid w:val="00FA28F8"/>
    <w:rsid w:val="00FB3B59"/>
    <w:rsid w:val="00FD571B"/>
    <w:rsid w:val="00FD5DBF"/>
    <w:rsid w:val="00FD7C93"/>
    <w:rsid w:val="00FF1664"/>
    <w:rsid w:val="00FF63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4C85"/>
  <w15:chartTrackingRefBased/>
  <w15:docId w15:val="{9827048F-E1F2-4C1D-AECA-1F9E639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FE"/>
  </w:style>
  <w:style w:type="paragraph" w:styleId="Heading1">
    <w:name w:val="heading 1"/>
    <w:basedOn w:val="Normal"/>
    <w:next w:val="Normal"/>
    <w:link w:val="Heading1Char"/>
    <w:uiPriority w:val="9"/>
    <w:qFormat/>
    <w:rsid w:val="00FD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3"/>
    <w:pPr>
      <w:ind w:left="720"/>
      <w:contextualSpacing/>
    </w:pPr>
  </w:style>
  <w:style w:type="paragraph" w:styleId="ListBullet">
    <w:name w:val="List Bullet"/>
    <w:basedOn w:val="Normal"/>
    <w:uiPriority w:val="99"/>
    <w:unhideWhenUsed/>
    <w:rsid w:val="00D7420E"/>
    <w:pPr>
      <w:numPr>
        <w:numId w:val="2"/>
      </w:numPr>
      <w:tabs>
        <w:tab w:val="clear" w:pos="1069"/>
        <w:tab w:val="num" w:pos="360"/>
      </w:tabs>
      <w:ind w:left="360"/>
      <w:contextualSpacing/>
    </w:pPr>
  </w:style>
  <w:style w:type="character" w:styleId="CommentReference">
    <w:name w:val="annotation reference"/>
    <w:basedOn w:val="DefaultParagraphFont"/>
    <w:uiPriority w:val="99"/>
    <w:semiHidden/>
    <w:unhideWhenUsed/>
    <w:rsid w:val="003A21A2"/>
    <w:rPr>
      <w:sz w:val="16"/>
      <w:szCs w:val="16"/>
    </w:rPr>
  </w:style>
  <w:style w:type="paragraph" w:styleId="CommentText">
    <w:name w:val="annotation text"/>
    <w:basedOn w:val="Normal"/>
    <w:link w:val="CommentTextChar"/>
    <w:uiPriority w:val="99"/>
    <w:semiHidden/>
    <w:unhideWhenUsed/>
    <w:rsid w:val="003A21A2"/>
    <w:pPr>
      <w:spacing w:line="240" w:lineRule="auto"/>
    </w:pPr>
    <w:rPr>
      <w:sz w:val="20"/>
      <w:szCs w:val="20"/>
    </w:rPr>
  </w:style>
  <w:style w:type="character" w:customStyle="1" w:styleId="CommentTextChar">
    <w:name w:val="Comment Text Char"/>
    <w:basedOn w:val="DefaultParagraphFont"/>
    <w:link w:val="CommentText"/>
    <w:uiPriority w:val="99"/>
    <w:semiHidden/>
    <w:rsid w:val="003A21A2"/>
    <w:rPr>
      <w:sz w:val="20"/>
      <w:szCs w:val="20"/>
    </w:rPr>
  </w:style>
  <w:style w:type="paragraph" w:styleId="CommentSubject">
    <w:name w:val="annotation subject"/>
    <w:basedOn w:val="CommentText"/>
    <w:next w:val="CommentText"/>
    <w:link w:val="CommentSubjectChar"/>
    <w:uiPriority w:val="99"/>
    <w:semiHidden/>
    <w:unhideWhenUsed/>
    <w:rsid w:val="003A21A2"/>
    <w:rPr>
      <w:b/>
      <w:bCs/>
    </w:rPr>
  </w:style>
  <w:style w:type="character" w:customStyle="1" w:styleId="CommentSubjectChar">
    <w:name w:val="Comment Subject Char"/>
    <w:basedOn w:val="CommentTextChar"/>
    <w:link w:val="CommentSubject"/>
    <w:uiPriority w:val="99"/>
    <w:semiHidden/>
    <w:rsid w:val="003A21A2"/>
    <w:rPr>
      <w:b/>
      <w:bCs/>
      <w:sz w:val="20"/>
      <w:szCs w:val="20"/>
    </w:rPr>
  </w:style>
  <w:style w:type="paragraph" w:styleId="BalloonText">
    <w:name w:val="Balloon Text"/>
    <w:basedOn w:val="Normal"/>
    <w:link w:val="BalloonTextChar"/>
    <w:uiPriority w:val="99"/>
    <w:semiHidden/>
    <w:unhideWhenUsed/>
    <w:rsid w:val="002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7D"/>
    <w:rPr>
      <w:rFonts w:ascii="Segoe UI" w:hAnsi="Segoe UI" w:cs="Segoe UI"/>
      <w:sz w:val="18"/>
      <w:szCs w:val="18"/>
    </w:rPr>
  </w:style>
  <w:style w:type="character" w:customStyle="1" w:styleId="Heading1Char">
    <w:name w:val="Heading 1 Char"/>
    <w:basedOn w:val="DefaultParagraphFont"/>
    <w:link w:val="Heading1"/>
    <w:uiPriority w:val="9"/>
    <w:rsid w:val="00FD7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3D68"/>
    <w:rPr>
      <w:color w:val="0563C1" w:themeColor="hyperlink"/>
      <w:u w:val="single"/>
    </w:rPr>
  </w:style>
  <w:style w:type="character" w:customStyle="1" w:styleId="UnresolvedMention1">
    <w:name w:val="Unresolved Mention1"/>
    <w:basedOn w:val="DefaultParagraphFont"/>
    <w:uiPriority w:val="99"/>
    <w:semiHidden/>
    <w:unhideWhenUsed/>
    <w:rsid w:val="00843D68"/>
    <w:rPr>
      <w:color w:val="605E5C"/>
      <w:shd w:val="clear" w:color="auto" w:fill="E1DFDD"/>
    </w:rPr>
  </w:style>
  <w:style w:type="character" w:customStyle="1" w:styleId="Heading2Char">
    <w:name w:val="Heading 2 Char"/>
    <w:basedOn w:val="DefaultParagraphFont"/>
    <w:link w:val="Heading2"/>
    <w:uiPriority w:val="9"/>
    <w:rsid w:val="00FF63D3"/>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B956F1"/>
    <w:rPr>
      <w:vertAlign w:val="superscript"/>
    </w:rPr>
  </w:style>
  <w:style w:type="character" w:customStyle="1" w:styleId="FootnoteTextChar">
    <w:name w:val="Footnote Text Char"/>
    <w:basedOn w:val="DefaultParagraphFont"/>
    <w:link w:val="FootnoteText"/>
    <w:uiPriority w:val="99"/>
    <w:semiHidden/>
    <w:rsid w:val="00B956F1"/>
    <w:rPr>
      <w:sz w:val="20"/>
      <w:szCs w:val="20"/>
    </w:rPr>
  </w:style>
  <w:style w:type="paragraph" w:styleId="FootnoteText">
    <w:name w:val="footnote text"/>
    <w:basedOn w:val="Normal"/>
    <w:link w:val="FootnoteTextChar"/>
    <w:uiPriority w:val="99"/>
    <w:semiHidden/>
    <w:unhideWhenUsed/>
    <w:rsid w:val="00B956F1"/>
    <w:pPr>
      <w:spacing w:after="0" w:line="240" w:lineRule="auto"/>
    </w:pPr>
    <w:rPr>
      <w:sz w:val="20"/>
      <w:szCs w:val="20"/>
    </w:rPr>
  </w:style>
  <w:style w:type="character" w:customStyle="1" w:styleId="FootnoteTextChar1">
    <w:name w:val="Footnote Text Char1"/>
    <w:basedOn w:val="DefaultParagraphFont"/>
    <w:uiPriority w:val="99"/>
    <w:semiHidden/>
    <w:rsid w:val="00B956F1"/>
    <w:rPr>
      <w:sz w:val="20"/>
      <w:szCs w:val="20"/>
    </w:rPr>
  </w:style>
  <w:style w:type="character" w:customStyle="1" w:styleId="Heading3Char">
    <w:name w:val="Heading 3 Char"/>
    <w:basedOn w:val="DefaultParagraphFont"/>
    <w:link w:val="Heading3"/>
    <w:uiPriority w:val="9"/>
    <w:rsid w:val="00CE69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corde@unhc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ternationaldisabilityalliance.org/art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hcr.org/persons-with-disabil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protectioncluster.org/" TargetMode="External"/><Relationship Id="rId4" Type="http://schemas.openxmlformats.org/officeDocument/2006/relationships/webSettings" Target="webSettings.xml"/><Relationship Id="rId9" Type="http://schemas.openxmlformats.org/officeDocument/2006/relationships/hyperlink" Target="https://www.unhcr.org/programme-and-practical-information.html" TargetMode="External"/><Relationship Id="rId14" Type="http://schemas.openxmlformats.org/officeDocument/2006/relationships/hyperlink" Target="mailto:eyoussefian@ida-secretaria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statistics/unhcrstats/5fc504d44/mid-year-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youssefian</dc:creator>
  <cp:lastModifiedBy>Taganova, Jahan</cp:lastModifiedBy>
  <cp:revision>2</cp:revision>
  <dcterms:created xsi:type="dcterms:W3CDTF">2021-05-12T15:52:00Z</dcterms:created>
  <dcterms:modified xsi:type="dcterms:W3CDTF">2021-05-12T15:52:00Z</dcterms:modified>
</cp:coreProperties>
</file>