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3A8" w14:textId="7070DCBC" w:rsidR="00675080" w:rsidRDefault="005F25C5" w:rsidP="00E06F33">
      <w:pPr>
        <w:pStyle w:val="Heading1"/>
        <w:bidi/>
        <w:rPr>
          <w:rtl/>
        </w:rPr>
      </w:pPr>
      <w:r>
        <w:rPr>
          <w:rFonts w:hint="cs"/>
          <w:rtl/>
        </w:rPr>
        <w:t xml:space="preserve">دعم التعهدات ذات الصلة بإدماج ذوي الإعاقة في المنتدى العالمي </w:t>
      </w:r>
      <w:r>
        <w:rPr>
          <w:rFonts w:hint="cs"/>
          <w:vertAlign w:val="superscript"/>
          <w:rtl/>
        </w:rPr>
        <w:t>الثاني</w:t>
      </w:r>
      <w:r>
        <w:rPr>
          <w:rFonts w:hint="cs"/>
          <w:rtl/>
        </w:rPr>
        <w:t xml:space="preserve"> للاجئين</w:t>
      </w:r>
      <w:r>
        <w:t xml:space="preserve"> </w:t>
      </w:r>
    </w:p>
    <w:p w14:paraId="275252EF" w14:textId="4AFB886A" w:rsidR="00675080" w:rsidRDefault="00B127F6" w:rsidP="00E06F33">
      <w:pPr>
        <w:bidi/>
        <w:jc w:val="both"/>
        <w:rPr>
          <w:rtl/>
        </w:rPr>
      </w:pPr>
      <w:r>
        <w:rPr>
          <w:rFonts w:hint="cs"/>
          <w:rtl/>
        </w:rPr>
        <w:t xml:space="preserve">تم الاعتراف بإدماج الأشخاص ذوي الإعاقة </w:t>
      </w:r>
      <w:r w:rsidR="00B377D9">
        <w:rPr>
          <w:rFonts w:hint="cs"/>
          <w:rtl/>
        </w:rPr>
        <w:t xml:space="preserve">منذ </w:t>
      </w:r>
      <w:r>
        <w:rPr>
          <w:rFonts w:hint="cs"/>
          <w:rtl/>
        </w:rPr>
        <w:t>الاستجابة الشاملة</w:t>
      </w:r>
      <w:r w:rsidR="00B377D9">
        <w:rPr>
          <w:rFonts w:hint="cs"/>
          <w:rtl/>
        </w:rPr>
        <w:t xml:space="preserve"> لحقوق</w:t>
      </w:r>
      <w:r>
        <w:rPr>
          <w:rFonts w:hint="cs"/>
          <w:rtl/>
        </w:rPr>
        <w:t xml:space="preserve"> </w:t>
      </w:r>
      <w:r w:rsidR="008B3AB2">
        <w:rPr>
          <w:rFonts w:hint="cs"/>
          <w:rtl/>
        </w:rPr>
        <w:t>ا</w:t>
      </w:r>
      <w:r>
        <w:rPr>
          <w:rFonts w:hint="cs"/>
          <w:rtl/>
        </w:rPr>
        <w:t xml:space="preserve">للاجئين ضمن </w:t>
      </w:r>
      <w:r w:rsidR="00B377D9">
        <w:rPr>
          <w:rFonts w:hint="cs"/>
          <w:rtl/>
        </w:rPr>
        <w:t>"</w:t>
      </w:r>
      <w:r>
        <w:rPr>
          <w:rFonts w:hint="cs"/>
          <w:rtl/>
        </w:rPr>
        <w:t>الميثاق العالمي بشأن اللاجئين</w:t>
      </w:r>
      <w:r w:rsidR="00B377D9">
        <w:rPr>
          <w:rFonts w:hint="cs"/>
          <w:rtl/>
        </w:rPr>
        <w:t>"</w:t>
      </w:r>
      <w:r>
        <w:rPr>
          <w:rFonts w:hint="cs"/>
          <w:rtl/>
        </w:rPr>
        <w:t xml:space="preserve"> باعتباره</w:t>
      </w:r>
      <w:r w:rsidR="00B377D9">
        <w:rPr>
          <w:rFonts w:hint="cs"/>
          <w:rtl/>
        </w:rPr>
        <w:t xml:space="preserve"> </w:t>
      </w:r>
      <w:r>
        <w:rPr>
          <w:rFonts w:hint="cs"/>
          <w:rtl/>
        </w:rPr>
        <w:t>عنصر</w:t>
      </w:r>
      <w:r w:rsidR="007F7066">
        <w:rPr>
          <w:rFonts w:hint="cs"/>
          <w:rtl/>
        </w:rPr>
        <w:t>ًا</w:t>
      </w:r>
      <w:r>
        <w:rPr>
          <w:rFonts w:hint="cs"/>
          <w:rtl/>
        </w:rPr>
        <w:t xml:space="preserve"> أساسي</w:t>
      </w:r>
      <w:r w:rsidR="007F7066">
        <w:rPr>
          <w:rFonts w:hint="cs"/>
          <w:rtl/>
        </w:rPr>
        <w:t>ًا</w:t>
      </w:r>
      <w:r>
        <w:rPr>
          <w:rFonts w:hint="cs"/>
          <w:rtl/>
        </w:rPr>
        <w:t xml:space="preserve"> لحماية اللاجئين والمجتمعات المضيفة ومساعدتهم.</w:t>
      </w:r>
    </w:p>
    <w:p w14:paraId="2B97CFFF" w14:textId="0EBC7C76" w:rsidR="007D5F66" w:rsidRDefault="00F67614" w:rsidP="00660D74">
      <w:pPr>
        <w:pStyle w:val="ListBullet"/>
        <w:numPr>
          <w:ilvl w:val="0"/>
          <w:numId w:val="0"/>
        </w:numPr>
        <w:bidi/>
        <w:jc w:val="both"/>
        <w:rPr>
          <w:rtl/>
        </w:rPr>
      </w:pPr>
      <w:r>
        <w:rPr>
          <w:rFonts w:hint="cs"/>
          <w:rtl/>
        </w:rPr>
        <w:t>يلخص هذا المستند الأولويات الرئيسية التي استعرضها اللاجئون وطالبو اللجوء وعديمو الجنسية ذو</w:t>
      </w:r>
      <w:r w:rsidR="00973438">
        <w:rPr>
          <w:rFonts w:hint="cs"/>
          <w:rtl/>
        </w:rPr>
        <w:t>و</w:t>
      </w:r>
      <w:r>
        <w:rPr>
          <w:rFonts w:hint="cs"/>
          <w:rtl/>
        </w:rPr>
        <w:t xml:space="preserve"> الإعاقة ومنظمات الأشخاص ذوي الإعاقة، في إطار إعداد التعهدات للمنتدى العالمي القادم الخاص باللاجئين في ديسمبر 2023.</w:t>
      </w:r>
      <w:r>
        <w:t xml:space="preserve"> </w:t>
      </w:r>
      <w:r w:rsidR="00B377D9">
        <w:rPr>
          <w:rFonts w:hint="cs"/>
          <w:rtl/>
        </w:rPr>
        <w:t>و</w:t>
      </w:r>
      <w:r>
        <w:rPr>
          <w:rFonts w:hint="cs"/>
          <w:rtl/>
        </w:rPr>
        <w:t xml:space="preserve">تستند التوصيات إلى </w:t>
      </w:r>
      <w:hyperlink r:id="rId8" w:history="1">
        <w:r>
          <w:rPr>
            <w:rStyle w:val="Hyperlink"/>
            <w:rFonts w:hint="cs"/>
            <w:rtl/>
          </w:rPr>
          <w:t>المشاورات</w:t>
        </w:r>
      </w:hyperlink>
      <w:r>
        <w:rPr>
          <w:rFonts w:hint="cs"/>
          <w:rtl/>
        </w:rPr>
        <w:t xml:space="preserve"> و</w:t>
      </w:r>
      <w:hyperlink r:id="rId9" w:history="1">
        <w:r>
          <w:rPr>
            <w:rStyle w:val="Hyperlink"/>
            <w:rFonts w:hint="cs"/>
            <w:rtl/>
          </w:rPr>
          <w:t>الوثائق الأساسية</w:t>
        </w:r>
      </w:hyperlink>
      <w:r>
        <w:rPr>
          <w:rFonts w:hint="cs"/>
          <w:rtl/>
        </w:rPr>
        <w:t xml:space="preserve"> التي أعدها التحالف الدولي للإعاقة بالتعاون مع المفوضية السامية للأمم المتحدة لشؤون اللاجئين، وهي مكملة للتوجيهات المتعلقة بالتعهدات الصادرة عن المنتدى العالمي للاجئين لعام 2019 </w:t>
      </w:r>
      <w:hyperlink r:id="rId10" w:history="1">
        <w:r>
          <w:rPr>
            <w:rStyle w:val="Hyperlink"/>
            <w:rFonts w:hint="cs"/>
            <w:rtl/>
          </w:rPr>
          <w:t>والتي تتناول إدماج الأشخاص ذوي الإعاقة | المفوضية السامية للأمم المتحدة لشؤون اللاجئين،</w:t>
        </w:r>
      </w:hyperlink>
      <w:r w:rsidR="00B377D9">
        <w:rPr>
          <w:rStyle w:val="Hyperlink"/>
          <w:rFonts w:hint="cs"/>
          <w:rtl/>
        </w:rPr>
        <w:t xml:space="preserve"> </w:t>
      </w:r>
      <w:r>
        <w:rPr>
          <w:rStyle w:val="Hyperlink"/>
          <w:rFonts w:hint="cs"/>
          <w:rtl/>
        </w:rPr>
        <w:t>وقد تضمنت اقتراحات إضافية حول الحلول</w:t>
      </w:r>
      <w:r w:rsidR="00B377D9">
        <w:rPr>
          <w:rStyle w:val="Hyperlink"/>
          <w:rFonts w:hint="cs"/>
          <w:rtl/>
        </w:rPr>
        <w:t xml:space="preserve"> المتاحة</w:t>
      </w:r>
      <w:r>
        <w:rPr>
          <w:rStyle w:val="Hyperlink"/>
          <w:rFonts w:hint="cs"/>
          <w:rtl/>
        </w:rPr>
        <w:t xml:space="preserve"> والاعتماد على النفس.</w:t>
      </w:r>
    </w:p>
    <w:p w14:paraId="79662739" w14:textId="63BEE4E1" w:rsidR="00271C83" w:rsidRDefault="00271C83" w:rsidP="00572D0E">
      <w:pPr>
        <w:pStyle w:val="Heading3"/>
        <w:bidi/>
        <w:rPr>
          <w:rtl/>
        </w:rPr>
      </w:pPr>
      <w:r>
        <w:rPr>
          <w:rFonts w:hint="cs"/>
          <w:rtl/>
        </w:rPr>
        <w:t>الحماية الدولية الداعمة للأشخاص ذوي الإعاقة</w:t>
      </w:r>
      <w:r>
        <w:t xml:space="preserve"> </w:t>
      </w:r>
    </w:p>
    <w:p w14:paraId="000DA513" w14:textId="6D2BF48F" w:rsidR="00C16847" w:rsidRDefault="00C16847" w:rsidP="00E06F33">
      <w:pPr>
        <w:pStyle w:val="ListBullet"/>
        <w:numPr>
          <w:ilvl w:val="0"/>
          <w:numId w:val="0"/>
        </w:numPr>
        <w:bidi/>
        <w:jc w:val="both"/>
        <w:rPr>
          <w:rtl/>
        </w:rPr>
      </w:pPr>
      <w:r>
        <w:rPr>
          <w:rFonts w:hint="cs"/>
          <w:b/>
          <w:bCs/>
          <w:rtl/>
        </w:rPr>
        <w:t xml:space="preserve">المساواة في الوصول </w:t>
      </w:r>
      <w:r w:rsidR="00EF16FE">
        <w:rPr>
          <w:rFonts w:hint="cs"/>
          <w:b/>
          <w:bCs/>
          <w:rtl/>
        </w:rPr>
        <w:t>إ</w:t>
      </w:r>
      <w:r>
        <w:rPr>
          <w:rFonts w:hint="cs"/>
          <w:b/>
          <w:bCs/>
          <w:rtl/>
        </w:rPr>
        <w:t>ل</w:t>
      </w:r>
      <w:r w:rsidR="00EF16FE">
        <w:rPr>
          <w:rFonts w:hint="cs"/>
          <w:b/>
          <w:bCs/>
          <w:rtl/>
        </w:rPr>
        <w:t xml:space="preserve">ى </w:t>
      </w:r>
      <w:r>
        <w:rPr>
          <w:rFonts w:hint="cs"/>
          <w:b/>
          <w:bCs/>
          <w:rtl/>
        </w:rPr>
        <w:t>إجراءات حق اللجوء.</w:t>
      </w:r>
      <w:r>
        <w:rPr>
          <w:rFonts w:hint="cs"/>
          <w:rtl/>
        </w:rPr>
        <w:t>.</w:t>
      </w:r>
      <w:r>
        <w:t xml:space="preserve"> </w:t>
      </w:r>
      <w:r>
        <w:rPr>
          <w:rFonts w:hint="cs"/>
          <w:rtl/>
        </w:rPr>
        <w:t xml:space="preserve">غالبًا ما يتعذر </w:t>
      </w:r>
      <w:r w:rsidR="007E2A3F">
        <w:rPr>
          <w:rFonts w:hint="cs"/>
          <w:rtl/>
        </w:rPr>
        <w:t>ع</w:t>
      </w:r>
      <w:r>
        <w:rPr>
          <w:rFonts w:hint="cs"/>
          <w:rtl/>
        </w:rPr>
        <w:t>لى طالبي اللجوء ذوي الإعاقة الوصول إلى عمليات اللجوء أو قد لا يحصلون على التسهيلات الإجرائية اللازمة.</w:t>
      </w:r>
      <w:r>
        <w:t xml:space="preserve"> </w:t>
      </w:r>
      <w:r>
        <w:rPr>
          <w:rFonts w:hint="cs"/>
          <w:b/>
          <w:bCs/>
          <w:rtl/>
        </w:rPr>
        <w:t>توصي</w:t>
      </w:r>
      <w:r w:rsidR="00B377D9">
        <w:rPr>
          <w:rFonts w:hint="cs"/>
          <w:b/>
          <w:bCs/>
          <w:rtl/>
        </w:rPr>
        <w:t>ة</w:t>
      </w:r>
      <w:r>
        <w:rPr>
          <w:rFonts w:hint="cs"/>
          <w:rtl/>
        </w:rPr>
        <w:t>:</w:t>
      </w:r>
      <w:r w:rsidR="00B377D9">
        <w:rPr>
          <w:rFonts w:hint="cs"/>
          <w:rtl/>
        </w:rPr>
        <w:t xml:space="preserve"> يلزم</w:t>
      </w:r>
      <w:r>
        <w:t xml:space="preserve"> </w:t>
      </w:r>
      <w:r>
        <w:rPr>
          <w:rFonts w:hint="cs"/>
          <w:rtl/>
        </w:rPr>
        <w:t>تقديم تعهدات بتعزيز إمكانية الوصول وتوفير التسهيلات الإجرائية أثناء عمليات طلب اللجوء.</w:t>
      </w:r>
      <w:r w:rsidR="00973438">
        <w:rPr>
          <w:rFonts w:hint="cs"/>
          <w:rtl/>
        </w:rPr>
        <w:t xml:space="preserve"> </w:t>
      </w:r>
      <w:r w:rsidR="00B377D9">
        <w:rPr>
          <w:rFonts w:hint="cs"/>
          <w:rtl/>
        </w:rPr>
        <w:t>و</w:t>
      </w:r>
      <w:r>
        <w:rPr>
          <w:rFonts w:hint="cs"/>
          <w:rtl/>
        </w:rPr>
        <w:t>قد يتضمن ذلك، على سبيل المثال لا الحصر،</w:t>
      </w:r>
      <w:r w:rsidR="00973438">
        <w:rPr>
          <w:rFonts w:hint="cs"/>
          <w:rtl/>
        </w:rPr>
        <w:t xml:space="preserve"> </w:t>
      </w:r>
      <w:r>
        <w:rPr>
          <w:rFonts w:hint="cs"/>
          <w:rtl/>
        </w:rPr>
        <w:t>توفير الوثائق ذات الصلة بطلب اللجوء في أشكال يسهل الوصول إليها، وتوفير ترجمات محلية بلغة الإشارة لمقدم الطلب، وبذل جهود لتحسين عمليات صنع القرار المدعومة.</w:t>
      </w:r>
      <w:r>
        <w:t xml:space="preserve"> </w:t>
      </w:r>
    </w:p>
    <w:p w14:paraId="22EB38B0" w14:textId="1261D8D4" w:rsidR="00475AF3" w:rsidRDefault="00F950D8" w:rsidP="00E06F33">
      <w:pPr>
        <w:pStyle w:val="ListBullet"/>
        <w:numPr>
          <w:ilvl w:val="0"/>
          <w:numId w:val="0"/>
        </w:numPr>
        <w:bidi/>
        <w:jc w:val="both"/>
        <w:rPr>
          <w:rtl/>
        </w:rPr>
      </w:pPr>
      <w:r>
        <w:rPr>
          <w:rFonts w:hint="cs"/>
          <w:b/>
          <w:bCs/>
          <w:rtl/>
        </w:rPr>
        <w:t>الحماية من الاضطهاد المتعلق بالإعاقة</w:t>
      </w:r>
      <w:r>
        <w:rPr>
          <w:rFonts w:hint="cs"/>
          <w:rtl/>
        </w:rPr>
        <w:t>.</w:t>
      </w:r>
      <w:r>
        <w:t xml:space="preserve"> </w:t>
      </w:r>
      <w:r>
        <w:rPr>
          <w:rFonts w:hint="cs"/>
          <w:rtl/>
        </w:rPr>
        <w:t>قد يواجه الأشخاص ذو</w:t>
      </w:r>
      <w:r w:rsidR="00973AC5">
        <w:rPr>
          <w:rFonts w:hint="cs"/>
          <w:rtl/>
        </w:rPr>
        <w:t>و</w:t>
      </w:r>
      <w:r>
        <w:rPr>
          <w:rFonts w:hint="cs"/>
          <w:rtl/>
        </w:rPr>
        <w:t xml:space="preserve"> الإعاقة أشكالاً من الاضطهاد، التي تستوجب وجود حماية دولية.</w:t>
      </w:r>
      <w:r>
        <w:t xml:space="preserve"> </w:t>
      </w:r>
      <w:r w:rsidR="00B377D9">
        <w:rPr>
          <w:rFonts w:hint="cs"/>
          <w:rtl/>
        </w:rPr>
        <w:t xml:space="preserve">على سبيل المثال، </w:t>
      </w:r>
      <w:r>
        <w:rPr>
          <w:rFonts w:hint="cs"/>
          <w:rtl/>
        </w:rPr>
        <w:t>العنف الشديد ضد الأشخاص المصابين بالمهق في بعض البلدان، والعنف الصادر نتيجة وجود صلة ما بين الإعاقة ونوع الجنس، مثل الاعتداء جنسيًا على الفتيات ذوات الإعاقة، أو تقييد الأشخاص الذين يعانون من إعاقات نفسية واجتماعية للعيش ضمن منظمة محددة أو تطبيق إجراءات طبية غير توافقية عليهم.</w:t>
      </w:r>
      <w:r>
        <w:t xml:space="preserve"> </w:t>
      </w:r>
      <w:r w:rsidR="00AA5003">
        <w:rPr>
          <w:rFonts w:hint="cs"/>
          <w:b/>
          <w:bCs/>
          <w:rtl/>
        </w:rPr>
        <w:t>توصية</w:t>
      </w:r>
      <w:r>
        <w:rPr>
          <w:rFonts w:hint="cs"/>
          <w:rtl/>
        </w:rPr>
        <w:t>:</w:t>
      </w:r>
      <w:r>
        <w:t xml:space="preserve"> </w:t>
      </w:r>
      <w:r w:rsidR="00AA5003">
        <w:rPr>
          <w:rFonts w:hint="cs"/>
          <w:rtl/>
        </w:rPr>
        <w:t xml:space="preserve">يلزم </w:t>
      </w:r>
      <w:r>
        <w:rPr>
          <w:rFonts w:hint="cs"/>
          <w:rtl/>
        </w:rPr>
        <w:t>تقديم تعهدات بتعزيز القدرة على طلب اللجوء ودعم الإصلاح القانوني لشمول الاضطهاد الذي يتعرض له الأشخاص ذوو الإعاقة ضمن أسباب طلب اللجوء.</w:t>
      </w:r>
      <w:r>
        <w:t xml:space="preserve"> </w:t>
      </w:r>
    </w:p>
    <w:p w14:paraId="1297EE26" w14:textId="28D9FF52" w:rsidR="000C0C7A" w:rsidRDefault="006B7E7A" w:rsidP="00572D0E">
      <w:pPr>
        <w:pStyle w:val="Heading3"/>
        <w:bidi/>
        <w:rPr>
          <w:rtl/>
        </w:rPr>
      </w:pPr>
      <w:r>
        <w:rPr>
          <w:rFonts w:hint="cs"/>
          <w:rtl/>
        </w:rPr>
        <w:t>المساواة في الوصول إلى أنظمة الحماية والخدمات الأساسية لتعزيز اعتماد اللاجئين على أنفسهم</w:t>
      </w:r>
    </w:p>
    <w:p w14:paraId="37773649" w14:textId="5BB5509C" w:rsidR="006A606C" w:rsidRDefault="007E1265" w:rsidP="00E06F33">
      <w:pPr>
        <w:pStyle w:val="ListBullet"/>
        <w:numPr>
          <w:ilvl w:val="0"/>
          <w:numId w:val="0"/>
        </w:numPr>
        <w:bidi/>
        <w:jc w:val="both"/>
        <w:rPr>
          <w:rtl/>
        </w:rPr>
      </w:pPr>
      <w:r>
        <w:rPr>
          <w:rFonts w:hint="cs"/>
          <w:rtl/>
        </w:rPr>
        <w:t>يواجه اللاجئون وطالبو اللجوء ذو</w:t>
      </w:r>
      <w:r w:rsidR="00973AC5">
        <w:rPr>
          <w:rFonts w:hint="cs"/>
          <w:rtl/>
        </w:rPr>
        <w:t>و</w:t>
      </w:r>
      <w:r>
        <w:rPr>
          <w:rFonts w:hint="cs"/>
          <w:rtl/>
        </w:rPr>
        <w:t xml:space="preserve"> الإعاقة عقبات قانونية وإدارية في الوصول إلى الخدمات الرئيسية مثل الصحة والتعليم والحماية الاجتماعية وغيرها من الخدمات في البلدان المضيفة.</w:t>
      </w:r>
      <w:r>
        <w:t xml:space="preserve"> </w:t>
      </w:r>
      <w:r w:rsidR="00B377D9">
        <w:rPr>
          <w:rFonts w:hint="cs"/>
          <w:b/>
          <w:bCs/>
          <w:rtl/>
        </w:rPr>
        <w:t>توصية</w:t>
      </w:r>
      <w:r>
        <w:rPr>
          <w:rFonts w:hint="cs"/>
          <w:rtl/>
        </w:rPr>
        <w:t>:</w:t>
      </w:r>
      <w:r>
        <w:t xml:space="preserve"> </w:t>
      </w:r>
      <w:r w:rsidR="00B377D9">
        <w:rPr>
          <w:rFonts w:hint="cs"/>
          <w:rtl/>
        </w:rPr>
        <w:t>يجب ا</w:t>
      </w:r>
      <w:r>
        <w:rPr>
          <w:rFonts w:hint="cs"/>
          <w:rtl/>
        </w:rPr>
        <w:t>لحصول على تعهدات من الدول بإدراج اللاجئين في أنظمة الحماية الاجتماعية التي تستهدف الأشخاص ذوي الإعاقة، بما في ذلك</w:t>
      </w:r>
      <w:r w:rsidR="00AA5003">
        <w:rPr>
          <w:rFonts w:hint="cs"/>
          <w:rtl/>
        </w:rPr>
        <w:t>،</w:t>
      </w:r>
      <w:r>
        <w:rPr>
          <w:rFonts w:hint="cs"/>
          <w:rtl/>
        </w:rPr>
        <w:t xml:space="preserve"> الحصول على المعاشات التقاعدية والمساعدات الشخصية وأشكال الدعم الأخرى.</w:t>
      </w:r>
      <w:r>
        <w:t xml:space="preserve"> </w:t>
      </w:r>
      <w:r>
        <w:rPr>
          <w:rFonts w:hint="cs"/>
          <w:rtl/>
        </w:rPr>
        <w:t xml:space="preserve">وعلى وجه الخصوص، يجب إعطاء الأولوية </w:t>
      </w:r>
      <w:r w:rsidR="00AA5003">
        <w:rPr>
          <w:rFonts w:hint="cs"/>
          <w:rtl/>
        </w:rPr>
        <w:t>للحد من</w:t>
      </w:r>
      <w:r>
        <w:rPr>
          <w:rFonts w:hint="cs"/>
          <w:rtl/>
        </w:rPr>
        <w:t xml:space="preserve"> العوائق التي تواجه اللاجئات ذوات الإعاقة، وبالأخص اللاجئات من ذوي الإعاقات الذهنية أو النفسية الاجتماعية، وغيرهم من الفئات </w:t>
      </w:r>
      <w:r w:rsidR="00FB2A8A">
        <w:rPr>
          <w:rFonts w:hint="cs"/>
          <w:rtl/>
        </w:rPr>
        <w:t>ذات ال</w:t>
      </w:r>
      <w:r>
        <w:rPr>
          <w:rFonts w:hint="cs"/>
          <w:rtl/>
        </w:rPr>
        <w:t xml:space="preserve">تمثيل </w:t>
      </w:r>
      <w:r w:rsidR="00FB2A8A">
        <w:rPr>
          <w:rFonts w:hint="cs"/>
          <w:rtl/>
        </w:rPr>
        <w:t>الضعيف أو ال</w:t>
      </w:r>
      <w:r>
        <w:rPr>
          <w:rFonts w:hint="cs"/>
          <w:rtl/>
        </w:rPr>
        <w:t>ناقص. في الوصول إلى الخدمات الرئيسية.</w:t>
      </w:r>
      <w:r>
        <w:t xml:space="preserve"> </w:t>
      </w:r>
    </w:p>
    <w:p w14:paraId="7C406269" w14:textId="1F0C1893" w:rsidR="00AE0CAE" w:rsidRDefault="008B4146" w:rsidP="00572D0E">
      <w:pPr>
        <w:pStyle w:val="Heading3"/>
        <w:bidi/>
        <w:rPr>
          <w:rtl/>
        </w:rPr>
      </w:pPr>
      <w:r>
        <w:rPr>
          <w:rStyle w:val="Heading3Char"/>
          <w:rFonts w:hint="cs"/>
          <w:rtl/>
        </w:rPr>
        <w:t>مشاركة اللاجئين وطالبي اللجوء والأشخاص عديم</w:t>
      </w:r>
      <w:r w:rsidR="00973AC5">
        <w:rPr>
          <w:rStyle w:val="Heading3Char"/>
          <w:rFonts w:hint="cs"/>
          <w:rtl/>
        </w:rPr>
        <w:t>ي</w:t>
      </w:r>
      <w:r>
        <w:rPr>
          <w:rStyle w:val="Heading3Char"/>
          <w:rFonts w:hint="cs"/>
          <w:rtl/>
        </w:rPr>
        <w:t xml:space="preserve"> الجنسية ذوي الإعاقة ومنظمات الأشخاص ذوي الإعاقة، </w:t>
      </w:r>
      <w:r>
        <w:rPr>
          <w:rFonts w:hint="cs"/>
          <w:rtl/>
        </w:rPr>
        <w:t xml:space="preserve">في القرارات والعمليات التي تؤثر عليهم </w:t>
      </w:r>
    </w:p>
    <w:p w14:paraId="13ED434C" w14:textId="2E177B92" w:rsidR="00845E35" w:rsidRDefault="009A24E7" w:rsidP="00EA3F55">
      <w:pPr>
        <w:pStyle w:val="ListBullet"/>
        <w:numPr>
          <w:ilvl w:val="0"/>
          <w:numId w:val="0"/>
        </w:numPr>
        <w:bidi/>
        <w:jc w:val="both"/>
        <w:rPr>
          <w:rtl/>
        </w:rPr>
      </w:pPr>
      <w:r>
        <w:rPr>
          <w:rFonts w:hint="cs"/>
          <w:rtl/>
        </w:rPr>
        <w:t>يواجه اللاجئون ذو</w:t>
      </w:r>
      <w:r w:rsidR="00973AC5">
        <w:rPr>
          <w:rFonts w:hint="cs"/>
          <w:rtl/>
        </w:rPr>
        <w:t>و</w:t>
      </w:r>
      <w:r>
        <w:rPr>
          <w:rFonts w:hint="cs"/>
          <w:rtl/>
        </w:rPr>
        <w:t xml:space="preserve"> الإعاقة عوائق إضافية عند التعبير عن آرائهم والمشاركة في القرارات التي تؤثر على حياتهم.</w:t>
      </w:r>
      <w:r>
        <w:t xml:space="preserve"> </w:t>
      </w:r>
      <w:r>
        <w:rPr>
          <w:rFonts w:hint="cs"/>
          <w:rtl/>
        </w:rPr>
        <w:t>غالبًا ما تكون منظمات الأشخاص ذوي الإعاقة على استعداد لإدماج اللاجئين ذوي الإعاقة في أنشطتها ولكنها تعاني من ندرة الموارد والإمكانيات المحدودة.</w:t>
      </w:r>
      <w:r>
        <w:t xml:space="preserve"> </w:t>
      </w:r>
      <w:r>
        <w:rPr>
          <w:rFonts w:hint="cs"/>
          <w:rtl/>
        </w:rPr>
        <w:t xml:space="preserve">يُعد المنتدى العالمي </w:t>
      </w:r>
      <w:r>
        <w:rPr>
          <w:rFonts w:hint="cs"/>
          <w:vertAlign w:val="superscript"/>
          <w:rtl/>
        </w:rPr>
        <w:t>الثاني</w:t>
      </w:r>
      <w:r>
        <w:rPr>
          <w:rFonts w:hint="cs"/>
          <w:rtl/>
        </w:rPr>
        <w:t xml:space="preserve"> للاجئين (</w:t>
      </w:r>
      <w:r>
        <w:t>GRF</w:t>
      </w:r>
      <w:r>
        <w:rPr>
          <w:rFonts w:hint="cs"/>
          <w:rtl/>
        </w:rPr>
        <w:t>) فرصة فريدة لأصحاب المصلحة المختلفين لتقديم التزاماتهم لسد هذه الفجوة، حيث من شأن ذلك تعزيز مشاركة اللاجئين ذوي الإعاقة وإدماجهم.</w:t>
      </w:r>
      <w:r>
        <w:t xml:space="preserve"> </w:t>
      </w:r>
      <w:r w:rsidR="00AA5003">
        <w:rPr>
          <w:rFonts w:hint="cs"/>
          <w:b/>
          <w:bCs/>
          <w:rtl/>
        </w:rPr>
        <w:t>توصية</w:t>
      </w:r>
      <w:r>
        <w:rPr>
          <w:rFonts w:hint="cs"/>
          <w:rtl/>
        </w:rPr>
        <w:t>:</w:t>
      </w:r>
      <w:r w:rsidR="00AA5003">
        <w:rPr>
          <w:rFonts w:hint="cs"/>
          <w:rtl/>
        </w:rPr>
        <w:t xml:space="preserve"> يجب تقديم</w:t>
      </w:r>
      <w:r>
        <w:t xml:space="preserve"> </w:t>
      </w:r>
      <w:r>
        <w:rPr>
          <w:rFonts w:hint="cs"/>
          <w:rtl/>
        </w:rPr>
        <w:t>تعهد</w:t>
      </w:r>
      <w:r w:rsidR="00AA5003">
        <w:rPr>
          <w:rFonts w:hint="cs"/>
          <w:rtl/>
        </w:rPr>
        <w:t>ات</w:t>
      </w:r>
      <w:r>
        <w:rPr>
          <w:rFonts w:hint="cs"/>
          <w:rtl/>
        </w:rPr>
        <w:t xml:space="preserve"> بدعم مشاركة اللاجئين ذوي الإعاقة في المنظمات التي يقودها اللاجئون، بالإضافة إلى دعم منظمات الأشخاص ذوي الإعاقة لتوسيع نفوذها ودعم اللاجئين ذوي الإعاقة على المستويات الوطنية/الإقليمية/العالمية.</w:t>
      </w:r>
      <w:r>
        <w:t xml:space="preserve"> </w:t>
      </w:r>
    </w:p>
    <w:sectPr w:rsidR="0084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5E42"/>
    <w:lvl w:ilvl="0">
      <w:start w:val="1"/>
      <w:numFmt w:val="bullet"/>
      <w:pStyle w:val="ListBullet"/>
      <w:lvlText w:val=""/>
      <w:lvlJc w:val="left"/>
      <w:pPr>
        <w:tabs>
          <w:tab w:val="num" w:pos="360"/>
        </w:tabs>
        <w:ind w:left="360" w:hanging="360"/>
      </w:pPr>
      <w:rPr>
        <w:rFonts w:ascii="Symbol" w:hAnsi="Symbol" w:hint="default"/>
      </w:rPr>
    </w:lvl>
  </w:abstractNum>
  <w:num w:numId="1" w16cid:durableId="1044217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D43"/>
    <w:rsid w:val="00010251"/>
    <w:rsid w:val="00091294"/>
    <w:rsid w:val="000C0C7A"/>
    <w:rsid w:val="000F41FD"/>
    <w:rsid w:val="00133FDC"/>
    <w:rsid w:val="001545AB"/>
    <w:rsid w:val="00157CEB"/>
    <w:rsid w:val="001A1601"/>
    <w:rsid w:val="001A6267"/>
    <w:rsid w:val="001C6167"/>
    <w:rsid w:val="001D593B"/>
    <w:rsid w:val="001E27F8"/>
    <w:rsid w:val="001F50D6"/>
    <w:rsid w:val="00271C83"/>
    <w:rsid w:val="002F0E3F"/>
    <w:rsid w:val="002F26C8"/>
    <w:rsid w:val="002F2EF5"/>
    <w:rsid w:val="003047F9"/>
    <w:rsid w:val="00310A68"/>
    <w:rsid w:val="00341510"/>
    <w:rsid w:val="00364589"/>
    <w:rsid w:val="003C167E"/>
    <w:rsid w:val="004338E1"/>
    <w:rsid w:val="00445A84"/>
    <w:rsid w:val="004672B2"/>
    <w:rsid w:val="00474A2A"/>
    <w:rsid w:val="00475AF3"/>
    <w:rsid w:val="004B49E9"/>
    <w:rsid w:val="004E17C2"/>
    <w:rsid w:val="00506301"/>
    <w:rsid w:val="00522010"/>
    <w:rsid w:val="005257B1"/>
    <w:rsid w:val="005378B8"/>
    <w:rsid w:val="00572D0E"/>
    <w:rsid w:val="005855BF"/>
    <w:rsid w:val="005B5E5E"/>
    <w:rsid w:val="005F25C5"/>
    <w:rsid w:val="0061337E"/>
    <w:rsid w:val="0062668E"/>
    <w:rsid w:val="00630475"/>
    <w:rsid w:val="00632FAD"/>
    <w:rsid w:val="006403D4"/>
    <w:rsid w:val="00660D74"/>
    <w:rsid w:val="00675080"/>
    <w:rsid w:val="00681341"/>
    <w:rsid w:val="0069295B"/>
    <w:rsid w:val="006A25B8"/>
    <w:rsid w:val="006A606C"/>
    <w:rsid w:val="006B199E"/>
    <w:rsid w:val="006B7E7A"/>
    <w:rsid w:val="006D38A9"/>
    <w:rsid w:val="006F179C"/>
    <w:rsid w:val="00703AE8"/>
    <w:rsid w:val="00720C8D"/>
    <w:rsid w:val="007254A1"/>
    <w:rsid w:val="00725FB0"/>
    <w:rsid w:val="00757DF3"/>
    <w:rsid w:val="007664D5"/>
    <w:rsid w:val="0078744D"/>
    <w:rsid w:val="007942C0"/>
    <w:rsid w:val="007D5799"/>
    <w:rsid w:val="007D5F66"/>
    <w:rsid w:val="007E1265"/>
    <w:rsid w:val="007E2A3F"/>
    <w:rsid w:val="007F48DE"/>
    <w:rsid w:val="007F7066"/>
    <w:rsid w:val="00831433"/>
    <w:rsid w:val="0083761A"/>
    <w:rsid w:val="00845E35"/>
    <w:rsid w:val="00856DFC"/>
    <w:rsid w:val="008B3AB2"/>
    <w:rsid w:val="008B4146"/>
    <w:rsid w:val="008C060A"/>
    <w:rsid w:val="008D2366"/>
    <w:rsid w:val="008F71CA"/>
    <w:rsid w:val="00916384"/>
    <w:rsid w:val="00970430"/>
    <w:rsid w:val="00972F39"/>
    <w:rsid w:val="00973438"/>
    <w:rsid w:val="00973AC5"/>
    <w:rsid w:val="009966E6"/>
    <w:rsid w:val="009A24E7"/>
    <w:rsid w:val="009C1F0D"/>
    <w:rsid w:val="009E2F81"/>
    <w:rsid w:val="00A04C9B"/>
    <w:rsid w:val="00A07227"/>
    <w:rsid w:val="00A24434"/>
    <w:rsid w:val="00A46CFE"/>
    <w:rsid w:val="00AA5003"/>
    <w:rsid w:val="00AE0CAE"/>
    <w:rsid w:val="00B127F6"/>
    <w:rsid w:val="00B1762E"/>
    <w:rsid w:val="00B377D9"/>
    <w:rsid w:val="00B55E90"/>
    <w:rsid w:val="00B8094D"/>
    <w:rsid w:val="00B857AA"/>
    <w:rsid w:val="00BA7C16"/>
    <w:rsid w:val="00BB7D43"/>
    <w:rsid w:val="00BC4208"/>
    <w:rsid w:val="00BD2FB0"/>
    <w:rsid w:val="00BD419B"/>
    <w:rsid w:val="00C16847"/>
    <w:rsid w:val="00C35BEF"/>
    <w:rsid w:val="00C424A6"/>
    <w:rsid w:val="00C57692"/>
    <w:rsid w:val="00C642E4"/>
    <w:rsid w:val="00C85B6B"/>
    <w:rsid w:val="00C9421A"/>
    <w:rsid w:val="00CE5F8B"/>
    <w:rsid w:val="00D20881"/>
    <w:rsid w:val="00D61370"/>
    <w:rsid w:val="00D70DA3"/>
    <w:rsid w:val="00DD79B6"/>
    <w:rsid w:val="00E06F33"/>
    <w:rsid w:val="00E163A1"/>
    <w:rsid w:val="00EA3F55"/>
    <w:rsid w:val="00EF16FE"/>
    <w:rsid w:val="00EF42FC"/>
    <w:rsid w:val="00F11938"/>
    <w:rsid w:val="00F525F5"/>
    <w:rsid w:val="00F67614"/>
    <w:rsid w:val="00F86449"/>
    <w:rsid w:val="00F950D8"/>
    <w:rsid w:val="00FB2A8A"/>
    <w:rsid w:val="00FB36A9"/>
    <w:rsid w:val="00FF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A9E"/>
  <w15:chartTrackingRefBased/>
  <w15:docId w15:val="{85E319F5-9365-4A25-ACDA-D647F303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EG"/>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3FDC"/>
    <w:pPr>
      <w:numPr>
        <w:numId w:val="1"/>
      </w:numPr>
      <w:contextualSpacing/>
    </w:pPr>
  </w:style>
  <w:style w:type="character" w:customStyle="1" w:styleId="Heading1Char">
    <w:name w:val="Heading 1 Char"/>
    <w:basedOn w:val="DefaultParagraphFont"/>
    <w:link w:val="Heading1"/>
    <w:uiPriority w:val="9"/>
    <w:rsid w:val="00572D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D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2D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06301"/>
    <w:pPr>
      <w:spacing w:after="0" w:line="240" w:lineRule="auto"/>
    </w:pPr>
  </w:style>
  <w:style w:type="character" w:styleId="Hyperlink">
    <w:name w:val="Hyperlink"/>
    <w:basedOn w:val="DefaultParagraphFont"/>
    <w:uiPriority w:val="99"/>
    <w:unhideWhenUsed/>
    <w:rsid w:val="00CE5F8B"/>
    <w:rPr>
      <w:color w:val="0000FF"/>
      <w:u w:val="single"/>
    </w:rPr>
  </w:style>
  <w:style w:type="character" w:customStyle="1" w:styleId="UnresolvedMention1">
    <w:name w:val="Unresolved Mention1"/>
    <w:basedOn w:val="DefaultParagraphFont"/>
    <w:uiPriority w:val="99"/>
    <w:semiHidden/>
    <w:unhideWhenUsed/>
    <w:rsid w:val="001A6267"/>
    <w:rPr>
      <w:color w:val="605E5C"/>
      <w:shd w:val="clear" w:color="auto" w:fill="E1DFDD"/>
    </w:rPr>
  </w:style>
  <w:style w:type="character" w:styleId="FollowedHyperlink">
    <w:name w:val="FollowedHyperlink"/>
    <w:basedOn w:val="DefaultParagraphFont"/>
    <w:uiPriority w:val="99"/>
    <w:semiHidden/>
    <w:unhideWhenUsed/>
    <w:rsid w:val="006D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ationaldisabilityalliance.org/blog/ida-unhcr-webinar-series-towards-annual-consultation-organizations-persons-disabiliti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unhcr.org/media/global-refugee-forum-pledging-guidance-inclusion-persons-disabilities" TargetMode="External"/><Relationship Id="rId4" Type="http://schemas.openxmlformats.org/officeDocument/2006/relationships/numbering" Target="numbering.xml"/><Relationship Id="rId9" Type="http://schemas.openxmlformats.org/officeDocument/2006/relationships/hyperlink" Target="https://www.internationaldisabilityalliance.org/blog/discussion-paper-exploring-intersectionality-international-refugee-protection-and-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_Flow_SignoffStatus xmlns="e2e28f0a-1429-4847-bacf-d71185b1f9be" xsi:nil="true"/>
    <lcf76f155ced4ddcb4097134ff3c332f xmlns="e2e28f0a-1429-4847-bacf-d71185b1f9b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8" ma:contentTypeDescription="Create a new document." ma:contentTypeScope="" ma:versionID="131c83b3b4b8435fae8409966f7f369b">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A5E50-9C3A-460B-BB26-7BC871819CCE}">
  <ds:schemaRefs>
    <ds:schemaRef ds:uri="http://schemas.microsoft.com/sharepoint/v3/contenttype/forms"/>
  </ds:schemaRefs>
</ds:datastoreItem>
</file>

<file path=customXml/itemProps2.xml><?xml version="1.0" encoding="utf-8"?>
<ds:datastoreItem xmlns:ds="http://schemas.openxmlformats.org/officeDocument/2006/customXml" ds:itemID="{8FD56700-7791-4BA3-9FE8-0E75034E22F9}">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3.xml><?xml version="1.0" encoding="utf-8"?>
<ds:datastoreItem xmlns:ds="http://schemas.openxmlformats.org/officeDocument/2006/customXml" ds:itemID="{F6CDEC3D-3D17-46FB-A129-A99D5D26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Jeryes</cp:lastModifiedBy>
  <cp:revision>8</cp:revision>
  <dcterms:created xsi:type="dcterms:W3CDTF">2023-06-22T07:04:00Z</dcterms:created>
  <dcterms:modified xsi:type="dcterms:W3CDTF">2023-06-22T08:56:00Z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y fmtid="{D5CDD505-2E9C-101B-9397-08002B2CF9AE}" pid="4" name="GrammarlyDocumentId">
    <vt:lpwstr>cae4b182b367aa871dc0832fff9047f26aabd7818994b56d8b5802297fdd3560</vt:lpwstr>
  </property>
</Properties>
</file>