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6D6EC" w14:textId="0D746FEC" w:rsidR="003053B4" w:rsidRPr="000347F7" w:rsidRDefault="003053B4" w:rsidP="00356AA9">
      <w:pPr>
        <w:rPr>
          <w:rFonts w:ascii="Verdana" w:hAnsi="Verdana"/>
          <w:b/>
          <w:sz w:val="22"/>
          <w:szCs w:val="22"/>
        </w:rPr>
      </w:pPr>
    </w:p>
    <w:p w14:paraId="384014AB" w14:textId="51314A2E" w:rsidR="003053B4" w:rsidRPr="000347F7" w:rsidRDefault="009F5305" w:rsidP="001A582F">
      <w:pPr>
        <w:jc w:val="center"/>
        <w:rPr>
          <w:rFonts w:ascii="Verdana" w:hAnsi="Verdana"/>
          <w:b/>
          <w:sz w:val="22"/>
          <w:szCs w:val="22"/>
        </w:rPr>
      </w:pPr>
      <w:r w:rsidRPr="001B4A91">
        <w:rPr>
          <w:rFonts w:ascii="Verdana" w:eastAsia="Times New Roman" w:hAnsi="Verdana" w:cstheme="majorHAnsi"/>
          <w:noProof/>
          <w:sz w:val="22"/>
          <w:szCs w:val="22"/>
          <w:lang w:val="en-GB" w:eastAsia="en-GB"/>
        </w:rPr>
        <w:drawing>
          <wp:inline distT="0" distB="0" distL="0" distR="0" wp14:anchorId="6AF7B90D" wp14:editId="53DB1E9D">
            <wp:extent cx="5943600" cy="2698115"/>
            <wp:effectExtent l="0" t="0" r="0" b="0"/>
            <wp:docPr id="35" name="Picture 34" descr="Squares with light color surrounding the text &quot;Stakeholder Group of Persons with Disabilities for Sustainable Development&quot;" title="Stakeholder Group of Persons with Disabilities for Sustainable Development">
              <a:extLst xmlns:a="http://schemas.openxmlformats.org/drawingml/2006/main">
                <a:ext uri="{FF2B5EF4-FFF2-40B4-BE49-F238E27FC236}">
                  <a16:creationId xmlns:a16="http://schemas.microsoft.com/office/drawing/2014/main" id="{B5A5743F-D67D-3F49-A273-EA752B454B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a:extLst>
                        <a:ext uri="{FF2B5EF4-FFF2-40B4-BE49-F238E27FC236}">
                          <a16:creationId xmlns:a16="http://schemas.microsoft.com/office/drawing/2014/main" id="{B5A5743F-D67D-3F49-A273-EA752B454BC8}"/>
                        </a:ext>
                      </a:extLst>
                    </pic:cNvPr>
                    <pic:cNvPicPr>
                      <a:picLocks noChangeAspect="1"/>
                    </pic:cNvPicPr>
                  </pic:nvPicPr>
                  <pic:blipFill>
                    <a:blip r:embed="rId7"/>
                    <a:stretch>
                      <a:fillRect/>
                    </a:stretch>
                  </pic:blipFill>
                  <pic:spPr>
                    <a:xfrm>
                      <a:off x="0" y="0"/>
                      <a:ext cx="5943600" cy="2698115"/>
                    </a:xfrm>
                    <a:prstGeom prst="rect">
                      <a:avLst/>
                    </a:prstGeom>
                  </pic:spPr>
                </pic:pic>
              </a:graphicData>
            </a:graphic>
          </wp:inline>
        </w:drawing>
      </w:r>
    </w:p>
    <w:p w14:paraId="54110834" w14:textId="77777777" w:rsidR="00CE1566" w:rsidRPr="000347F7" w:rsidRDefault="00CE1566" w:rsidP="00CD0E80">
      <w:pPr>
        <w:rPr>
          <w:rFonts w:ascii="Verdana" w:hAnsi="Verdana"/>
          <w:b/>
          <w:sz w:val="22"/>
          <w:szCs w:val="22"/>
        </w:rPr>
      </w:pPr>
    </w:p>
    <w:p w14:paraId="5275B0AB" w14:textId="241FAAC1" w:rsidR="001A582F" w:rsidRDefault="0012304F" w:rsidP="000710D4">
      <w:pPr>
        <w:jc w:val="center"/>
        <w:rPr>
          <w:rFonts w:ascii="Verdana" w:hAnsi="Verdana"/>
          <w:b/>
          <w:sz w:val="22"/>
          <w:szCs w:val="22"/>
        </w:rPr>
      </w:pPr>
      <w:r w:rsidRPr="000347F7">
        <w:rPr>
          <w:rFonts w:ascii="Verdana" w:hAnsi="Verdana"/>
          <w:b/>
          <w:sz w:val="22"/>
          <w:szCs w:val="22"/>
        </w:rPr>
        <w:t xml:space="preserve">Position Paper </w:t>
      </w:r>
      <w:r w:rsidR="000710D4" w:rsidRPr="000347F7">
        <w:rPr>
          <w:rFonts w:ascii="Verdana" w:hAnsi="Verdana"/>
          <w:b/>
          <w:sz w:val="22"/>
          <w:szCs w:val="22"/>
        </w:rPr>
        <w:t>for 201</w:t>
      </w:r>
      <w:r w:rsidR="001F03C6" w:rsidRPr="000347F7">
        <w:rPr>
          <w:rFonts w:ascii="Verdana" w:hAnsi="Verdana"/>
          <w:b/>
          <w:sz w:val="22"/>
          <w:szCs w:val="22"/>
        </w:rPr>
        <w:t>9</w:t>
      </w:r>
      <w:r w:rsidR="000710D4" w:rsidRPr="000347F7">
        <w:rPr>
          <w:rFonts w:ascii="Verdana" w:hAnsi="Verdana"/>
          <w:b/>
          <w:sz w:val="22"/>
          <w:szCs w:val="22"/>
        </w:rPr>
        <w:t xml:space="preserve"> report of the Inter-agency Task Force on </w:t>
      </w:r>
      <w:r w:rsidR="001A582F" w:rsidRPr="000347F7">
        <w:rPr>
          <w:rFonts w:ascii="Verdana" w:hAnsi="Verdana"/>
          <w:b/>
          <w:sz w:val="22"/>
          <w:szCs w:val="22"/>
        </w:rPr>
        <w:t>Financing for Development</w:t>
      </w:r>
    </w:p>
    <w:p w14:paraId="521EBE85" w14:textId="77777777" w:rsidR="001A582F" w:rsidRPr="000347F7" w:rsidRDefault="001A582F" w:rsidP="001A582F">
      <w:pPr>
        <w:rPr>
          <w:rFonts w:ascii="Verdana" w:hAnsi="Verdana"/>
          <w:sz w:val="22"/>
          <w:szCs w:val="22"/>
        </w:rPr>
      </w:pPr>
    </w:p>
    <w:p w14:paraId="14D05D5C" w14:textId="66DFEB82" w:rsidR="00A534ED" w:rsidRPr="000347F7" w:rsidRDefault="001A582F" w:rsidP="004161B1">
      <w:pPr>
        <w:jc w:val="both"/>
        <w:rPr>
          <w:rFonts w:ascii="Verdana" w:eastAsia="Arial" w:hAnsi="Verdana" w:cs="Arial"/>
          <w:sz w:val="22"/>
          <w:szCs w:val="22"/>
        </w:rPr>
      </w:pPr>
      <w:r w:rsidRPr="000347F7">
        <w:rPr>
          <w:rFonts w:ascii="Verdana" w:hAnsi="Verdana"/>
          <w:sz w:val="22"/>
          <w:szCs w:val="22"/>
        </w:rPr>
        <w:t>In the 2030 Agenda for Sustainable Development</w:t>
      </w:r>
      <w:r w:rsidR="00872046" w:rsidRPr="000347F7">
        <w:rPr>
          <w:rFonts w:ascii="Verdana" w:hAnsi="Verdana"/>
          <w:sz w:val="22"/>
          <w:szCs w:val="22"/>
        </w:rPr>
        <w:t xml:space="preserve"> (2030 Agenda)</w:t>
      </w:r>
      <w:r w:rsidRPr="000347F7">
        <w:rPr>
          <w:rFonts w:ascii="Verdana" w:hAnsi="Verdana"/>
          <w:sz w:val="22"/>
          <w:szCs w:val="22"/>
        </w:rPr>
        <w:t xml:space="preserve"> and the </w:t>
      </w:r>
      <w:r w:rsidR="00872046" w:rsidRPr="000347F7">
        <w:rPr>
          <w:rFonts w:ascii="Verdana" w:hAnsi="Verdana"/>
          <w:sz w:val="22"/>
          <w:szCs w:val="22"/>
        </w:rPr>
        <w:t>Addis Ababa Action Agenda (</w:t>
      </w:r>
      <w:r w:rsidRPr="000347F7">
        <w:rPr>
          <w:rFonts w:ascii="Verdana" w:hAnsi="Verdana"/>
          <w:sz w:val="22"/>
          <w:szCs w:val="22"/>
        </w:rPr>
        <w:t>AAAA</w:t>
      </w:r>
      <w:r w:rsidR="00872046" w:rsidRPr="000347F7">
        <w:rPr>
          <w:rFonts w:ascii="Verdana" w:hAnsi="Verdana"/>
          <w:sz w:val="22"/>
          <w:szCs w:val="22"/>
        </w:rPr>
        <w:t>)</w:t>
      </w:r>
      <w:r w:rsidRPr="000347F7">
        <w:rPr>
          <w:rFonts w:ascii="Verdana" w:hAnsi="Verdana"/>
          <w:sz w:val="22"/>
          <w:szCs w:val="22"/>
        </w:rPr>
        <w:t>, Member States committed to leave no one behind. The 2030 Agenda and the AAAA reflect the critical long-awaited political commitments of</w:t>
      </w:r>
      <w:r w:rsidR="009F109B" w:rsidRPr="000347F7">
        <w:rPr>
          <w:rFonts w:ascii="Verdana" w:hAnsi="Verdana"/>
          <w:sz w:val="22"/>
          <w:szCs w:val="22"/>
        </w:rPr>
        <w:t xml:space="preserve"> Member States toward ending poverty</w:t>
      </w:r>
      <w:r w:rsidR="000B015B" w:rsidRPr="000347F7">
        <w:rPr>
          <w:rFonts w:ascii="Verdana" w:hAnsi="Verdana"/>
          <w:sz w:val="22"/>
          <w:szCs w:val="22"/>
        </w:rPr>
        <w:t xml:space="preserve">, reducing inequalities, and saving the planet. </w:t>
      </w:r>
      <w:r w:rsidR="00D157FC" w:rsidRPr="000347F7">
        <w:rPr>
          <w:rFonts w:ascii="Verdana" w:hAnsi="Verdana"/>
          <w:sz w:val="22"/>
          <w:szCs w:val="22"/>
        </w:rPr>
        <w:t xml:space="preserve">Two years into the implementation process </w:t>
      </w:r>
      <w:r w:rsidR="008763B8" w:rsidRPr="000347F7">
        <w:rPr>
          <w:rFonts w:ascii="Verdana" w:hAnsi="Verdana"/>
          <w:sz w:val="22"/>
          <w:szCs w:val="22"/>
        </w:rPr>
        <w:t xml:space="preserve">very little of </w:t>
      </w:r>
      <w:r w:rsidR="00D157FC" w:rsidRPr="000347F7">
        <w:rPr>
          <w:rFonts w:ascii="Verdana" w:hAnsi="Verdana"/>
          <w:sz w:val="22"/>
          <w:szCs w:val="22"/>
        </w:rPr>
        <w:t>t</w:t>
      </w:r>
      <w:r w:rsidR="008763B8" w:rsidRPr="000347F7">
        <w:rPr>
          <w:rFonts w:ascii="Verdana" w:hAnsi="Verdana"/>
          <w:sz w:val="22"/>
          <w:szCs w:val="22"/>
        </w:rPr>
        <w:t>hese have</w:t>
      </w:r>
      <w:r w:rsidRPr="000347F7">
        <w:rPr>
          <w:rFonts w:ascii="Verdana" w:hAnsi="Verdana"/>
          <w:sz w:val="22"/>
          <w:szCs w:val="22"/>
        </w:rPr>
        <w:t xml:space="preserve"> </w:t>
      </w:r>
      <w:r w:rsidR="00D157FC" w:rsidRPr="000347F7">
        <w:rPr>
          <w:rFonts w:ascii="Verdana" w:hAnsi="Verdana"/>
          <w:sz w:val="22"/>
          <w:szCs w:val="22"/>
        </w:rPr>
        <w:t xml:space="preserve">been translated into </w:t>
      </w:r>
      <w:r w:rsidRPr="000347F7">
        <w:rPr>
          <w:rFonts w:ascii="Verdana" w:hAnsi="Verdana"/>
          <w:sz w:val="22"/>
          <w:szCs w:val="22"/>
        </w:rPr>
        <w:t xml:space="preserve">financial commitments. </w:t>
      </w:r>
      <w:r w:rsidR="00FA1144" w:rsidRPr="000347F7">
        <w:rPr>
          <w:rFonts w:ascii="Verdana" w:hAnsi="Verdana"/>
          <w:color w:val="000000" w:themeColor="text1"/>
          <w:sz w:val="22"/>
          <w:szCs w:val="22"/>
        </w:rPr>
        <w:t>Globally, persons with disabilities - 15 percent</w:t>
      </w:r>
      <w:r w:rsidR="00E86CF9" w:rsidRPr="000347F7">
        <w:rPr>
          <w:rFonts w:ascii="Verdana" w:hAnsi="Verdana"/>
          <w:color w:val="000000" w:themeColor="text1"/>
          <w:sz w:val="22"/>
          <w:szCs w:val="22"/>
        </w:rPr>
        <w:t xml:space="preserve"> of the world</w:t>
      </w:r>
      <w:r w:rsidR="00FA1144" w:rsidRPr="000347F7">
        <w:rPr>
          <w:rFonts w:ascii="Verdana" w:hAnsi="Verdana"/>
          <w:color w:val="000000" w:themeColor="text1"/>
          <w:sz w:val="22"/>
          <w:szCs w:val="22"/>
        </w:rPr>
        <w:t>’s</w:t>
      </w:r>
      <w:r w:rsidR="00E86CF9" w:rsidRPr="000347F7">
        <w:rPr>
          <w:rFonts w:ascii="Verdana" w:hAnsi="Verdana"/>
          <w:color w:val="000000" w:themeColor="text1"/>
          <w:sz w:val="22"/>
          <w:szCs w:val="22"/>
        </w:rPr>
        <w:t xml:space="preserve"> population</w:t>
      </w:r>
      <w:r w:rsidR="00FA1144" w:rsidRPr="000347F7">
        <w:rPr>
          <w:rFonts w:ascii="Verdana" w:hAnsi="Verdana"/>
          <w:color w:val="000000" w:themeColor="text1"/>
          <w:sz w:val="22"/>
          <w:szCs w:val="22"/>
        </w:rPr>
        <w:t xml:space="preserve"> -</w:t>
      </w:r>
      <w:r w:rsidR="00E86CF9" w:rsidRPr="000347F7">
        <w:rPr>
          <w:rFonts w:ascii="Verdana" w:hAnsi="Verdana"/>
          <w:color w:val="000000" w:themeColor="text1"/>
          <w:sz w:val="22"/>
          <w:szCs w:val="22"/>
        </w:rPr>
        <w:t xml:space="preserve"> </w:t>
      </w:r>
      <w:r w:rsidR="00CD5059" w:rsidRPr="000347F7">
        <w:rPr>
          <w:rFonts w:ascii="Verdana" w:hAnsi="Verdana"/>
          <w:color w:val="000000" w:themeColor="text1"/>
          <w:sz w:val="22"/>
          <w:szCs w:val="22"/>
        </w:rPr>
        <w:t>do</w:t>
      </w:r>
      <w:r w:rsidR="00FA1144" w:rsidRPr="000347F7">
        <w:rPr>
          <w:rFonts w:ascii="Verdana" w:hAnsi="Verdana"/>
          <w:color w:val="000000" w:themeColor="text1"/>
          <w:sz w:val="22"/>
          <w:szCs w:val="22"/>
        </w:rPr>
        <w:t xml:space="preserve"> not adequately benefit from </w:t>
      </w:r>
      <w:r w:rsidR="00E86CF9" w:rsidRPr="000347F7">
        <w:rPr>
          <w:rFonts w:ascii="Verdana" w:hAnsi="Verdana"/>
          <w:color w:val="000000" w:themeColor="text1"/>
          <w:sz w:val="22"/>
          <w:szCs w:val="22"/>
        </w:rPr>
        <w:t>funds and resou</w:t>
      </w:r>
      <w:r w:rsidR="00FA1144" w:rsidRPr="000347F7">
        <w:rPr>
          <w:rFonts w:ascii="Verdana" w:hAnsi="Verdana"/>
          <w:color w:val="000000" w:themeColor="text1"/>
          <w:sz w:val="22"/>
          <w:szCs w:val="22"/>
        </w:rPr>
        <w:t>rces sp</w:t>
      </w:r>
      <w:r w:rsidR="00CD5059" w:rsidRPr="000347F7">
        <w:rPr>
          <w:rFonts w:ascii="Verdana" w:hAnsi="Verdana"/>
          <w:color w:val="000000" w:themeColor="text1"/>
          <w:sz w:val="22"/>
          <w:szCs w:val="22"/>
        </w:rPr>
        <w:t>ent by public sector</w:t>
      </w:r>
      <w:r w:rsidR="0076206B">
        <w:rPr>
          <w:rFonts w:ascii="Verdana" w:hAnsi="Verdana"/>
          <w:color w:val="000000" w:themeColor="text1"/>
          <w:sz w:val="22"/>
          <w:szCs w:val="22"/>
        </w:rPr>
        <w:t>, from the actions of the private sector,</w:t>
      </w:r>
      <w:r w:rsidR="00CD5059" w:rsidRPr="000347F7">
        <w:rPr>
          <w:rFonts w:ascii="Verdana" w:hAnsi="Verdana"/>
          <w:color w:val="000000" w:themeColor="text1"/>
          <w:sz w:val="22"/>
          <w:szCs w:val="22"/>
        </w:rPr>
        <w:t xml:space="preserve"> or</w:t>
      </w:r>
      <w:r w:rsidR="00E86CF9" w:rsidRPr="000347F7">
        <w:rPr>
          <w:rFonts w:ascii="Verdana" w:hAnsi="Verdana"/>
          <w:color w:val="000000" w:themeColor="text1"/>
          <w:sz w:val="22"/>
          <w:szCs w:val="22"/>
        </w:rPr>
        <w:t xml:space="preserve"> economic, social and cultural development</w:t>
      </w:r>
      <w:r w:rsidR="00CD5059" w:rsidRPr="000347F7">
        <w:rPr>
          <w:rFonts w:ascii="Verdana" w:hAnsi="Verdana"/>
          <w:color w:val="000000" w:themeColor="text1"/>
          <w:sz w:val="22"/>
          <w:szCs w:val="22"/>
        </w:rPr>
        <w:t>. P</w:t>
      </w:r>
      <w:r w:rsidR="00D157FC" w:rsidRPr="000347F7">
        <w:rPr>
          <w:rFonts w:ascii="Verdana" w:hAnsi="Verdana"/>
          <w:sz w:val="22"/>
          <w:szCs w:val="22"/>
        </w:rPr>
        <w:t xml:space="preserve">ersons with disabilities </w:t>
      </w:r>
      <w:r w:rsidR="004A2220" w:rsidRPr="000347F7">
        <w:rPr>
          <w:rFonts w:ascii="Verdana" w:hAnsi="Verdana"/>
          <w:sz w:val="22"/>
          <w:szCs w:val="22"/>
        </w:rPr>
        <w:t>face wide</w:t>
      </w:r>
      <w:r w:rsidR="000B1DE2" w:rsidRPr="000347F7">
        <w:rPr>
          <w:rFonts w:ascii="Verdana" w:hAnsi="Verdana"/>
          <w:sz w:val="22"/>
          <w:szCs w:val="22"/>
        </w:rPr>
        <w:t>spread exclusion from all areas of society and</w:t>
      </w:r>
      <w:r w:rsidR="004A2220" w:rsidRPr="000347F7">
        <w:rPr>
          <w:rFonts w:ascii="Verdana" w:hAnsi="Verdana"/>
          <w:sz w:val="22"/>
          <w:szCs w:val="22"/>
        </w:rPr>
        <w:t xml:space="preserve"> experience higher rates of poverty and deprivation and lower levels of income than the general population. This stems from pervasive discrimination and stigma, unequal opportunities, and physical and attitudinal barriers. </w:t>
      </w:r>
      <w:r w:rsidR="00C748A2" w:rsidRPr="000347F7">
        <w:rPr>
          <w:rFonts w:ascii="Verdana" w:hAnsi="Verdana"/>
          <w:color w:val="000000" w:themeColor="text1"/>
          <w:sz w:val="22"/>
          <w:szCs w:val="22"/>
        </w:rPr>
        <w:t xml:space="preserve">During recent economic crises, many countries have reduced public funds that support social participation of persons with disabilities. Consequently, the poverty rate has increased for persons with disabilities and their families. </w:t>
      </w:r>
      <w:r w:rsidR="00372D3B" w:rsidRPr="000347F7">
        <w:rPr>
          <w:rFonts w:ascii="Verdana" w:eastAsia="Arial" w:hAnsi="Verdana" w:cs="Arial"/>
          <w:sz w:val="22"/>
          <w:szCs w:val="22"/>
          <w:highlight w:val="white"/>
        </w:rPr>
        <w:t xml:space="preserve">Furthermore, </w:t>
      </w:r>
      <w:r w:rsidR="00372D3B" w:rsidRPr="000347F7">
        <w:rPr>
          <w:rFonts w:ascii="Verdana" w:eastAsia="Arial" w:hAnsi="Verdana" w:cs="Arial"/>
          <w:sz w:val="22"/>
          <w:szCs w:val="22"/>
        </w:rPr>
        <w:t>without access to digital infrastructure and accessible ICT, persons with disabilities are at risk to be excluded from statist</w:t>
      </w:r>
      <w:r w:rsidR="00C41E7B" w:rsidRPr="000347F7">
        <w:rPr>
          <w:rFonts w:ascii="Verdana" w:eastAsia="Arial" w:hAnsi="Verdana" w:cs="Arial"/>
          <w:sz w:val="22"/>
          <w:szCs w:val="22"/>
        </w:rPr>
        <w:t>ics and surveys, which leads to exclusion from</w:t>
      </w:r>
      <w:r w:rsidR="00372D3B" w:rsidRPr="000347F7">
        <w:rPr>
          <w:rFonts w:ascii="Verdana" w:eastAsia="Arial" w:hAnsi="Verdana" w:cs="Arial"/>
          <w:sz w:val="22"/>
          <w:szCs w:val="22"/>
        </w:rPr>
        <w:t xml:space="preserve"> programs and policies. </w:t>
      </w:r>
    </w:p>
    <w:p w14:paraId="29349FEF" w14:textId="77777777" w:rsidR="00A534ED" w:rsidRPr="000347F7" w:rsidRDefault="00A534ED" w:rsidP="004161B1">
      <w:pPr>
        <w:jc w:val="both"/>
        <w:rPr>
          <w:rFonts w:ascii="Verdana" w:eastAsia="Arial" w:hAnsi="Verdana" w:cs="Arial"/>
          <w:sz w:val="22"/>
          <w:szCs w:val="22"/>
        </w:rPr>
      </w:pPr>
    </w:p>
    <w:p w14:paraId="453FB183" w14:textId="1E6759E9" w:rsidR="004A2220" w:rsidRPr="000347F7" w:rsidRDefault="0031251C" w:rsidP="004161B1">
      <w:pPr>
        <w:jc w:val="both"/>
        <w:rPr>
          <w:rFonts w:ascii="Verdana" w:eastAsia="Arial" w:hAnsi="Verdana" w:cs="Arial"/>
          <w:sz w:val="22"/>
          <w:szCs w:val="22"/>
        </w:rPr>
      </w:pPr>
      <w:r w:rsidRPr="000347F7">
        <w:rPr>
          <w:rFonts w:ascii="Verdana" w:hAnsi="Verdana"/>
          <w:sz w:val="22"/>
          <w:szCs w:val="22"/>
        </w:rPr>
        <w:t>T</w:t>
      </w:r>
      <w:r w:rsidR="004A2220" w:rsidRPr="000347F7">
        <w:rPr>
          <w:rFonts w:ascii="Verdana" w:hAnsi="Verdana"/>
          <w:sz w:val="22"/>
          <w:szCs w:val="22"/>
        </w:rPr>
        <w:t>hese same factors also mean that the rights of persons with disabilities are not adequa</w:t>
      </w:r>
      <w:r w:rsidR="008F6246" w:rsidRPr="000347F7">
        <w:rPr>
          <w:rFonts w:ascii="Verdana" w:hAnsi="Verdana"/>
          <w:sz w:val="22"/>
          <w:szCs w:val="22"/>
        </w:rPr>
        <w:t xml:space="preserve">tely addressed in </w:t>
      </w:r>
      <w:r w:rsidR="005914C7">
        <w:rPr>
          <w:rFonts w:ascii="Verdana" w:hAnsi="Verdana"/>
          <w:sz w:val="22"/>
          <w:szCs w:val="22"/>
        </w:rPr>
        <w:t>tax and budget</w:t>
      </w:r>
      <w:r w:rsidR="004A2220" w:rsidRPr="000347F7">
        <w:rPr>
          <w:rFonts w:ascii="Verdana" w:hAnsi="Verdana"/>
          <w:sz w:val="22"/>
          <w:szCs w:val="22"/>
        </w:rPr>
        <w:t xml:space="preserve"> policies, </w:t>
      </w:r>
      <w:r w:rsidRPr="000347F7">
        <w:rPr>
          <w:rFonts w:ascii="Verdana" w:hAnsi="Verdana"/>
          <w:sz w:val="22"/>
          <w:szCs w:val="22"/>
        </w:rPr>
        <w:t>poverty-reduction program</w:t>
      </w:r>
      <w:r w:rsidR="004A2220" w:rsidRPr="000347F7">
        <w:rPr>
          <w:rFonts w:ascii="Verdana" w:hAnsi="Verdana"/>
          <w:sz w:val="22"/>
          <w:szCs w:val="22"/>
        </w:rPr>
        <w:t>s, social protection</w:t>
      </w:r>
      <w:r w:rsidRPr="000347F7">
        <w:rPr>
          <w:rFonts w:ascii="Verdana" w:hAnsi="Verdana"/>
          <w:sz w:val="22"/>
          <w:szCs w:val="22"/>
        </w:rPr>
        <w:t xml:space="preserve"> floors</w:t>
      </w:r>
      <w:r w:rsidR="00754819">
        <w:rPr>
          <w:rFonts w:ascii="Verdana" w:hAnsi="Verdana"/>
          <w:sz w:val="22"/>
          <w:szCs w:val="22"/>
        </w:rPr>
        <w:t xml:space="preserve">, </w:t>
      </w:r>
      <w:r w:rsidRPr="000347F7">
        <w:rPr>
          <w:rFonts w:ascii="Verdana" w:hAnsi="Verdana"/>
          <w:sz w:val="22"/>
          <w:szCs w:val="22"/>
        </w:rPr>
        <w:t>development programs and funds</w:t>
      </w:r>
      <w:r w:rsidR="00754819">
        <w:rPr>
          <w:rFonts w:ascii="Verdana" w:hAnsi="Verdana"/>
          <w:sz w:val="22"/>
          <w:szCs w:val="22"/>
        </w:rPr>
        <w:t>, and engagement with</w:t>
      </w:r>
      <w:r w:rsidR="0093561B">
        <w:rPr>
          <w:rFonts w:ascii="Verdana" w:hAnsi="Verdana"/>
          <w:sz w:val="22"/>
          <w:szCs w:val="22"/>
        </w:rPr>
        <w:t xml:space="preserve"> </w:t>
      </w:r>
      <w:r w:rsidR="00C07074">
        <w:rPr>
          <w:rFonts w:ascii="Verdana" w:hAnsi="Verdana"/>
          <w:sz w:val="22"/>
          <w:szCs w:val="22"/>
        </w:rPr>
        <w:t>regulation of</w:t>
      </w:r>
      <w:r w:rsidR="00754819">
        <w:rPr>
          <w:rFonts w:ascii="Verdana" w:hAnsi="Verdana"/>
          <w:sz w:val="22"/>
          <w:szCs w:val="22"/>
        </w:rPr>
        <w:t xml:space="preserve"> the private sector</w:t>
      </w:r>
      <w:r w:rsidR="00C07074">
        <w:rPr>
          <w:rFonts w:ascii="Verdana" w:hAnsi="Verdana"/>
          <w:sz w:val="22"/>
          <w:szCs w:val="22"/>
        </w:rPr>
        <w:t xml:space="preserve">. </w:t>
      </w:r>
      <w:r w:rsidRPr="000347F7">
        <w:rPr>
          <w:rFonts w:ascii="Verdana" w:hAnsi="Verdana"/>
          <w:sz w:val="22"/>
          <w:szCs w:val="22"/>
        </w:rPr>
        <w:t>Consequently, p</w:t>
      </w:r>
      <w:r w:rsidR="008F6246" w:rsidRPr="000347F7">
        <w:rPr>
          <w:rFonts w:ascii="Verdana" w:hAnsi="Verdana"/>
          <w:sz w:val="22"/>
          <w:szCs w:val="22"/>
        </w:rPr>
        <w:t>romoting equity</w:t>
      </w:r>
      <w:r w:rsidR="00715C64" w:rsidRPr="000347F7">
        <w:rPr>
          <w:rFonts w:ascii="Verdana" w:hAnsi="Verdana"/>
          <w:sz w:val="22"/>
          <w:szCs w:val="22"/>
        </w:rPr>
        <w:t xml:space="preserve"> must be a</w:t>
      </w:r>
      <w:r w:rsidR="008F6246" w:rsidRPr="000347F7">
        <w:rPr>
          <w:rFonts w:ascii="Verdana" w:hAnsi="Verdana"/>
          <w:sz w:val="22"/>
          <w:szCs w:val="22"/>
        </w:rPr>
        <w:t>ddressed at the center of all of these</w:t>
      </w:r>
      <w:r w:rsidR="00715C64" w:rsidRPr="000347F7">
        <w:rPr>
          <w:rFonts w:ascii="Verdana" w:hAnsi="Verdana"/>
          <w:sz w:val="22"/>
          <w:szCs w:val="22"/>
        </w:rPr>
        <w:t xml:space="preserve"> </w:t>
      </w:r>
      <w:r w:rsidRPr="000347F7">
        <w:rPr>
          <w:rFonts w:ascii="Verdana" w:hAnsi="Verdana"/>
          <w:sz w:val="22"/>
          <w:szCs w:val="22"/>
        </w:rPr>
        <w:t>policies.</w:t>
      </w:r>
    </w:p>
    <w:p w14:paraId="3839BC39" w14:textId="77777777" w:rsidR="00D157FC" w:rsidRPr="000347F7" w:rsidRDefault="00D157FC" w:rsidP="001A582F">
      <w:pPr>
        <w:rPr>
          <w:rFonts w:ascii="Verdana" w:hAnsi="Verdana"/>
          <w:sz w:val="22"/>
          <w:szCs w:val="22"/>
        </w:rPr>
      </w:pPr>
    </w:p>
    <w:p w14:paraId="2E9FF188" w14:textId="47678DC1" w:rsidR="00D869F0" w:rsidRPr="000347F7" w:rsidRDefault="00E27966" w:rsidP="00A92184">
      <w:pPr>
        <w:jc w:val="both"/>
        <w:rPr>
          <w:rFonts w:ascii="Verdana" w:hAnsi="Verdana"/>
          <w:sz w:val="22"/>
          <w:szCs w:val="22"/>
        </w:rPr>
      </w:pPr>
      <w:r w:rsidRPr="000347F7">
        <w:rPr>
          <w:rFonts w:ascii="Verdana" w:hAnsi="Verdana"/>
          <w:sz w:val="22"/>
          <w:szCs w:val="22"/>
        </w:rPr>
        <w:t xml:space="preserve">Development finance must be people-centered and based on human rights, which requires normative and systematic reform in order for countries to generate the </w:t>
      </w:r>
      <w:r w:rsidRPr="000347F7">
        <w:rPr>
          <w:rFonts w:ascii="Verdana" w:hAnsi="Verdana"/>
          <w:sz w:val="22"/>
          <w:szCs w:val="22"/>
        </w:rPr>
        <w:lastRenderedPageBreak/>
        <w:t>requisite resources to deliver a sustainable agenda. As such, t</w:t>
      </w:r>
      <w:r w:rsidR="00D02EBF" w:rsidRPr="000347F7">
        <w:rPr>
          <w:rFonts w:ascii="Verdana" w:hAnsi="Verdana"/>
          <w:sz w:val="22"/>
          <w:szCs w:val="22"/>
        </w:rPr>
        <w:t>he 2030 Agenda</w:t>
      </w:r>
      <w:r w:rsidR="00CE64B5">
        <w:rPr>
          <w:rFonts w:ascii="Verdana" w:hAnsi="Verdana"/>
          <w:sz w:val="22"/>
          <w:szCs w:val="22"/>
        </w:rPr>
        <w:t xml:space="preserve"> for Sustainable Development</w:t>
      </w:r>
      <w:r w:rsidR="00D02EBF" w:rsidRPr="000347F7">
        <w:rPr>
          <w:rFonts w:ascii="Verdana" w:hAnsi="Verdana"/>
          <w:sz w:val="22"/>
          <w:szCs w:val="22"/>
        </w:rPr>
        <w:t xml:space="preserve"> must become an integral part of national policy commitment</w:t>
      </w:r>
      <w:r w:rsidRPr="000347F7">
        <w:rPr>
          <w:rFonts w:ascii="Verdana" w:hAnsi="Verdana"/>
          <w:sz w:val="22"/>
          <w:szCs w:val="22"/>
        </w:rPr>
        <w:t>s that are</w:t>
      </w:r>
      <w:r w:rsidR="001A582F" w:rsidRPr="000347F7">
        <w:rPr>
          <w:rFonts w:ascii="Verdana" w:hAnsi="Verdana"/>
          <w:sz w:val="22"/>
          <w:szCs w:val="22"/>
        </w:rPr>
        <w:t xml:space="preserve"> matched with system-wide resourc</w:t>
      </w:r>
      <w:r w:rsidRPr="000347F7">
        <w:rPr>
          <w:rFonts w:ascii="Verdana" w:hAnsi="Verdana"/>
          <w:sz w:val="22"/>
          <w:szCs w:val="22"/>
        </w:rPr>
        <w:t>e allocation</w:t>
      </w:r>
      <w:r w:rsidR="00D02EBF" w:rsidRPr="000347F7">
        <w:rPr>
          <w:rFonts w:ascii="Verdana" w:hAnsi="Verdana"/>
          <w:sz w:val="22"/>
          <w:szCs w:val="22"/>
        </w:rPr>
        <w:t xml:space="preserve"> and</w:t>
      </w:r>
      <w:r w:rsidR="001A582F" w:rsidRPr="000347F7">
        <w:rPr>
          <w:rFonts w:ascii="Verdana" w:hAnsi="Verdana"/>
          <w:sz w:val="22"/>
          <w:szCs w:val="22"/>
        </w:rPr>
        <w:t xml:space="preserve"> include commitments on disability spending. </w:t>
      </w:r>
    </w:p>
    <w:p w14:paraId="0B92F8CD" w14:textId="1C01F0AA" w:rsidR="00D8262D" w:rsidRDefault="00D8262D" w:rsidP="000347F7">
      <w:pPr>
        <w:pStyle w:val="Heading1"/>
        <w:numPr>
          <w:ilvl w:val="0"/>
          <w:numId w:val="25"/>
        </w:numPr>
        <w:rPr>
          <w:rFonts w:ascii="Verdana" w:hAnsi="Verdana"/>
          <w:b/>
          <w:color w:val="000000" w:themeColor="text1"/>
          <w:sz w:val="22"/>
          <w:szCs w:val="22"/>
        </w:rPr>
      </w:pPr>
      <w:r w:rsidRPr="00A736D4">
        <w:rPr>
          <w:rFonts w:ascii="Verdana" w:hAnsi="Verdana"/>
          <w:b/>
          <w:color w:val="000000" w:themeColor="text1"/>
          <w:sz w:val="22"/>
          <w:szCs w:val="22"/>
        </w:rPr>
        <w:t>Fiscal systems and inequality</w:t>
      </w:r>
      <w:r w:rsidR="00B035F7" w:rsidRPr="00A736D4">
        <w:rPr>
          <w:rFonts w:ascii="Verdana" w:hAnsi="Verdana"/>
          <w:b/>
          <w:color w:val="000000" w:themeColor="text1"/>
          <w:sz w:val="22"/>
          <w:szCs w:val="22"/>
        </w:rPr>
        <w:t xml:space="preserve"> (SDG 10 inequality)</w:t>
      </w:r>
      <w:r w:rsidRPr="00A736D4">
        <w:rPr>
          <w:rFonts w:ascii="Verdana" w:hAnsi="Verdana"/>
          <w:b/>
          <w:color w:val="000000" w:themeColor="text1"/>
          <w:sz w:val="22"/>
          <w:szCs w:val="22"/>
        </w:rPr>
        <w:t xml:space="preserve"> – focus on </w:t>
      </w:r>
      <w:r w:rsidR="00CE64B5">
        <w:rPr>
          <w:rFonts w:ascii="Verdana" w:hAnsi="Verdana"/>
          <w:b/>
          <w:color w:val="000000" w:themeColor="text1"/>
          <w:sz w:val="22"/>
          <w:szCs w:val="22"/>
        </w:rPr>
        <w:t>UN Convention on the Rights of Persons with Disabilities (</w:t>
      </w:r>
      <w:r w:rsidRPr="00A736D4">
        <w:rPr>
          <w:rFonts w:ascii="Verdana" w:hAnsi="Verdana"/>
          <w:b/>
          <w:color w:val="000000" w:themeColor="text1"/>
          <w:sz w:val="22"/>
          <w:szCs w:val="22"/>
        </w:rPr>
        <w:t>CRPD</w:t>
      </w:r>
      <w:r w:rsidR="00CE64B5">
        <w:rPr>
          <w:rFonts w:ascii="Verdana" w:hAnsi="Verdana"/>
          <w:b/>
          <w:color w:val="000000" w:themeColor="text1"/>
          <w:sz w:val="22"/>
          <w:szCs w:val="22"/>
        </w:rPr>
        <w:t>)</w:t>
      </w:r>
      <w:r w:rsidRPr="00A736D4">
        <w:rPr>
          <w:rFonts w:ascii="Verdana" w:hAnsi="Verdana"/>
          <w:b/>
          <w:color w:val="000000" w:themeColor="text1"/>
          <w:sz w:val="22"/>
          <w:szCs w:val="22"/>
        </w:rPr>
        <w:t>-compliant budgeting</w:t>
      </w:r>
      <w:r w:rsidR="00356AA9">
        <w:rPr>
          <w:rStyle w:val="FootnoteReference"/>
          <w:rFonts w:ascii="Verdana" w:hAnsi="Verdana"/>
          <w:b/>
          <w:color w:val="000000" w:themeColor="text1"/>
          <w:sz w:val="22"/>
          <w:szCs w:val="22"/>
        </w:rPr>
        <w:footnoteReference w:id="1"/>
      </w:r>
      <w:r w:rsidR="00356AA9">
        <w:rPr>
          <w:rFonts w:ascii="Verdana" w:hAnsi="Verdana"/>
          <w:b/>
          <w:color w:val="000000" w:themeColor="text1"/>
          <w:sz w:val="22"/>
          <w:szCs w:val="22"/>
        </w:rPr>
        <w:t xml:space="preserve"> </w:t>
      </w:r>
    </w:p>
    <w:p w14:paraId="3E1A409C" w14:textId="77777777" w:rsidR="00A736D4" w:rsidRDefault="00A736D4" w:rsidP="00A736D4">
      <w:pPr>
        <w:textAlignment w:val="baseline"/>
        <w:rPr>
          <w:rFonts w:ascii="Verdana" w:hAnsi="Verdana"/>
          <w:sz w:val="22"/>
          <w:szCs w:val="22"/>
        </w:rPr>
      </w:pPr>
    </w:p>
    <w:p w14:paraId="57C7802D" w14:textId="081C35E8" w:rsidR="00A736D4" w:rsidRDefault="006903D0" w:rsidP="00A736D4">
      <w:pPr>
        <w:textAlignment w:val="baseline"/>
        <w:rPr>
          <w:rFonts w:ascii="Verdana" w:eastAsia="Times New Roman" w:hAnsi="Verdana" w:cs="Calibri"/>
          <w:color w:val="000000"/>
          <w:sz w:val="22"/>
          <w:szCs w:val="22"/>
          <w:lang w:eastAsia="en-GB"/>
        </w:rPr>
      </w:pPr>
      <w:r w:rsidRPr="000347F7">
        <w:rPr>
          <w:rFonts w:ascii="Verdana" w:eastAsia="Times New Roman" w:hAnsi="Verdana" w:cs="Calibri"/>
          <w:b/>
          <w:bCs/>
          <w:color w:val="000000"/>
          <w:sz w:val="22"/>
          <w:szCs w:val="22"/>
          <w:lang w:eastAsia="en-GB"/>
        </w:rPr>
        <w:t xml:space="preserve">Ensure that existing expenditure fully aligns with commitments on the rights of persons with disabilities. </w:t>
      </w:r>
      <w:r w:rsidRPr="000347F7">
        <w:rPr>
          <w:rFonts w:ascii="Verdana" w:eastAsia="Times New Roman" w:hAnsi="Verdana" w:cs="Calibri"/>
          <w:color w:val="000000"/>
          <w:sz w:val="22"/>
          <w:szCs w:val="22"/>
          <w:lang w:eastAsia="en-GB"/>
        </w:rPr>
        <w:t>This also applies to services that are publicly funded and/or regulated, but delivered by private entities.</w:t>
      </w:r>
      <w:r w:rsidR="009E5552">
        <w:rPr>
          <w:rFonts w:ascii="Verdana" w:eastAsia="Times New Roman" w:hAnsi="Verdana" w:cs="Calibri"/>
          <w:color w:val="000000"/>
          <w:sz w:val="22"/>
          <w:szCs w:val="22"/>
          <w:lang w:eastAsia="en-GB"/>
        </w:rPr>
        <w:t xml:space="preserve"> This implies among others:</w:t>
      </w:r>
    </w:p>
    <w:p w14:paraId="692D3712" w14:textId="77777777" w:rsidR="00A736D4" w:rsidRDefault="00A736D4" w:rsidP="00A736D4">
      <w:pPr>
        <w:textAlignment w:val="baseline"/>
        <w:rPr>
          <w:rFonts w:ascii="Verdana" w:eastAsia="Times New Roman" w:hAnsi="Verdana" w:cs="Calibri"/>
          <w:color w:val="000000"/>
          <w:sz w:val="22"/>
          <w:szCs w:val="22"/>
          <w:lang w:eastAsia="en-GB"/>
        </w:rPr>
      </w:pPr>
    </w:p>
    <w:p w14:paraId="3AE7BAFB" w14:textId="77777777" w:rsidR="009E5552" w:rsidRDefault="0074452F" w:rsidP="00A736D4">
      <w:pPr>
        <w:pStyle w:val="ListParagraph"/>
        <w:numPr>
          <w:ilvl w:val="0"/>
          <w:numId w:val="26"/>
        </w:numPr>
        <w:textAlignment w:val="baseline"/>
        <w:rPr>
          <w:rFonts w:ascii="Verdana" w:eastAsia="Times New Roman" w:hAnsi="Verdana" w:cs="Calibri"/>
          <w:color w:val="000000"/>
          <w:sz w:val="22"/>
          <w:szCs w:val="22"/>
          <w:lang w:eastAsia="en-GB"/>
        </w:rPr>
      </w:pPr>
      <w:r>
        <w:rPr>
          <w:rFonts w:ascii="Verdana" w:eastAsia="Times New Roman" w:hAnsi="Verdana" w:cs="Calibri"/>
          <w:color w:val="000000"/>
          <w:sz w:val="22"/>
          <w:szCs w:val="22"/>
          <w:lang w:eastAsia="en-GB"/>
        </w:rPr>
        <w:t>Ensuring that public funds</w:t>
      </w:r>
      <w:r w:rsidR="009E5552">
        <w:rPr>
          <w:rFonts w:ascii="Verdana" w:eastAsia="Times New Roman" w:hAnsi="Verdana" w:cs="Calibri"/>
          <w:color w:val="000000"/>
          <w:sz w:val="22"/>
          <w:szCs w:val="22"/>
          <w:lang w:eastAsia="en-GB"/>
        </w:rPr>
        <w:t>:</w:t>
      </w:r>
    </w:p>
    <w:p w14:paraId="066C61AD" w14:textId="4F6CED84" w:rsidR="0074452F" w:rsidRDefault="0074452F" w:rsidP="009E5552">
      <w:pPr>
        <w:pStyle w:val="ListParagraph"/>
        <w:numPr>
          <w:ilvl w:val="1"/>
          <w:numId w:val="26"/>
        </w:numPr>
        <w:textAlignment w:val="baseline"/>
        <w:rPr>
          <w:rFonts w:ascii="Verdana" w:eastAsia="Times New Roman" w:hAnsi="Verdana" w:cs="Calibri"/>
          <w:color w:val="000000"/>
          <w:sz w:val="22"/>
          <w:szCs w:val="22"/>
          <w:lang w:eastAsia="en-GB"/>
        </w:rPr>
      </w:pPr>
      <w:r w:rsidRPr="00D869F0">
        <w:rPr>
          <w:rFonts w:ascii="Verdana" w:eastAsia="Times New Roman" w:hAnsi="Verdana" w:cs="Calibri"/>
          <w:color w:val="000000"/>
          <w:sz w:val="22"/>
          <w:szCs w:val="22"/>
          <w:lang w:eastAsia="en-GB"/>
        </w:rPr>
        <w:t>do not create or perpetuate barriers</w:t>
      </w:r>
      <w:r w:rsidR="009E5552">
        <w:rPr>
          <w:rFonts w:ascii="Verdana" w:eastAsia="Times New Roman" w:hAnsi="Verdana" w:cs="Calibri"/>
          <w:color w:val="000000"/>
          <w:sz w:val="22"/>
          <w:szCs w:val="22"/>
          <w:lang w:eastAsia="en-GB"/>
        </w:rPr>
        <w:t xml:space="preserve">, such </w:t>
      </w:r>
      <w:r w:rsidR="00CE2695">
        <w:rPr>
          <w:rFonts w:ascii="Verdana" w:eastAsia="Times New Roman" w:hAnsi="Verdana" w:cs="Calibri"/>
          <w:color w:val="000000"/>
          <w:sz w:val="22"/>
          <w:szCs w:val="22"/>
          <w:lang w:eastAsia="en-GB"/>
        </w:rPr>
        <w:t xml:space="preserve">as </w:t>
      </w:r>
      <w:r w:rsidR="009E5552">
        <w:rPr>
          <w:rFonts w:ascii="Verdana" w:eastAsia="Times New Roman" w:hAnsi="Verdana" w:cs="Calibri"/>
          <w:color w:val="000000"/>
          <w:sz w:val="22"/>
          <w:szCs w:val="22"/>
          <w:lang w:eastAsia="en-GB"/>
        </w:rPr>
        <w:t>building inaccessible infrastructure</w:t>
      </w:r>
      <w:r w:rsidR="00CE2695">
        <w:rPr>
          <w:rFonts w:ascii="Verdana" w:eastAsia="Times New Roman" w:hAnsi="Verdana" w:cs="Calibri"/>
          <w:color w:val="000000"/>
          <w:sz w:val="22"/>
          <w:szCs w:val="22"/>
          <w:lang w:eastAsia="en-GB"/>
        </w:rPr>
        <w:t>s</w:t>
      </w:r>
      <w:r w:rsidR="009E5552">
        <w:rPr>
          <w:rFonts w:ascii="Verdana" w:eastAsia="Times New Roman" w:hAnsi="Verdana" w:cs="Calibri"/>
          <w:color w:val="000000"/>
          <w:sz w:val="22"/>
          <w:szCs w:val="22"/>
          <w:lang w:eastAsia="en-GB"/>
        </w:rPr>
        <w:t xml:space="preserve"> or investing in segregated services that undermine inclusion of persons with disabilities</w:t>
      </w:r>
      <w:r w:rsidR="00CE2695">
        <w:rPr>
          <w:rFonts w:ascii="Verdana" w:eastAsia="Times New Roman" w:hAnsi="Verdana" w:cs="Calibri"/>
          <w:color w:val="000000"/>
          <w:sz w:val="22"/>
          <w:szCs w:val="22"/>
          <w:lang w:eastAsia="en-GB"/>
        </w:rPr>
        <w:t>;</w:t>
      </w:r>
      <w:r w:rsidR="009E5552">
        <w:rPr>
          <w:rFonts w:ascii="Verdana" w:eastAsia="Times New Roman" w:hAnsi="Verdana" w:cs="Calibri"/>
          <w:color w:val="000000"/>
          <w:sz w:val="22"/>
          <w:szCs w:val="22"/>
          <w:lang w:eastAsia="en-GB"/>
        </w:rPr>
        <w:t xml:space="preserve"> </w:t>
      </w:r>
    </w:p>
    <w:p w14:paraId="1715ADD9" w14:textId="72A3ABB1" w:rsidR="00B03D84" w:rsidRPr="00D869F0" w:rsidRDefault="00B03D84" w:rsidP="009E5552">
      <w:pPr>
        <w:pStyle w:val="ListParagraph"/>
        <w:numPr>
          <w:ilvl w:val="1"/>
          <w:numId w:val="26"/>
        </w:numPr>
        <w:textAlignment w:val="baseline"/>
        <w:rPr>
          <w:rFonts w:ascii="Verdana" w:eastAsia="Times New Roman" w:hAnsi="Verdana" w:cs="Calibri"/>
          <w:color w:val="000000"/>
          <w:sz w:val="22"/>
          <w:szCs w:val="22"/>
          <w:lang w:eastAsia="en-GB"/>
        </w:rPr>
      </w:pPr>
      <w:r>
        <w:rPr>
          <w:rFonts w:ascii="Verdana" w:eastAsia="Times New Roman" w:hAnsi="Verdana" w:cs="Calibri"/>
          <w:color w:val="000000"/>
          <w:sz w:val="22"/>
          <w:szCs w:val="22"/>
          <w:lang w:eastAsia="en-GB"/>
        </w:rPr>
        <w:t>are spen</w:t>
      </w:r>
      <w:r w:rsidR="00CE2695">
        <w:rPr>
          <w:rFonts w:ascii="Verdana" w:eastAsia="Times New Roman" w:hAnsi="Verdana" w:cs="Calibri"/>
          <w:color w:val="000000"/>
          <w:sz w:val="22"/>
          <w:szCs w:val="22"/>
          <w:lang w:eastAsia="en-GB"/>
        </w:rPr>
        <w:t>t</w:t>
      </w:r>
      <w:r>
        <w:rPr>
          <w:rFonts w:ascii="Verdana" w:eastAsia="Times New Roman" w:hAnsi="Verdana" w:cs="Calibri"/>
          <w:color w:val="000000"/>
          <w:sz w:val="22"/>
          <w:szCs w:val="22"/>
          <w:lang w:eastAsia="en-GB"/>
        </w:rPr>
        <w:t xml:space="preserve"> in an inclusive manner across all sectors, including by making </w:t>
      </w:r>
      <w:r w:rsidRPr="00A57ADA">
        <w:rPr>
          <w:rFonts w:ascii="Verdana" w:eastAsia="Times New Roman" w:hAnsi="Verdana" w:cs="Calibri"/>
          <w:b/>
          <w:bCs/>
          <w:color w:val="000000"/>
          <w:sz w:val="22"/>
          <w:szCs w:val="22"/>
          <w:lang w:eastAsia="en-GB"/>
        </w:rPr>
        <w:t>accessibility for persons with disabilities requirements in all public procurement</w:t>
      </w:r>
      <w:r w:rsidR="00CE2695">
        <w:rPr>
          <w:rFonts w:ascii="Verdana" w:eastAsia="Times New Roman" w:hAnsi="Verdana" w:cs="Calibri"/>
          <w:b/>
          <w:bCs/>
          <w:color w:val="000000"/>
          <w:sz w:val="22"/>
          <w:szCs w:val="22"/>
          <w:lang w:eastAsia="en-GB"/>
        </w:rPr>
        <w:t>s</w:t>
      </w:r>
      <w:r w:rsidR="00CE2695">
        <w:rPr>
          <w:rFonts w:ascii="Verdana" w:eastAsia="Times New Roman" w:hAnsi="Verdana" w:cs="Calibri"/>
          <w:color w:val="000000"/>
          <w:sz w:val="22"/>
          <w:szCs w:val="22"/>
          <w:lang w:eastAsia="en-GB"/>
        </w:rPr>
        <w:t>; and</w:t>
      </w:r>
    </w:p>
    <w:p w14:paraId="6FBA578C" w14:textId="4B0B8513" w:rsidR="009E5552" w:rsidRPr="00D869F0" w:rsidRDefault="009E5552" w:rsidP="00D869F0">
      <w:pPr>
        <w:pStyle w:val="ListParagraph"/>
        <w:numPr>
          <w:ilvl w:val="1"/>
          <w:numId w:val="26"/>
        </w:numPr>
        <w:textAlignment w:val="baseline"/>
        <w:rPr>
          <w:rFonts w:ascii="Verdana" w:eastAsia="Times New Roman" w:hAnsi="Verdana" w:cs="Calibri"/>
          <w:color w:val="000000"/>
          <w:sz w:val="22"/>
          <w:szCs w:val="22"/>
          <w:lang w:eastAsia="en-GB"/>
        </w:rPr>
      </w:pPr>
      <w:r>
        <w:rPr>
          <w:rFonts w:ascii="Verdana" w:eastAsia="Times New Roman" w:hAnsi="Verdana" w:cs="Calibri"/>
          <w:color w:val="000000"/>
          <w:sz w:val="22"/>
          <w:szCs w:val="22"/>
          <w:lang w:eastAsia="en-GB"/>
        </w:rPr>
        <w:t>Support the development, scal</w:t>
      </w:r>
      <w:r w:rsidR="00B03D84">
        <w:rPr>
          <w:rFonts w:ascii="Verdana" w:eastAsia="Times New Roman" w:hAnsi="Verdana" w:cs="Calibri"/>
          <w:color w:val="000000"/>
          <w:sz w:val="22"/>
          <w:szCs w:val="22"/>
          <w:lang w:eastAsia="en-GB"/>
        </w:rPr>
        <w:t>ing</w:t>
      </w:r>
      <w:r>
        <w:rPr>
          <w:rFonts w:ascii="Verdana" w:eastAsia="Times New Roman" w:hAnsi="Verdana" w:cs="Calibri"/>
          <w:color w:val="000000"/>
          <w:sz w:val="22"/>
          <w:szCs w:val="22"/>
          <w:lang w:eastAsia="en-GB"/>
        </w:rPr>
        <w:t xml:space="preserve"> up and sustainability of services and p</w:t>
      </w:r>
      <w:r w:rsidR="00B03D84">
        <w:rPr>
          <w:rFonts w:ascii="Verdana" w:eastAsia="Times New Roman" w:hAnsi="Verdana" w:cs="Calibri"/>
          <w:color w:val="000000"/>
          <w:sz w:val="22"/>
          <w:szCs w:val="22"/>
          <w:lang w:eastAsia="en-GB"/>
        </w:rPr>
        <w:t>rograms</w:t>
      </w:r>
      <w:r>
        <w:rPr>
          <w:rFonts w:ascii="Verdana" w:eastAsia="Times New Roman" w:hAnsi="Verdana" w:cs="Calibri"/>
          <w:color w:val="000000"/>
          <w:sz w:val="22"/>
          <w:szCs w:val="22"/>
          <w:lang w:eastAsia="en-GB"/>
        </w:rPr>
        <w:t xml:space="preserve"> </w:t>
      </w:r>
      <w:r w:rsidR="00B03D84">
        <w:rPr>
          <w:rFonts w:ascii="Verdana" w:eastAsia="Times New Roman" w:hAnsi="Verdana" w:cs="Calibri"/>
          <w:color w:val="000000"/>
          <w:sz w:val="22"/>
          <w:szCs w:val="22"/>
          <w:lang w:eastAsia="en-GB"/>
        </w:rPr>
        <w:t xml:space="preserve">required </w:t>
      </w:r>
      <w:r>
        <w:rPr>
          <w:rFonts w:ascii="Verdana" w:eastAsia="Times New Roman" w:hAnsi="Verdana" w:cs="Calibri"/>
          <w:color w:val="000000"/>
          <w:sz w:val="22"/>
          <w:szCs w:val="22"/>
          <w:lang w:eastAsia="en-GB"/>
        </w:rPr>
        <w:t>for</w:t>
      </w:r>
      <w:r w:rsidR="00CE2695">
        <w:rPr>
          <w:rFonts w:ascii="Verdana" w:eastAsia="Times New Roman" w:hAnsi="Verdana" w:cs="Calibri"/>
          <w:color w:val="000000"/>
          <w:sz w:val="22"/>
          <w:szCs w:val="22"/>
          <w:lang w:eastAsia="en-GB"/>
        </w:rPr>
        <w:t xml:space="preserve"> the</w:t>
      </w:r>
      <w:r w:rsidR="00B03D84">
        <w:rPr>
          <w:rFonts w:ascii="Verdana" w:eastAsia="Times New Roman" w:hAnsi="Verdana" w:cs="Calibri"/>
          <w:color w:val="000000"/>
          <w:sz w:val="22"/>
          <w:szCs w:val="22"/>
          <w:lang w:eastAsia="en-GB"/>
        </w:rPr>
        <w:t xml:space="preserve"> </w:t>
      </w:r>
      <w:r>
        <w:rPr>
          <w:rFonts w:ascii="Verdana" w:eastAsia="Times New Roman" w:hAnsi="Verdana" w:cs="Calibri"/>
          <w:color w:val="000000"/>
          <w:sz w:val="22"/>
          <w:szCs w:val="22"/>
          <w:lang w:eastAsia="en-GB"/>
        </w:rPr>
        <w:t>inclusion of persons with disabilities</w:t>
      </w:r>
      <w:r w:rsidR="00CE2695">
        <w:rPr>
          <w:rFonts w:ascii="Verdana" w:eastAsia="Times New Roman" w:hAnsi="Verdana" w:cs="Calibri"/>
          <w:color w:val="000000"/>
          <w:sz w:val="22"/>
          <w:szCs w:val="22"/>
          <w:lang w:eastAsia="en-GB"/>
        </w:rPr>
        <w:t>.</w:t>
      </w:r>
      <w:r>
        <w:rPr>
          <w:rFonts w:ascii="Verdana" w:eastAsia="Times New Roman" w:hAnsi="Verdana" w:cs="Calibri"/>
          <w:color w:val="000000"/>
          <w:sz w:val="22"/>
          <w:szCs w:val="22"/>
          <w:lang w:eastAsia="en-GB"/>
        </w:rPr>
        <w:t xml:space="preserve"> </w:t>
      </w:r>
    </w:p>
    <w:p w14:paraId="351AD828" w14:textId="648D8B03" w:rsidR="00A736D4" w:rsidRDefault="006903D0" w:rsidP="00A736D4">
      <w:pPr>
        <w:pStyle w:val="ListParagraph"/>
        <w:numPr>
          <w:ilvl w:val="0"/>
          <w:numId w:val="26"/>
        </w:numPr>
        <w:textAlignment w:val="baseline"/>
        <w:rPr>
          <w:rFonts w:ascii="Verdana" w:eastAsia="Times New Roman" w:hAnsi="Verdana" w:cs="Calibri"/>
          <w:color w:val="000000"/>
          <w:sz w:val="22"/>
          <w:szCs w:val="22"/>
          <w:lang w:eastAsia="en-GB"/>
        </w:rPr>
      </w:pPr>
      <w:r w:rsidRPr="00A736D4">
        <w:rPr>
          <w:rFonts w:ascii="Verdana" w:eastAsia="Times New Roman" w:hAnsi="Verdana" w:cs="Calibri"/>
          <w:b/>
          <w:bCs/>
          <w:color w:val="000000"/>
          <w:sz w:val="22"/>
          <w:szCs w:val="22"/>
          <w:lang w:eastAsia="en-GB"/>
        </w:rPr>
        <w:t>Reallocat</w:t>
      </w:r>
      <w:r w:rsidR="009E5552">
        <w:rPr>
          <w:rFonts w:ascii="Verdana" w:eastAsia="Times New Roman" w:hAnsi="Verdana" w:cs="Calibri"/>
          <w:b/>
          <w:bCs/>
          <w:color w:val="000000"/>
          <w:sz w:val="22"/>
          <w:szCs w:val="22"/>
          <w:lang w:eastAsia="en-GB"/>
        </w:rPr>
        <w:t>ing</w:t>
      </w:r>
      <w:r w:rsidRPr="00A736D4">
        <w:rPr>
          <w:rFonts w:ascii="Verdana" w:eastAsia="Times New Roman" w:hAnsi="Verdana" w:cs="Calibri"/>
          <w:b/>
          <w:bCs/>
          <w:color w:val="000000"/>
          <w:sz w:val="22"/>
          <w:szCs w:val="22"/>
          <w:lang w:eastAsia="en-GB"/>
        </w:rPr>
        <w:t xml:space="preserve"> funds from programs and services that are inconsistent with human rights obligations</w:t>
      </w:r>
      <w:r w:rsidRPr="00A736D4">
        <w:rPr>
          <w:rFonts w:ascii="Verdana" w:eastAsia="Times New Roman" w:hAnsi="Verdana" w:cs="Calibri"/>
          <w:color w:val="000000"/>
          <w:sz w:val="22"/>
          <w:szCs w:val="22"/>
          <w:lang w:eastAsia="en-GB"/>
        </w:rPr>
        <w:t xml:space="preserve">, toward </w:t>
      </w:r>
      <w:r w:rsidR="0074452F">
        <w:rPr>
          <w:rFonts w:ascii="Verdana" w:eastAsia="Times New Roman" w:hAnsi="Verdana" w:cs="Calibri"/>
          <w:color w:val="000000"/>
          <w:sz w:val="22"/>
          <w:szCs w:val="22"/>
          <w:lang w:eastAsia="en-GB"/>
        </w:rPr>
        <w:t xml:space="preserve">existing or </w:t>
      </w:r>
      <w:r w:rsidR="004C7510">
        <w:rPr>
          <w:rFonts w:ascii="Verdana" w:eastAsia="Times New Roman" w:hAnsi="Verdana" w:cs="Calibri"/>
          <w:color w:val="000000"/>
          <w:sz w:val="22"/>
          <w:szCs w:val="22"/>
          <w:lang w:eastAsia="en-GB"/>
        </w:rPr>
        <w:t>new</w:t>
      </w:r>
      <w:r w:rsidR="0074452F">
        <w:rPr>
          <w:rFonts w:ascii="Verdana" w:eastAsia="Times New Roman" w:hAnsi="Verdana" w:cs="Calibri"/>
          <w:color w:val="000000"/>
          <w:sz w:val="22"/>
          <w:szCs w:val="22"/>
          <w:lang w:eastAsia="en-GB"/>
        </w:rPr>
        <w:t xml:space="preserve"> one</w:t>
      </w:r>
      <w:r w:rsidR="004C7510">
        <w:rPr>
          <w:rFonts w:ascii="Verdana" w:eastAsia="Times New Roman" w:hAnsi="Verdana" w:cs="Calibri"/>
          <w:color w:val="000000"/>
          <w:sz w:val="22"/>
          <w:szCs w:val="22"/>
          <w:lang w:eastAsia="en-GB"/>
        </w:rPr>
        <w:t>s</w:t>
      </w:r>
      <w:r w:rsidR="0074452F" w:rsidRPr="00A736D4">
        <w:rPr>
          <w:rFonts w:ascii="Verdana" w:eastAsia="Times New Roman" w:hAnsi="Verdana" w:cs="Calibri"/>
          <w:color w:val="000000"/>
          <w:sz w:val="22"/>
          <w:szCs w:val="22"/>
          <w:lang w:eastAsia="en-GB"/>
        </w:rPr>
        <w:t xml:space="preserve"> </w:t>
      </w:r>
      <w:r w:rsidRPr="00A736D4">
        <w:rPr>
          <w:rFonts w:ascii="Verdana" w:eastAsia="Times New Roman" w:hAnsi="Verdana" w:cs="Calibri"/>
          <w:color w:val="000000"/>
          <w:sz w:val="22"/>
          <w:szCs w:val="22"/>
          <w:lang w:eastAsia="en-GB"/>
        </w:rPr>
        <w:t>that truly promote full and effective inclusion and participation of persons with disabilities. This includes setting aside adequate funds for the costs of transitioning from a segregated to an inclusive model.</w:t>
      </w:r>
    </w:p>
    <w:p w14:paraId="439A44AF" w14:textId="68212015" w:rsidR="00CE64B5" w:rsidRPr="00CE64B5" w:rsidRDefault="00CE64B5" w:rsidP="00A736D4">
      <w:pPr>
        <w:pStyle w:val="ListParagraph"/>
        <w:numPr>
          <w:ilvl w:val="0"/>
          <w:numId w:val="26"/>
        </w:numPr>
        <w:textAlignment w:val="baseline"/>
        <w:rPr>
          <w:rFonts w:ascii="Verdana" w:eastAsia="Times New Roman" w:hAnsi="Verdana" w:cs="Calibri"/>
          <w:color w:val="000000"/>
          <w:sz w:val="22"/>
          <w:szCs w:val="22"/>
          <w:lang w:eastAsia="en-GB"/>
        </w:rPr>
      </w:pPr>
      <w:r w:rsidRPr="00CE64B5">
        <w:rPr>
          <w:rFonts w:ascii="Verdana" w:hAnsi="Verdana"/>
          <w:sz w:val="22"/>
          <w:szCs w:val="22"/>
        </w:rPr>
        <w:t>Ensur</w:t>
      </w:r>
      <w:r w:rsidR="00CE2695">
        <w:rPr>
          <w:rFonts w:ascii="Verdana" w:hAnsi="Verdana"/>
          <w:sz w:val="22"/>
          <w:szCs w:val="22"/>
        </w:rPr>
        <w:t>ing</w:t>
      </w:r>
      <w:r w:rsidRPr="00CE64B5">
        <w:rPr>
          <w:rFonts w:ascii="Verdana" w:hAnsi="Verdana"/>
          <w:sz w:val="22"/>
          <w:szCs w:val="22"/>
        </w:rPr>
        <w:t xml:space="preserve"> that existing initiatives to promote gender-sensitive budgeting take into account the multiple identities that women have; and </w:t>
      </w:r>
      <w:r w:rsidRPr="00D869F0">
        <w:rPr>
          <w:rFonts w:ascii="Verdana" w:hAnsi="Verdana"/>
          <w:b/>
          <w:sz w:val="22"/>
          <w:szCs w:val="22"/>
        </w:rPr>
        <w:t>promote effective budget allocations for women who face multiple forms of discrimination, such as women with disabilities</w:t>
      </w:r>
      <w:r w:rsidRPr="00CE64B5">
        <w:rPr>
          <w:rFonts w:ascii="Verdana" w:hAnsi="Verdana"/>
          <w:sz w:val="22"/>
          <w:szCs w:val="22"/>
        </w:rPr>
        <w:t>.</w:t>
      </w:r>
    </w:p>
    <w:p w14:paraId="55998E37" w14:textId="77777777" w:rsidR="00A736D4" w:rsidRDefault="00A736D4" w:rsidP="00A736D4">
      <w:pPr>
        <w:rPr>
          <w:rFonts w:ascii="Verdana" w:eastAsia="Times New Roman" w:hAnsi="Verdana" w:cs="Calibri"/>
          <w:b/>
          <w:bCs/>
          <w:color w:val="000000"/>
          <w:sz w:val="22"/>
          <w:szCs w:val="22"/>
          <w:lang w:eastAsia="en-GB"/>
        </w:rPr>
      </w:pPr>
    </w:p>
    <w:p w14:paraId="593C88F5" w14:textId="77777777" w:rsidR="00A736D4" w:rsidRDefault="006903D0" w:rsidP="006903D0">
      <w:pPr>
        <w:rPr>
          <w:rFonts w:ascii="Verdana" w:eastAsia="Times New Roman" w:hAnsi="Verdana" w:cs="Times New Roman"/>
          <w:sz w:val="22"/>
          <w:szCs w:val="22"/>
          <w:lang w:eastAsia="en-GB"/>
        </w:rPr>
      </w:pPr>
      <w:r w:rsidRPr="000347F7">
        <w:rPr>
          <w:rFonts w:ascii="Verdana" w:eastAsia="Times New Roman" w:hAnsi="Verdana" w:cs="Calibri"/>
          <w:b/>
          <w:bCs/>
          <w:color w:val="000000"/>
          <w:sz w:val="22"/>
          <w:szCs w:val="22"/>
          <w:lang w:eastAsia="en-GB"/>
        </w:rPr>
        <w:t>Integrate the rights of persons with disabilities throughout the budget process:</w:t>
      </w:r>
    </w:p>
    <w:p w14:paraId="13040B0C" w14:textId="77777777" w:rsidR="00A736D4" w:rsidRDefault="00A736D4" w:rsidP="006903D0">
      <w:pPr>
        <w:rPr>
          <w:rFonts w:ascii="Verdana" w:eastAsia="Times New Roman" w:hAnsi="Verdana" w:cs="Calibri"/>
          <w:color w:val="000000"/>
          <w:sz w:val="22"/>
          <w:szCs w:val="22"/>
          <w:lang w:eastAsia="en-GB"/>
        </w:rPr>
      </w:pPr>
    </w:p>
    <w:p w14:paraId="6B192FDE" w14:textId="025F09B5" w:rsidR="006903D0" w:rsidRPr="000347F7" w:rsidRDefault="006903D0" w:rsidP="006903D0">
      <w:pPr>
        <w:rPr>
          <w:rFonts w:ascii="Verdana" w:eastAsia="Times New Roman" w:hAnsi="Verdana" w:cs="Times New Roman"/>
          <w:sz w:val="22"/>
          <w:szCs w:val="22"/>
          <w:lang w:eastAsia="en-GB"/>
        </w:rPr>
      </w:pPr>
      <w:r w:rsidRPr="000347F7">
        <w:rPr>
          <w:rFonts w:ascii="Verdana" w:eastAsia="Times New Roman" w:hAnsi="Verdana" w:cs="Calibri"/>
          <w:color w:val="000000"/>
          <w:sz w:val="22"/>
          <w:szCs w:val="22"/>
          <w:lang w:eastAsia="en-GB"/>
        </w:rPr>
        <w:t xml:space="preserve">Enhance </w:t>
      </w:r>
      <w:r w:rsidRPr="000347F7">
        <w:rPr>
          <w:rFonts w:ascii="Verdana" w:eastAsia="Times New Roman" w:hAnsi="Verdana" w:cs="Calibri"/>
          <w:b/>
          <w:bCs/>
          <w:color w:val="000000"/>
          <w:sz w:val="22"/>
          <w:szCs w:val="22"/>
          <w:lang w:eastAsia="en-GB"/>
        </w:rPr>
        <w:t>transparency, accountability and participation</w:t>
      </w:r>
      <w:r w:rsidRPr="000347F7">
        <w:rPr>
          <w:rFonts w:ascii="Verdana" w:eastAsia="Times New Roman" w:hAnsi="Verdana" w:cs="Calibri"/>
          <w:color w:val="000000"/>
          <w:sz w:val="22"/>
          <w:szCs w:val="22"/>
          <w:lang w:eastAsia="en-GB"/>
        </w:rPr>
        <w:t>, including by:</w:t>
      </w:r>
    </w:p>
    <w:p w14:paraId="404E4B43" w14:textId="77777777" w:rsidR="006903D0" w:rsidRPr="000347F7" w:rsidRDefault="006903D0" w:rsidP="006903D0">
      <w:pPr>
        <w:rPr>
          <w:rFonts w:ascii="Verdana" w:eastAsia="Times New Roman" w:hAnsi="Verdana" w:cs="Times New Roman"/>
          <w:sz w:val="22"/>
          <w:szCs w:val="22"/>
          <w:lang w:eastAsia="en-GB"/>
        </w:rPr>
      </w:pPr>
    </w:p>
    <w:p w14:paraId="16AA2DAC" w14:textId="4C6C2F66" w:rsidR="006903D0" w:rsidRPr="000347F7" w:rsidRDefault="006903D0" w:rsidP="006903D0">
      <w:pPr>
        <w:numPr>
          <w:ilvl w:val="0"/>
          <w:numId w:val="14"/>
        </w:numPr>
        <w:textAlignment w:val="baseline"/>
        <w:rPr>
          <w:rFonts w:ascii="Verdana" w:eastAsia="Times New Roman" w:hAnsi="Verdana" w:cs="Calibri"/>
          <w:color w:val="000000"/>
          <w:sz w:val="22"/>
          <w:szCs w:val="22"/>
          <w:lang w:eastAsia="en-GB"/>
        </w:rPr>
      </w:pPr>
      <w:r w:rsidRPr="000347F7">
        <w:rPr>
          <w:rFonts w:ascii="Verdana" w:eastAsia="Times New Roman" w:hAnsi="Verdana" w:cs="Calibri"/>
          <w:color w:val="000000"/>
          <w:sz w:val="22"/>
          <w:szCs w:val="22"/>
          <w:lang w:eastAsia="en-GB"/>
        </w:rPr>
        <w:t xml:space="preserve">Ensuring and supporting </w:t>
      </w:r>
      <w:r w:rsidRPr="000347F7">
        <w:rPr>
          <w:rFonts w:ascii="Verdana" w:eastAsia="Times New Roman" w:hAnsi="Verdana" w:cs="Calibri"/>
          <w:b/>
          <w:bCs/>
          <w:color w:val="000000"/>
          <w:sz w:val="22"/>
          <w:szCs w:val="22"/>
          <w:lang w:eastAsia="en-GB"/>
        </w:rPr>
        <w:t>meaningful participation of organizations of persons with disabilities</w:t>
      </w:r>
      <w:r w:rsidRPr="000347F7">
        <w:rPr>
          <w:rFonts w:ascii="Verdana" w:eastAsia="Times New Roman" w:hAnsi="Verdana" w:cs="Calibri"/>
          <w:color w:val="000000"/>
          <w:sz w:val="22"/>
          <w:szCs w:val="22"/>
          <w:lang w:eastAsia="en-GB"/>
        </w:rPr>
        <w:t xml:space="preserve"> throughout the budget process.</w:t>
      </w:r>
    </w:p>
    <w:p w14:paraId="19A6DB48" w14:textId="2BA1E3B5" w:rsidR="006903D0" w:rsidRPr="000347F7" w:rsidRDefault="006903D0" w:rsidP="006903D0">
      <w:pPr>
        <w:numPr>
          <w:ilvl w:val="0"/>
          <w:numId w:val="14"/>
        </w:numPr>
        <w:textAlignment w:val="baseline"/>
        <w:rPr>
          <w:rFonts w:ascii="Verdana" w:eastAsia="Times New Roman" w:hAnsi="Verdana" w:cs="Calibri"/>
          <w:color w:val="000000"/>
          <w:sz w:val="22"/>
          <w:szCs w:val="22"/>
          <w:lang w:eastAsia="en-GB"/>
        </w:rPr>
      </w:pPr>
      <w:r w:rsidRPr="000347F7">
        <w:rPr>
          <w:rFonts w:ascii="Verdana" w:eastAsia="Times New Roman" w:hAnsi="Verdana" w:cs="Calibri"/>
          <w:color w:val="000000"/>
          <w:sz w:val="22"/>
          <w:szCs w:val="22"/>
          <w:lang w:eastAsia="en-GB"/>
        </w:rPr>
        <w:t xml:space="preserve">Ensuring that censuses, surveys and administrative data are </w:t>
      </w:r>
      <w:r w:rsidRPr="000347F7">
        <w:rPr>
          <w:rFonts w:ascii="Verdana" w:eastAsia="Times New Roman" w:hAnsi="Verdana" w:cs="Calibri"/>
          <w:b/>
          <w:bCs/>
          <w:color w:val="000000"/>
          <w:sz w:val="22"/>
          <w:szCs w:val="22"/>
          <w:lang w:eastAsia="en-GB"/>
        </w:rPr>
        <w:t xml:space="preserve">disaggregated by disability. </w:t>
      </w:r>
      <w:r w:rsidRPr="000347F7">
        <w:rPr>
          <w:rFonts w:ascii="Verdana" w:eastAsia="Times New Roman" w:hAnsi="Verdana" w:cs="Calibri"/>
          <w:color w:val="000000"/>
          <w:sz w:val="22"/>
          <w:szCs w:val="22"/>
          <w:lang w:eastAsia="en-GB"/>
        </w:rPr>
        <w:t>Wherever possible data should also be made available on the intersection of disability and other grounds for discrimination (e.g. gender)</w:t>
      </w:r>
    </w:p>
    <w:p w14:paraId="31370AAF" w14:textId="77777777" w:rsidR="006903D0" w:rsidRPr="000347F7" w:rsidRDefault="006903D0" w:rsidP="006903D0">
      <w:pPr>
        <w:numPr>
          <w:ilvl w:val="0"/>
          <w:numId w:val="14"/>
        </w:numPr>
        <w:textAlignment w:val="baseline"/>
        <w:rPr>
          <w:rFonts w:ascii="Verdana" w:eastAsia="Times New Roman" w:hAnsi="Verdana" w:cs="Calibri"/>
          <w:color w:val="000000"/>
          <w:sz w:val="22"/>
          <w:szCs w:val="22"/>
          <w:lang w:eastAsia="en-GB"/>
        </w:rPr>
      </w:pPr>
      <w:r w:rsidRPr="000347F7">
        <w:rPr>
          <w:rFonts w:ascii="Verdana" w:eastAsia="Times New Roman" w:hAnsi="Verdana" w:cs="Calibri"/>
          <w:color w:val="000000"/>
          <w:sz w:val="22"/>
          <w:szCs w:val="22"/>
          <w:lang w:eastAsia="en-GB"/>
        </w:rPr>
        <w:lastRenderedPageBreak/>
        <w:t xml:space="preserve">Providing transparent, accessible and timely </w:t>
      </w:r>
      <w:r w:rsidRPr="000347F7">
        <w:rPr>
          <w:rFonts w:ascii="Verdana" w:eastAsia="Times New Roman" w:hAnsi="Verdana" w:cs="Calibri"/>
          <w:b/>
          <w:bCs/>
          <w:color w:val="000000"/>
          <w:sz w:val="22"/>
          <w:szCs w:val="22"/>
          <w:lang w:eastAsia="en-GB"/>
        </w:rPr>
        <w:t>data on budget allocations</w:t>
      </w:r>
      <w:r w:rsidRPr="000347F7">
        <w:rPr>
          <w:rFonts w:ascii="Verdana" w:eastAsia="Times New Roman" w:hAnsi="Verdana" w:cs="Calibri"/>
          <w:color w:val="000000"/>
          <w:sz w:val="22"/>
          <w:szCs w:val="22"/>
          <w:lang w:eastAsia="en-GB"/>
        </w:rPr>
        <w:t xml:space="preserve"> for the rights of persons with disabilities.</w:t>
      </w:r>
    </w:p>
    <w:p w14:paraId="27A1B7E3" w14:textId="77777777" w:rsidR="006903D0" w:rsidRPr="000347F7" w:rsidRDefault="006903D0" w:rsidP="006903D0">
      <w:pPr>
        <w:numPr>
          <w:ilvl w:val="0"/>
          <w:numId w:val="14"/>
        </w:numPr>
        <w:textAlignment w:val="baseline"/>
        <w:rPr>
          <w:rFonts w:ascii="Verdana" w:eastAsia="Times New Roman" w:hAnsi="Verdana" w:cs="Calibri"/>
          <w:color w:val="000000"/>
          <w:sz w:val="22"/>
          <w:szCs w:val="22"/>
          <w:lang w:eastAsia="en-GB"/>
        </w:rPr>
      </w:pPr>
      <w:r w:rsidRPr="000347F7">
        <w:rPr>
          <w:rFonts w:ascii="Verdana" w:eastAsia="Times New Roman" w:hAnsi="Verdana" w:cs="Calibri"/>
          <w:color w:val="000000"/>
          <w:sz w:val="22"/>
          <w:szCs w:val="22"/>
          <w:lang w:eastAsia="en-GB"/>
        </w:rPr>
        <w:t xml:space="preserve">With the full involvement of persons with disabilities, offering </w:t>
      </w:r>
      <w:r w:rsidRPr="000347F7">
        <w:rPr>
          <w:rFonts w:ascii="Verdana" w:eastAsia="Times New Roman" w:hAnsi="Verdana" w:cs="Calibri"/>
          <w:b/>
          <w:bCs/>
          <w:color w:val="000000"/>
          <w:sz w:val="22"/>
          <w:szCs w:val="22"/>
          <w:lang w:eastAsia="en-GB"/>
        </w:rPr>
        <w:t>capacity building on the rights of persons with disabilities and CRPD-compliant budgeting</w:t>
      </w:r>
      <w:r w:rsidRPr="000347F7">
        <w:rPr>
          <w:rFonts w:ascii="Verdana" w:eastAsia="Times New Roman" w:hAnsi="Verdana" w:cs="Calibri"/>
          <w:color w:val="000000"/>
          <w:sz w:val="22"/>
          <w:szCs w:val="22"/>
          <w:lang w:eastAsia="en-GB"/>
        </w:rPr>
        <w:t xml:space="preserve"> for (central and local) financial officials, elected representatives, supreme audit institutions, national human rights institutions, and other independent bodies charged with oversight of the rights of persons with disabilities.</w:t>
      </w:r>
    </w:p>
    <w:p w14:paraId="021850EA" w14:textId="77777777" w:rsidR="006903D0" w:rsidRPr="000347F7" w:rsidRDefault="006903D0" w:rsidP="006903D0">
      <w:pPr>
        <w:rPr>
          <w:rFonts w:ascii="Verdana" w:eastAsia="Times New Roman" w:hAnsi="Verdana" w:cs="Times New Roman"/>
          <w:sz w:val="22"/>
          <w:szCs w:val="22"/>
          <w:lang w:eastAsia="en-GB"/>
        </w:rPr>
      </w:pPr>
    </w:p>
    <w:p w14:paraId="79E4E57D" w14:textId="63CC215C" w:rsidR="006903D0" w:rsidRPr="000347F7" w:rsidRDefault="006903D0" w:rsidP="006903D0">
      <w:pPr>
        <w:rPr>
          <w:rFonts w:ascii="Verdana" w:eastAsia="Times New Roman" w:hAnsi="Verdana" w:cs="Times New Roman"/>
          <w:sz w:val="22"/>
          <w:szCs w:val="22"/>
          <w:lang w:eastAsia="en-GB"/>
        </w:rPr>
      </w:pPr>
      <w:r w:rsidRPr="000347F7">
        <w:rPr>
          <w:rFonts w:ascii="Verdana" w:eastAsia="Times New Roman" w:hAnsi="Verdana" w:cs="Calibri"/>
          <w:color w:val="000000"/>
          <w:sz w:val="22"/>
          <w:szCs w:val="22"/>
          <w:lang w:eastAsia="en-GB"/>
        </w:rPr>
        <w:t xml:space="preserve">Conduct comprehensive </w:t>
      </w:r>
      <w:r w:rsidRPr="000347F7">
        <w:rPr>
          <w:rFonts w:ascii="Verdana" w:eastAsia="Times New Roman" w:hAnsi="Verdana" w:cs="Calibri"/>
          <w:b/>
          <w:bCs/>
          <w:color w:val="000000"/>
          <w:sz w:val="22"/>
          <w:szCs w:val="22"/>
          <w:lang w:eastAsia="en-GB"/>
        </w:rPr>
        <w:t>disability-responsive human rights impact assessments</w:t>
      </w:r>
      <w:r w:rsidRPr="000347F7">
        <w:rPr>
          <w:rFonts w:ascii="Verdana" w:eastAsia="Times New Roman" w:hAnsi="Verdana" w:cs="Calibri"/>
          <w:color w:val="000000"/>
          <w:sz w:val="22"/>
          <w:szCs w:val="22"/>
          <w:lang w:eastAsia="en-GB"/>
        </w:rPr>
        <w:t xml:space="preserve"> on all proposed budgets, drawing on context-sensitive assessments of the costs that persons with disabilities face to participate equally in society. The assessment should consider revenue generation as well as expenditures. It should cover all ministerial budgets, not just those ministries that have historically had budget lines for disability-specific services. Issues related to decentrali</w:t>
      </w:r>
      <w:r w:rsidR="0011213E" w:rsidRPr="000347F7">
        <w:rPr>
          <w:rFonts w:ascii="Verdana" w:eastAsia="Times New Roman" w:hAnsi="Verdana" w:cs="Calibri"/>
          <w:color w:val="000000"/>
          <w:sz w:val="22"/>
          <w:szCs w:val="22"/>
          <w:lang w:eastAsia="en-GB"/>
        </w:rPr>
        <w:t>z</w:t>
      </w:r>
      <w:r w:rsidRPr="000347F7">
        <w:rPr>
          <w:rFonts w:ascii="Verdana" w:eastAsia="Times New Roman" w:hAnsi="Verdana" w:cs="Calibri"/>
          <w:color w:val="000000"/>
          <w:sz w:val="22"/>
          <w:szCs w:val="22"/>
          <w:lang w:eastAsia="en-GB"/>
        </w:rPr>
        <w:t>ation should be included.</w:t>
      </w:r>
    </w:p>
    <w:p w14:paraId="5D44ED5D" w14:textId="77777777" w:rsidR="006903D0" w:rsidRPr="000347F7" w:rsidRDefault="006903D0" w:rsidP="006903D0">
      <w:pPr>
        <w:ind w:left="1080"/>
        <w:rPr>
          <w:rFonts w:ascii="Verdana" w:eastAsia="Times New Roman" w:hAnsi="Verdana" w:cs="Times New Roman"/>
          <w:sz w:val="22"/>
          <w:szCs w:val="22"/>
          <w:lang w:eastAsia="en-GB"/>
        </w:rPr>
      </w:pPr>
      <w:r w:rsidRPr="000347F7">
        <w:rPr>
          <w:rFonts w:ascii="Verdana" w:eastAsia="Times New Roman" w:hAnsi="Verdana" w:cs="Calibri"/>
          <w:color w:val="000000"/>
          <w:sz w:val="22"/>
          <w:szCs w:val="22"/>
          <w:lang w:eastAsia="en-GB"/>
        </w:rPr>
        <w:t xml:space="preserve"> </w:t>
      </w:r>
    </w:p>
    <w:p w14:paraId="3852EA6B" w14:textId="77777777" w:rsidR="006903D0" w:rsidRPr="000347F7" w:rsidRDefault="006903D0" w:rsidP="006903D0">
      <w:pPr>
        <w:rPr>
          <w:rFonts w:ascii="Verdana" w:eastAsia="Times New Roman" w:hAnsi="Verdana" w:cs="Times New Roman"/>
          <w:sz w:val="22"/>
          <w:szCs w:val="22"/>
          <w:lang w:eastAsia="en-GB"/>
        </w:rPr>
      </w:pPr>
      <w:r w:rsidRPr="000347F7">
        <w:rPr>
          <w:rFonts w:ascii="Verdana" w:eastAsia="Times New Roman" w:hAnsi="Verdana" w:cs="Calibri"/>
          <w:color w:val="000000"/>
          <w:sz w:val="22"/>
          <w:szCs w:val="22"/>
          <w:lang w:eastAsia="en-GB"/>
        </w:rPr>
        <w:t>Take action to address any gaps identified by the assessment, including by putting in place an inclusive plan of action for each ministry or local government department. Detailed steps may include:</w:t>
      </w:r>
    </w:p>
    <w:p w14:paraId="5FF7D858" w14:textId="77777777" w:rsidR="006903D0" w:rsidRPr="000347F7" w:rsidRDefault="006903D0" w:rsidP="006903D0">
      <w:pPr>
        <w:rPr>
          <w:rFonts w:ascii="Verdana" w:eastAsia="Times New Roman" w:hAnsi="Verdana" w:cs="Times New Roman"/>
          <w:sz w:val="22"/>
          <w:szCs w:val="22"/>
          <w:lang w:eastAsia="en-GB"/>
        </w:rPr>
      </w:pPr>
    </w:p>
    <w:p w14:paraId="4233A121" w14:textId="63991380" w:rsidR="006903D0" w:rsidRPr="000347F7" w:rsidRDefault="006903D0" w:rsidP="006903D0">
      <w:pPr>
        <w:numPr>
          <w:ilvl w:val="0"/>
          <w:numId w:val="15"/>
        </w:numPr>
        <w:textAlignment w:val="baseline"/>
        <w:rPr>
          <w:rFonts w:ascii="Verdana" w:eastAsia="Times New Roman" w:hAnsi="Verdana" w:cs="Calibri"/>
          <w:color w:val="000000"/>
          <w:sz w:val="22"/>
          <w:szCs w:val="22"/>
          <w:lang w:eastAsia="en-GB"/>
        </w:rPr>
      </w:pPr>
      <w:r w:rsidRPr="000347F7">
        <w:rPr>
          <w:rFonts w:ascii="Verdana" w:eastAsia="Times New Roman" w:hAnsi="Verdana" w:cs="Calibri"/>
          <w:color w:val="000000"/>
          <w:sz w:val="22"/>
          <w:szCs w:val="22"/>
          <w:lang w:eastAsia="en-GB"/>
        </w:rPr>
        <w:t xml:space="preserve">At a broad level, ensuring that economic policies allow for </w:t>
      </w:r>
      <w:r w:rsidRPr="000347F7">
        <w:rPr>
          <w:rFonts w:ascii="Verdana" w:eastAsia="Times New Roman" w:hAnsi="Verdana" w:cs="Calibri"/>
          <w:b/>
          <w:bCs/>
          <w:color w:val="000000"/>
          <w:sz w:val="22"/>
          <w:szCs w:val="22"/>
          <w:lang w:eastAsia="en-GB"/>
        </w:rPr>
        <w:t>adequate domestic resource mobili</w:t>
      </w:r>
      <w:r w:rsidR="0011213E" w:rsidRPr="000347F7">
        <w:rPr>
          <w:rFonts w:ascii="Verdana" w:eastAsia="Times New Roman" w:hAnsi="Verdana" w:cs="Calibri"/>
          <w:b/>
          <w:bCs/>
          <w:color w:val="000000"/>
          <w:sz w:val="22"/>
          <w:szCs w:val="22"/>
          <w:lang w:eastAsia="en-GB"/>
        </w:rPr>
        <w:t>z</w:t>
      </w:r>
      <w:r w:rsidRPr="000347F7">
        <w:rPr>
          <w:rFonts w:ascii="Verdana" w:eastAsia="Times New Roman" w:hAnsi="Verdana" w:cs="Calibri"/>
          <w:b/>
          <w:bCs/>
          <w:color w:val="000000"/>
          <w:sz w:val="22"/>
          <w:szCs w:val="22"/>
          <w:lang w:eastAsia="en-GB"/>
        </w:rPr>
        <w:t>ation</w:t>
      </w:r>
      <w:r w:rsidRPr="000347F7">
        <w:rPr>
          <w:rFonts w:ascii="Verdana" w:eastAsia="Times New Roman" w:hAnsi="Verdana" w:cs="Calibri"/>
          <w:color w:val="000000"/>
          <w:sz w:val="22"/>
          <w:szCs w:val="22"/>
          <w:lang w:eastAsia="en-GB"/>
        </w:rPr>
        <w:t xml:space="preserve"> to fulfil human rights obligations at both central and local government level (for example, by avoiding getting drawn into a ‘race to the bottom’ on corporate tax rates).</w:t>
      </w:r>
    </w:p>
    <w:p w14:paraId="51B93DD0" w14:textId="77777777" w:rsidR="006903D0" w:rsidRPr="000347F7" w:rsidRDefault="006903D0" w:rsidP="006903D0">
      <w:pPr>
        <w:numPr>
          <w:ilvl w:val="0"/>
          <w:numId w:val="15"/>
        </w:numPr>
        <w:textAlignment w:val="baseline"/>
        <w:rPr>
          <w:rFonts w:ascii="Verdana" w:eastAsia="Times New Roman" w:hAnsi="Verdana" w:cs="Calibri"/>
          <w:color w:val="000000"/>
          <w:sz w:val="22"/>
          <w:szCs w:val="22"/>
          <w:lang w:eastAsia="en-GB"/>
        </w:rPr>
      </w:pPr>
      <w:r w:rsidRPr="000347F7">
        <w:rPr>
          <w:rFonts w:ascii="Verdana" w:eastAsia="Times New Roman" w:hAnsi="Verdana" w:cs="Calibri"/>
          <w:b/>
          <w:bCs/>
          <w:color w:val="000000"/>
          <w:sz w:val="22"/>
          <w:szCs w:val="22"/>
          <w:lang w:eastAsia="en-GB"/>
        </w:rPr>
        <w:t>Redesigning tax policies or other revenue raising tools that have a regressive impact</w:t>
      </w:r>
      <w:r w:rsidRPr="000347F7">
        <w:rPr>
          <w:rFonts w:ascii="Verdana" w:eastAsia="Times New Roman" w:hAnsi="Verdana" w:cs="Calibri"/>
          <w:color w:val="000000"/>
          <w:sz w:val="22"/>
          <w:szCs w:val="22"/>
          <w:lang w:eastAsia="en-GB"/>
        </w:rPr>
        <w:t xml:space="preserve"> on groups experiencing economic inequality. (For example, VAT on basic goods, user fees that restrict access to a basic service). The assessment of whether a tool is regressive should take into account the extra costs that persons with disabilities face to participate in society on an equal basis with others.</w:t>
      </w:r>
    </w:p>
    <w:p w14:paraId="4A8531B3" w14:textId="2CEA6F44" w:rsidR="006903D0" w:rsidRPr="000347F7" w:rsidRDefault="006903D0" w:rsidP="006903D0">
      <w:pPr>
        <w:numPr>
          <w:ilvl w:val="0"/>
          <w:numId w:val="15"/>
        </w:numPr>
        <w:textAlignment w:val="baseline"/>
        <w:rPr>
          <w:rFonts w:ascii="Verdana" w:eastAsia="Times New Roman" w:hAnsi="Verdana" w:cs="Calibri"/>
          <w:color w:val="000000"/>
          <w:sz w:val="22"/>
          <w:szCs w:val="22"/>
          <w:lang w:eastAsia="en-GB"/>
        </w:rPr>
      </w:pPr>
      <w:r w:rsidRPr="000347F7">
        <w:rPr>
          <w:rFonts w:ascii="Verdana" w:eastAsia="Times New Roman" w:hAnsi="Verdana" w:cs="Calibri"/>
          <w:color w:val="000000"/>
          <w:sz w:val="22"/>
          <w:szCs w:val="22"/>
          <w:lang w:eastAsia="en-GB"/>
        </w:rPr>
        <w:t xml:space="preserve">Allocating resources to </w:t>
      </w:r>
      <w:r w:rsidRPr="000347F7">
        <w:rPr>
          <w:rFonts w:ascii="Verdana" w:eastAsia="Times New Roman" w:hAnsi="Verdana" w:cs="Calibri"/>
          <w:b/>
          <w:bCs/>
          <w:color w:val="000000"/>
          <w:sz w:val="22"/>
          <w:szCs w:val="22"/>
          <w:lang w:eastAsia="en-GB"/>
        </w:rPr>
        <w:t>address any minimum core obligations</w:t>
      </w:r>
      <w:r w:rsidRPr="000347F7">
        <w:rPr>
          <w:rFonts w:ascii="Verdana" w:eastAsia="Times New Roman" w:hAnsi="Verdana" w:cs="Calibri"/>
          <w:color w:val="000000"/>
          <w:sz w:val="22"/>
          <w:szCs w:val="22"/>
          <w:lang w:eastAsia="en-GB"/>
        </w:rPr>
        <w:t xml:space="preserve"> that are currently unfulfilled (e.g. inclusive primary education). Allocations should be sustainable and predictable, not tied to one-off short-term program</w:t>
      </w:r>
      <w:r w:rsidR="0011213E" w:rsidRPr="000347F7">
        <w:rPr>
          <w:rFonts w:ascii="Verdana" w:eastAsia="Times New Roman" w:hAnsi="Verdana" w:cs="Calibri"/>
          <w:color w:val="000000"/>
          <w:sz w:val="22"/>
          <w:szCs w:val="22"/>
          <w:lang w:eastAsia="en-GB"/>
        </w:rPr>
        <w:t>s</w:t>
      </w:r>
      <w:r w:rsidRPr="000347F7">
        <w:rPr>
          <w:rFonts w:ascii="Verdana" w:eastAsia="Times New Roman" w:hAnsi="Verdana" w:cs="Calibri"/>
          <w:color w:val="000000"/>
          <w:sz w:val="22"/>
          <w:szCs w:val="22"/>
          <w:lang w:eastAsia="en-GB"/>
        </w:rPr>
        <w:t>, and there should be controls to confirm that funds allocated are duly spent. Where responsibility for service delivery is devolved to local government level, this should be matched by a commensurate transfer of resources.</w:t>
      </w:r>
    </w:p>
    <w:p w14:paraId="72D07166" w14:textId="56B95D9A" w:rsidR="006903D0" w:rsidRPr="000347F7" w:rsidRDefault="006903D0" w:rsidP="006903D0">
      <w:pPr>
        <w:numPr>
          <w:ilvl w:val="0"/>
          <w:numId w:val="15"/>
        </w:numPr>
        <w:textAlignment w:val="baseline"/>
        <w:rPr>
          <w:rFonts w:ascii="Verdana" w:eastAsia="Times New Roman" w:hAnsi="Verdana" w:cs="Calibri"/>
          <w:color w:val="000000"/>
          <w:sz w:val="22"/>
          <w:szCs w:val="22"/>
          <w:lang w:eastAsia="en-GB"/>
        </w:rPr>
      </w:pPr>
      <w:r w:rsidRPr="000347F7">
        <w:rPr>
          <w:rFonts w:ascii="Verdana" w:eastAsia="Times New Roman" w:hAnsi="Verdana" w:cs="Calibri"/>
          <w:color w:val="000000"/>
          <w:sz w:val="22"/>
          <w:szCs w:val="22"/>
          <w:lang w:eastAsia="en-GB"/>
        </w:rPr>
        <w:t xml:space="preserve">Putting in place plans to ensure that </w:t>
      </w:r>
      <w:r w:rsidRPr="000347F7">
        <w:rPr>
          <w:rFonts w:ascii="Verdana" w:eastAsia="Times New Roman" w:hAnsi="Verdana" w:cs="Calibri"/>
          <w:b/>
          <w:bCs/>
          <w:color w:val="000000"/>
          <w:sz w:val="22"/>
          <w:szCs w:val="22"/>
          <w:lang w:eastAsia="en-GB"/>
        </w:rPr>
        <w:t>as available resources increase, so too do the resources allocated to reali</w:t>
      </w:r>
      <w:r w:rsidR="0011213E" w:rsidRPr="000347F7">
        <w:rPr>
          <w:rFonts w:ascii="Verdana" w:eastAsia="Times New Roman" w:hAnsi="Verdana" w:cs="Calibri"/>
          <w:b/>
          <w:bCs/>
          <w:color w:val="000000"/>
          <w:sz w:val="22"/>
          <w:szCs w:val="22"/>
          <w:lang w:eastAsia="en-GB"/>
        </w:rPr>
        <w:t>z</w:t>
      </w:r>
      <w:r w:rsidRPr="000347F7">
        <w:rPr>
          <w:rFonts w:ascii="Verdana" w:eastAsia="Times New Roman" w:hAnsi="Verdana" w:cs="Calibri"/>
          <w:b/>
          <w:bCs/>
          <w:color w:val="000000"/>
          <w:sz w:val="22"/>
          <w:szCs w:val="22"/>
          <w:lang w:eastAsia="en-GB"/>
        </w:rPr>
        <w:t xml:space="preserve">ing the rights of persons with disabilities </w:t>
      </w:r>
      <w:r w:rsidRPr="000347F7">
        <w:rPr>
          <w:rFonts w:ascii="Verdana" w:eastAsia="Times New Roman" w:hAnsi="Verdana" w:cs="Calibri"/>
          <w:color w:val="000000"/>
          <w:sz w:val="22"/>
          <w:szCs w:val="22"/>
          <w:lang w:eastAsia="en-GB"/>
        </w:rPr>
        <w:t>and other marginali</w:t>
      </w:r>
      <w:r w:rsidR="0011213E" w:rsidRPr="000347F7">
        <w:rPr>
          <w:rFonts w:ascii="Verdana" w:eastAsia="Times New Roman" w:hAnsi="Verdana" w:cs="Calibri"/>
          <w:color w:val="000000"/>
          <w:sz w:val="22"/>
          <w:szCs w:val="22"/>
          <w:lang w:eastAsia="en-GB"/>
        </w:rPr>
        <w:t>z</w:t>
      </w:r>
      <w:r w:rsidRPr="000347F7">
        <w:rPr>
          <w:rFonts w:ascii="Verdana" w:eastAsia="Times New Roman" w:hAnsi="Verdana" w:cs="Calibri"/>
          <w:color w:val="000000"/>
          <w:sz w:val="22"/>
          <w:szCs w:val="22"/>
          <w:lang w:eastAsia="en-GB"/>
        </w:rPr>
        <w:t>ed groups.</w:t>
      </w:r>
    </w:p>
    <w:p w14:paraId="419B39EF" w14:textId="77777777" w:rsidR="006903D0" w:rsidRPr="000347F7" w:rsidRDefault="006903D0" w:rsidP="006903D0">
      <w:pPr>
        <w:numPr>
          <w:ilvl w:val="0"/>
          <w:numId w:val="15"/>
        </w:numPr>
        <w:textAlignment w:val="baseline"/>
        <w:rPr>
          <w:rFonts w:ascii="Verdana" w:eastAsia="Times New Roman" w:hAnsi="Verdana" w:cs="Calibri"/>
          <w:color w:val="000000"/>
          <w:sz w:val="22"/>
          <w:szCs w:val="22"/>
          <w:lang w:eastAsia="en-GB"/>
        </w:rPr>
      </w:pPr>
      <w:r w:rsidRPr="000347F7">
        <w:rPr>
          <w:rFonts w:ascii="Verdana" w:eastAsia="Times New Roman" w:hAnsi="Verdana" w:cs="Calibri"/>
          <w:color w:val="000000"/>
          <w:sz w:val="22"/>
          <w:szCs w:val="22"/>
          <w:lang w:eastAsia="en-GB"/>
        </w:rPr>
        <w:t xml:space="preserve">Applying the principle of </w:t>
      </w:r>
      <w:r w:rsidRPr="000347F7">
        <w:rPr>
          <w:rFonts w:ascii="Verdana" w:eastAsia="Times New Roman" w:hAnsi="Verdana" w:cs="Calibri"/>
          <w:b/>
          <w:bCs/>
          <w:color w:val="000000"/>
          <w:sz w:val="22"/>
          <w:szCs w:val="22"/>
          <w:lang w:eastAsia="en-GB"/>
        </w:rPr>
        <w:t>non-retrogression</w:t>
      </w:r>
      <w:r w:rsidRPr="000347F7">
        <w:rPr>
          <w:rFonts w:ascii="Verdana" w:eastAsia="Times New Roman" w:hAnsi="Verdana" w:cs="Calibri"/>
          <w:color w:val="000000"/>
          <w:sz w:val="22"/>
          <w:szCs w:val="22"/>
          <w:lang w:eastAsia="en-GB"/>
        </w:rPr>
        <w:t>, so as to avoid disproportionate, arbitrary or discriminatory cuts in resources allocated to support the rights of persons with disabilities.</w:t>
      </w:r>
    </w:p>
    <w:p w14:paraId="7B0A649B" w14:textId="7269D819" w:rsidR="006903D0" w:rsidRPr="000347F7" w:rsidRDefault="006903D0" w:rsidP="006903D0">
      <w:pPr>
        <w:numPr>
          <w:ilvl w:val="0"/>
          <w:numId w:val="15"/>
        </w:numPr>
        <w:textAlignment w:val="baseline"/>
        <w:rPr>
          <w:rFonts w:ascii="Verdana" w:eastAsia="Times New Roman" w:hAnsi="Verdana" w:cs="Calibri"/>
          <w:color w:val="000000"/>
          <w:sz w:val="22"/>
          <w:szCs w:val="22"/>
          <w:lang w:eastAsia="en-GB"/>
        </w:rPr>
      </w:pPr>
      <w:r w:rsidRPr="000347F7">
        <w:rPr>
          <w:rFonts w:ascii="Verdana" w:eastAsia="Times New Roman" w:hAnsi="Verdana" w:cs="Calibri"/>
          <w:b/>
          <w:bCs/>
          <w:color w:val="000000"/>
          <w:sz w:val="22"/>
          <w:szCs w:val="22"/>
          <w:lang w:eastAsia="en-GB"/>
        </w:rPr>
        <w:t>Mobili</w:t>
      </w:r>
      <w:r w:rsidR="0011213E" w:rsidRPr="000347F7">
        <w:rPr>
          <w:rFonts w:ascii="Verdana" w:eastAsia="Times New Roman" w:hAnsi="Verdana" w:cs="Calibri"/>
          <w:b/>
          <w:bCs/>
          <w:color w:val="000000"/>
          <w:sz w:val="22"/>
          <w:szCs w:val="22"/>
          <w:lang w:eastAsia="en-GB"/>
        </w:rPr>
        <w:t>z</w:t>
      </w:r>
      <w:r w:rsidRPr="000347F7">
        <w:rPr>
          <w:rFonts w:ascii="Verdana" w:eastAsia="Times New Roman" w:hAnsi="Verdana" w:cs="Calibri"/>
          <w:b/>
          <w:bCs/>
          <w:color w:val="000000"/>
          <w:sz w:val="22"/>
          <w:szCs w:val="22"/>
          <w:lang w:eastAsia="en-GB"/>
        </w:rPr>
        <w:t>ing international cooperation and Official Development Assistance</w:t>
      </w:r>
      <w:r w:rsidRPr="000347F7">
        <w:rPr>
          <w:rFonts w:ascii="Verdana" w:eastAsia="Times New Roman" w:hAnsi="Verdana" w:cs="Calibri"/>
          <w:color w:val="000000"/>
          <w:sz w:val="22"/>
          <w:szCs w:val="22"/>
          <w:lang w:eastAsia="en-GB"/>
        </w:rPr>
        <w:t xml:space="preserve"> (‘aid’) to support </w:t>
      </w:r>
      <w:r w:rsidR="00C1346F">
        <w:rPr>
          <w:rFonts w:ascii="Verdana" w:eastAsia="Times New Roman" w:hAnsi="Verdana" w:cs="Calibri"/>
          <w:color w:val="000000"/>
          <w:sz w:val="22"/>
          <w:szCs w:val="22"/>
          <w:lang w:eastAsia="en-GB"/>
        </w:rPr>
        <w:t xml:space="preserve">the </w:t>
      </w:r>
      <w:r w:rsidRPr="000347F7">
        <w:rPr>
          <w:rFonts w:ascii="Verdana" w:eastAsia="Times New Roman" w:hAnsi="Verdana" w:cs="Calibri"/>
          <w:color w:val="000000"/>
          <w:sz w:val="22"/>
          <w:szCs w:val="22"/>
          <w:lang w:eastAsia="en-GB"/>
        </w:rPr>
        <w:t>inclusion of persons with disabilities</w:t>
      </w:r>
    </w:p>
    <w:p w14:paraId="1C9D3BCD" w14:textId="1E6DDD5B" w:rsidR="00D8262D" w:rsidRPr="000347F7" w:rsidRDefault="00D8262D" w:rsidP="001A582F">
      <w:pPr>
        <w:rPr>
          <w:rFonts w:ascii="Verdana" w:hAnsi="Verdana"/>
          <w:sz w:val="22"/>
          <w:szCs w:val="22"/>
        </w:rPr>
      </w:pPr>
    </w:p>
    <w:p w14:paraId="77D1AB38" w14:textId="3B43C7CF" w:rsidR="005449FB" w:rsidRPr="00A736D4" w:rsidRDefault="00C73BF7" w:rsidP="000347F7">
      <w:pPr>
        <w:pStyle w:val="ListParagraph"/>
        <w:numPr>
          <w:ilvl w:val="0"/>
          <w:numId w:val="25"/>
        </w:numPr>
        <w:rPr>
          <w:rFonts w:ascii="Verdana" w:hAnsi="Verdana"/>
          <w:b/>
          <w:sz w:val="22"/>
          <w:szCs w:val="22"/>
        </w:rPr>
      </w:pPr>
      <w:r>
        <w:rPr>
          <w:rFonts w:ascii="Verdana" w:hAnsi="Verdana"/>
          <w:b/>
          <w:sz w:val="22"/>
          <w:szCs w:val="22"/>
        </w:rPr>
        <w:t>The allocation of Official Development Assistance</w:t>
      </w:r>
    </w:p>
    <w:p w14:paraId="7A17D3D4" w14:textId="77777777" w:rsidR="002E4776" w:rsidRPr="000347F7" w:rsidRDefault="002E4776" w:rsidP="00B01AA7">
      <w:pPr>
        <w:jc w:val="both"/>
        <w:rPr>
          <w:rFonts w:ascii="Verdana" w:hAnsi="Verdana"/>
          <w:sz w:val="22"/>
          <w:szCs w:val="22"/>
        </w:rPr>
      </w:pPr>
    </w:p>
    <w:p w14:paraId="0F6D281A" w14:textId="79F4DD16" w:rsidR="00B01AA7" w:rsidRPr="000347F7" w:rsidRDefault="00C73BF7" w:rsidP="002E4776">
      <w:pPr>
        <w:jc w:val="both"/>
        <w:rPr>
          <w:rFonts w:ascii="Verdana" w:hAnsi="Verdana"/>
          <w:sz w:val="22"/>
          <w:szCs w:val="22"/>
        </w:rPr>
      </w:pPr>
      <w:r>
        <w:rPr>
          <w:rFonts w:ascii="Verdana" w:hAnsi="Verdana"/>
          <w:sz w:val="22"/>
          <w:szCs w:val="22"/>
        </w:rPr>
        <w:lastRenderedPageBreak/>
        <w:t>Official Development Assistance</w:t>
      </w:r>
      <w:r w:rsidR="00B01AA7" w:rsidRPr="000347F7">
        <w:rPr>
          <w:rFonts w:ascii="Verdana" w:hAnsi="Verdana"/>
          <w:sz w:val="22"/>
          <w:szCs w:val="22"/>
        </w:rPr>
        <w:t xml:space="preserve"> (ODA): ODA remains critical for development financing and fulfilling the commitments in the 2030 Agenda</w:t>
      </w:r>
      <w:r w:rsidR="00A16F48">
        <w:rPr>
          <w:rFonts w:ascii="Verdana" w:hAnsi="Verdana"/>
          <w:sz w:val="22"/>
          <w:szCs w:val="22"/>
        </w:rPr>
        <w:t>, including the commitment to leave no</w:t>
      </w:r>
      <w:r w:rsidR="00B50FBF">
        <w:rPr>
          <w:rFonts w:ascii="Verdana" w:hAnsi="Verdana"/>
          <w:sz w:val="22"/>
          <w:szCs w:val="22"/>
        </w:rPr>
        <w:t xml:space="preserve"> </w:t>
      </w:r>
      <w:r w:rsidR="00A16F48">
        <w:rPr>
          <w:rFonts w:ascii="Verdana" w:hAnsi="Verdana"/>
          <w:sz w:val="22"/>
          <w:szCs w:val="22"/>
        </w:rPr>
        <w:t>one behind</w:t>
      </w:r>
      <w:r w:rsidR="00B01AA7" w:rsidRPr="000347F7">
        <w:rPr>
          <w:rFonts w:ascii="Verdana" w:hAnsi="Verdana"/>
          <w:sz w:val="22"/>
          <w:szCs w:val="22"/>
        </w:rPr>
        <w:t xml:space="preserve">. As such, it remains the cornerstone of success. To close the gap toward poverty eradication, </w:t>
      </w:r>
      <w:r w:rsidR="00B01AA7" w:rsidRPr="00AD6323">
        <w:rPr>
          <w:rFonts w:ascii="Verdana" w:hAnsi="Verdana"/>
          <w:b/>
          <w:sz w:val="22"/>
          <w:szCs w:val="22"/>
        </w:rPr>
        <w:t>it is important that the ODA framework is centered on human rights obligations</w:t>
      </w:r>
      <w:r w:rsidR="00A16F48">
        <w:rPr>
          <w:rFonts w:ascii="Verdana" w:hAnsi="Verdana"/>
          <w:b/>
          <w:sz w:val="22"/>
          <w:szCs w:val="22"/>
        </w:rPr>
        <w:t xml:space="preserve">. This </w:t>
      </w:r>
      <w:r w:rsidR="0076731D">
        <w:rPr>
          <w:rFonts w:ascii="Verdana" w:hAnsi="Verdana"/>
          <w:b/>
          <w:sz w:val="22"/>
          <w:szCs w:val="22"/>
        </w:rPr>
        <w:t xml:space="preserve">includes </w:t>
      </w:r>
      <w:r w:rsidR="00541E09" w:rsidRPr="000347F7">
        <w:rPr>
          <w:rFonts w:ascii="Verdana" w:hAnsi="Verdana"/>
          <w:b/>
          <w:sz w:val="22"/>
          <w:szCs w:val="22"/>
        </w:rPr>
        <w:t>fulfill</w:t>
      </w:r>
      <w:r w:rsidR="004D4C70">
        <w:rPr>
          <w:rFonts w:ascii="Verdana" w:hAnsi="Verdana"/>
          <w:b/>
          <w:sz w:val="22"/>
          <w:szCs w:val="22"/>
        </w:rPr>
        <w:t>ing</w:t>
      </w:r>
      <w:r w:rsidR="00541E09" w:rsidRPr="000347F7">
        <w:rPr>
          <w:rFonts w:ascii="Verdana" w:hAnsi="Verdana"/>
          <w:b/>
          <w:sz w:val="22"/>
          <w:szCs w:val="22"/>
        </w:rPr>
        <w:t xml:space="preserve"> long-time commitments to accelerate full and effective implementation of the CRPD</w:t>
      </w:r>
      <w:r w:rsidR="00A94C39">
        <w:rPr>
          <w:rFonts w:ascii="Verdana" w:hAnsi="Verdana"/>
          <w:b/>
          <w:sz w:val="22"/>
          <w:szCs w:val="22"/>
        </w:rPr>
        <w:t xml:space="preserve">. </w:t>
      </w:r>
    </w:p>
    <w:p w14:paraId="503F2083" w14:textId="20CF2552" w:rsidR="005449FB" w:rsidRPr="000347F7" w:rsidRDefault="005449FB" w:rsidP="001A582F">
      <w:pPr>
        <w:rPr>
          <w:rFonts w:ascii="Verdana" w:hAnsi="Verdana"/>
          <w:sz w:val="22"/>
          <w:szCs w:val="22"/>
        </w:rPr>
      </w:pPr>
    </w:p>
    <w:p w14:paraId="18096065" w14:textId="629C1E4D" w:rsidR="009A69C5" w:rsidRPr="000347F7" w:rsidRDefault="0085353D" w:rsidP="009A69C5">
      <w:pPr>
        <w:rPr>
          <w:rFonts w:ascii="Verdana" w:eastAsia="Times New Roman" w:hAnsi="Verdana" w:cs="Times New Roman"/>
          <w:sz w:val="22"/>
          <w:szCs w:val="22"/>
          <w:lang w:eastAsia="en-GB"/>
        </w:rPr>
      </w:pPr>
      <w:r>
        <w:rPr>
          <w:rFonts w:ascii="Verdana" w:eastAsia="Times New Roman" w:hAnsi="Verdana" w:cs="Times New Roman"/>
          <w:b/>
          <w:bCs/>
          <w:color w:val="000000"/>
          <w:sz w:val="22"/>
          <w:szCs w:val="22"/>
          <w:lang w:eastAsia="en-GB"/>
        </w:rPr>
        <w:t xml:space="preserve">We recommend that </w:t>
      </w:r>
      <w:r w:rsidR="009A69C5" w:rsidRPr="000347F7">
        <w:rPr>
          <w:rFonts w:ascii="Verdana" w:eastAsia="Times New Roman" w:hAnsi="Verdana" w:cs="Times New Roman"/>
          <w:b/>
          <w:bCs/>
          <w:color w:val="000000"/>
          <w:sz w:val="22"/>
          <w:szCs w:val="22"/>
          <w:lang w:eastAsia="en-GB"/>
        </w:rPr>
        <w:t>donor countries:</w:t>
      </w:r>
    </w:p>
    <w:p w14:paraId="08F2FF3A" w14:textId="77777777" w:rsidR="002D62D7" w:rsidRPr="000347F7" w:rsidRDefault="002D62D7" w:rsidP="002E4776">
      <w:pPr>
        <w:rPr>
          <w:rFonts w:ascii="Verdana" w:eastAsia="Times New Roman" w:hAnsi="Verdana" w:cs="Times New Roman"/>
          <w:sz w:val="22"/>
          <w:szCs w:val="22"/>
          <w:lang w:eastAsia="en-GB"/>
        </w:rPr>
      </w:pPr>
    </w:p>
    <w:p w14:paraId="6187335F" w14:textId="36507B37" w:rsidR="002E4776" w:rsidRPr="000347F7" w:rsidRDefault="00DE5CFB" w:rsidP="002E4776">
      <w:pPr>
        <w:pStyle w:val="ListParagraph"/>
        <w:numPr>
          <w:ilvl w:val="0"/>
          <w:numId w:val="22"/>
        </w:numPr>
        <w:rPr>
          <w:rFonts w:ascii="Verdana" w:eastAsia="Times New Roman" w:hAnsi="Verdana" w:cs="Times New Roman"/>
          <w:sz w:val="22"/>
          <w:szCs w:val="22"/>
          <w:lang w:eastAsia="en-GB"/>
        </w:rPr>
      </w:pPr>
      <w:r>
        <w:rPr>
          <w:rFonts w:ascii="Verdana" w:eastAsia="Times New Roman" w:hAnsi="Verdana" w:cs="Times New Roman"/>
          <w:color w:val="000000"/>
          <w:sz w:val="22"/>
          <w:szCs w:val="22"/>
          <w:shd w:val="clear" w:color="auto" w:fill="FFFFFF"/>
          <w:lang w:eastAsia="en-GB"/>
        </w:rPr>
        <w:t>Put in place a clear strategy which sets out how they will systematically ensure that</w:t>
      </w:r>
      <w:r w:rsidR="009A69C5" w:rsidRPr="000347F7">
        <w:rPr>
          <w:rFonts w:ascii="Verdana" w:eastAsia="Times New Roman" w:hAnsi="Verdana" w:cs="Times New Roman"/>
          <w:color w:val="000000"/>
          <w:sz w:val="22"/>
          <w:szCs w:val="22"/>
          <w:shd w:val="clear" w:color="auto" w:fill="FFFFFF"/>
          <w:lang w:eastAsia="en-GB"/>
        </w:rPr>
        <w:t xml:space="preserve"> </w:t>
      </w:r>
      <w:r w:rsidR="009A69C5" w:rsidRPr="000347F7">
        <w:rPr>
          <w:rFonts w:ascii="Verdana" w:eastAsia="Times New Roman" w:hAnsi="Verdana" w:cs="Times New Roman"/>
          <w:b/>
          <w:bCs/>
          <w:color w:val="000000"/>
          <w:sz w:val="22"/>
          <w:szCs w:val="22"/>
          <w:shd w:val="clear" w:color="auto" w:fill="FFFFFF"/>
          <w:lang w:eastAsia="en-GB"/>
        </w:rPr>
        <w:t>all aid-funded program</w:t>
      </w:r>
      <w:r w:rsidR="002E4776" w:rsidRPr="000347F7">
        <w:rPr>
          <w:rFonts w:ascii="Verdana" w:eastAsia="Times New Roman" w:hAnsi="Verdana" w:cs="Times New Roman"/>
          <w:b/>
          <w:bCs/>
          <w:color w:val="000000"/>
          <w:sz w:val="22"/>
          <w:szCs w:val="22"/>
          <w:shd w:val="clear" w:color="auto" w:fill="FFFFFF"/>
          <w:lang w:eastAsia="en-GB"/>
        </w:rPr>
        <w:t>s</w:t>
      </w:r>
      <w:r w:rsidR="009A69C5" w:rsidRPr="000347F7">
        <w:rPr>
          <w:rFonts w:ascii="Verdana" w:eastAsia="Times New Roman" w:hAnsi="Verdana" w:cs="Times New Roman"/>
          <w:b/>
          <w:bCs/>
          <w:color w:val="000000"/>
          <w:sz w:val="22"/>
          <w:szCs w:val="22"/>
          <w:shd w:val="clear" w:color="auto" w:fill="FFFFFF"/>
          <w:lang w:eastAsia="en-GB"/>
        </w:rPr>
        <w:t xml:space="preserve"> are accessible to and inclusive of persons with disabilities</w:t>
      </w:r>
      <w:r w:rsidR="009A69C5" w:rsidRPr="000347F7">
        <w:rPr>
          <w:rFonts w:ascii="Verdana" w:eastAsia="Times New Roman" w:hAnsi="Verdana" w:cs="Times New Roman"/>
          <w:color w:val="000000"/>
          <w:sz w:val="22"/>
          <w:szCs w:val="22"/>
          <w:shd w:val="clear" w:color="auto" w:fill="FFFFFF"/>
          <w:lang w:eastAsia="en-GB"/>
        </w:rPr>
        <w:t>.</w:t>
      </w:r>
    </w:p>
    <w:p w14:paraId="01120E44" w14:textId="1A4368E9" w:rsidR="002E4776" w:rsidRPr="000347F7" w:rsidRDefault="009A69C5" w:rsidP="002E4776">
      <w:pPr>
        <w:pStyle w:val="ListParagraph"/>
        <w:numPr>
          <w:ilvl w:val="0"/>
          <w:numId w:val="22"/>
        </w:numPr>
        <w:rPr>
          <w:rFonts w:ascii="Verdana" w:eastAsia="Times New Roman" w:hAnsi="Verdana" w:cs="Times New Roman"/>
          <w:sz w:val="22"/>
          <w:szCs w:val="22"/>
          <w:lang w:eastAsia="en-GB"/>
        </w:rPr>
      </w:pPr>
      <w:r w:rsidRPr="000347F7">
        <w:rPr>
          <w:rFonts w:ascii="Verdana" w:eastAsia="Times New Roman" w:hAnsi="Verdana" w:cs="Times New Roman"/>
          <w:color w:val="000000"/>
          <w:sz w:val="22"/>
          <w:szCs w:val="22"/>
          <w:shd w:val="clear" w:color="auto" w:fill="FFFFFF"/>
          <w:lang w:eastAsia="en-GB"/>
        </w:rPr>
        <w:t>Through dialogue with partners governments and with local civil society organi</w:t>
      </w:r>
      <w:r w:rsidR="002E4776" w:rsidRPr="000347F7">
        <w:rPr>
          <w:rFonts w:ascii="Verdana" w:eastAsia="Times New Roman" w:hAnsi="Verdana" w:cs="Times New Roman"/>
          <w:color w:val="000000"/>
          <w:sz w:val="22"/>
          <w:szCs w:val="22"/>
          <w:shd w:val="clear" w:color="auto" w:fill="FFFFFF"/>
          <w:lang w:eastAsia="en-GB"/>
        </w:rPr>
        <w:t>z</w:t>
      </w:r>
      <w:r w:rsidRPr="000347F7">
        <w:rPr>
          <w:rFonts w:ascii="Verdana" w:eastAsia="Times New Roman" w:hAnsi="Verdana" w:cs="Times New Roman"/>
          <w:color w:val="000000"/>
          <w:sz w:val="22"/>
          <w:szCs w:val="22"/>
          <w:shd w:val="clear" w:color="auto" w:fill="FFFFFF"/>
          <w:lang w:eastAsia="en-GB"/>
        </w:rPr>
        <w:t>ations, including organi</w:t>
      </w:r>
      <w:r w:rsidR="002E4776" w:rsidRPr="000347F7">
        <w:rPr>
          <w:rFonts w:ascii="Verdana" w:eastAsia="Times New Roman" w:hAnsi="Verdana" w:cs="Times New Roman"/>
          <w:color w:val="000000"/>
          <w:sz w:val="22"/>
          <w:szCs w:val="22"/>
          <w:shd w:val="clear" w:color="auto" w:fill="FFFFFF"/>
          <w:lang w:eastAsia="en-GB"/>
        </w:rPr>
        <w:t>z</w:t>
      </w:r>
      <w:r w:rsidRPr="000347F7">
        <w:rPr>
          <w:rFonts w:ascii="Verdana" w:eastAsia="Times New Roman" w:hAnsi="Verdana" w:cs="Times New Roman"/>
          <w:color w:val="000000"/>
          <w:sz w:val="22"/>
          <w:szCs w:val="22"/>
          <w:shd w:val="clear" w:color="auto" w:fill="FFFFFF"/>
          <w:lang w:eastAsia="en-GB"/>
        </w:rPr>
        <w:t>ations of persons with disabilities, follow a human rights based approach to identify gaps in domestic resource allocation for the rights of marginali</w:t>
      </w:r>
      <w:r w:rsidR="002E4776" w:rsidRPr="000347F7">
        <w:rPr>
          <w:rFonts w:ascii="Verdana" w:eastAsia="Times New Roman" w:hAnsi="Verdana" w:cs="Times New Roman"/>
          <w:color w:val="000000"/>
          <w:sz w:val="22"/>
          <w:szCs w:val="22"/>
          <w:shd w:val="clear" w:color="auto" w:fill="FFFFFF"/>
          <w:lang w:eastAsia="en-GB"/>
        </w:rPr>
        <w:t>z</w:t>
      </w:r>
      <w:r w:rsidRPr="000347F7">
        <w:rPr>
          <w:rFonts w:ascii="Verdana" w:eastAsia="Times New Roman" w:hAnsi="Verdana" w:cs="Times New Roman"/>
          <w:color w:val="000000"/>
          <w:sz w:val="22"/>
          <w:szCs w:val="22"/>
          <w:shd w:val="clear" w:color="auto" w:fill="FFFFFF"/>
          <w:lang w:eastAsia="en-GB"/>
        </w:rPr>
        <w:t xml:space="preserve">ed populations. Plan how </w:t>
      </w:r>
      <w:r w:rsidRPr="000347F7">
        <w:rPr>
          <w:rFonts w:ascii="Verdana" w:eastAsia="Times New Roman" w:hAnsi="Verdana" w:cs="Times New Roman"/>
          <w:b/>
          <w:bCs/>
          <w:color w:val="000000"/>
          <w:sz w:val="22"/>
          <w:szCs w:val="22"/>
          <w:shd w:val="clear" w:color="auto" w:fill="FFFFFF"/>
          <w:lang w:eastAsia="en-GB"/>
        </w:rPr>
        <w:t>aid can best contribute to filling these gaps</w:t>
      </w:r>
      <w:r w:rsidRPr="000347F7">
        <w:rPr>
          <w:rFonts w:ascii="Verdana" w:eastAsia="Times New Roman" w:hAnsi="Verdana" w:cs="Times New Roman"/>
          <w:color w:val="000000"/>
          <w:sz w:val="22"/>
          <w:szCs w:val="22"/>
          <w:shd w:val="clear" w:color="auto" w:fill="FFFFFF"/>
          <w:lang w:eastAsia="en-GB"/>
        </w:rPr>
        <w:t xml:space="preserve"> whil</w:t>
      </w:r>
      <w:r w:rsidR="002E4776" w:rsidRPr="000347F7">
        <w:rPr>
          <w:rFonts w:ascii="Verdana" w:eastAsia="Times New Roman" w:hAnsi="Verdana" w:cs="Times New Roman"/>
          <w:color w:val="000000"/>
          <w:sz w:val="22"/>
          <w:szCs w:val="22"/>
          <w:shd w:val="clear" w:color="auto" w:fill="FFFFFF"/>
          <w:lang w:eastAsia="en-GB"/>
        </w:rPr>
        <w:t>e</w:t>
      </w:r>
      <w:r w:rsidRPr="000347F7">
        <w:rPr>
          <w:rFonts w:ascii="Verdana" w:eastAsia="Times New Roman" w:hAnsi="Verdana" w:cs="Times New Roman"/>
          <w:color w:val="000000"/>
          <w:sz w:val="22"/>
          <w:szCs w:val="22"/>
          <w:shd w:val="clear" w:color="auto" w:fill="FFFFFF"/>
          <w:lang w:eastAsia="en-GB"/>
        </w:rPr>
        <w:t xml:space="preserve"> the government progressively works to increase resources allocated domestically</w:t>
      </w:r>
      <w:r w:rsidR="0085353D">
        <w:rPr>
          <w:rFonts w:ascii="Verdana" w:eastAsia="Times New Roman" w:hAnsi="Verdana" w:cs="Times New Roman"/>
          <w:color w:val="000000"/>
          <w:sz w:val="22"/>
          <w:szCs w:val="22"/>
          <w:shd w:val="clear" w:color="auto" w:fill="FFFFFF"/>
          <w:lang w:eastAsia="en-GB"/>
        </w:rPr>
        <w:t>.</w:t>
      </w:r>
    </w:p>
    <w:p w14:paraId="63D9AED1" w14:textId="4901C7CC" w:rsidR="009A69C5" w:rsidRPr="00D869F0" w:rsidRDefault="009A69C5" w:rsidP="002E4776">
      <w:pPr>
        <w:pStyle w:val="ListParagraph"/>
        <w:numPr>
          <w:ilvl w:val="0"/>
          <w:numId w:val="22"/>
        </w:numPr>
        <w:rPr>
          <w:rFonts w:ascii="Verdana" w:eastAsia="Times New Roman" w:hAnsi="Verdana" w:cs="Times New Roman"/>
          <w:sz w:val="22"/>
          <w:szCs w:val="22"/>
          <w:lang w:eastAsia="en-GB"/>
        </w:rPr>
      </w:pPr>
      <w:r w:rsidRPr="000347F7">
        <w:rPr>
          <w:rFonts w:ascii="Verdana" w:eastAsia="Times New Roman" w:hAnsi="Verdana" w:cs="Times New Roman"/>
          <w:color w:val="000000"/>
          <w:sz w:val="22"/>
          <w:szCs w:val="22"/>
          <w:shd w:val="clear" w:color="auto" w:fill="FFFFFF"/>
          <w:lang w:eastAsia="en-GB"/>
        </w:rPr>
        <w:t xml:space="preserve">Report to the </w:t>
      </w:r>
      <w:proofErr w:type="spellStart"/>
      <w:r w:rsidRPr="000347F7">
        <w:rPr>
          <w:rFonts w:ascii="Verdana" w:eastAsia="Times New Roman" w:hAnsi="Verdana" w:cs="Times New Roman"/>
          <w:color w:val="000000"/>
          <w:sz w:val="22"/>
          <w:szCs w:val="22"/>
          <w:shd w:val="clear" w:color="auto" w:fill="FFFFFF"/>
          <w:lang w:eastAsia="en-GB"/>
        </w:rPr>
        <w:t>Organisation</w:t>
      </w:r>
      <w:proofErr w:type="spellEnd"/>
      <w:r w:rsidRPr="000347F7">
        <w:rPr>
          <w:rFonts w:ascii="Verdana" w:eastAsia="Times New Roman" w:hAnsi="Verdana" w:cs="Times New Roman"/>
          <w:color w:val="000000"/>
          <w:sz w:val="22"/>
          <w:szCs w:val="22"/>
          <w:shd w:val="clear" w:color="auto" w:fill="FFFFFF"/>
          <w:lang w:eastAsia="en-GB"/>
        </w:rPr>
        <w:t xml:space="preserve"> for Economic Cooperation and Development’s Development Assistance Committee on the extent to which all aid spending is inclusive of persons with disabilities, </w:t>
      </w:r>
      <w:r w:rsidRPr="000347F7">
        <w:rPr>
          <w:rFonts w:ascii="Verdana" w:eastAsia="Times New Roman" w:hAnsi="Verdana" w:cs="Times New Roman"/>
          <w:b/>
          <w:bCs/>
          <w:color w:val="000000"/>
          <w:sz w:val="22"/>
          <w:szCs w:val="22"/>
          <w:shd w:val="clear" w:color="auto" w:fill="FFFFFF"/>
          <w:lang w:eastAsia="en-GB"/>
        </w:rPr>
        <w:t>using the new disability marker</w:t>
      </w:r>
      <w:r w:rsidRPr="000347F7">
        <w:rPr>
          <w:rFonts w:ascii="Verdana" w:eastAsia="Times New Roman" w:hAnsi="Verdana" w:cs="Times New Roman"/>
          <w:color w:val="000000"/>
          <w:sz w:val="22"/>
          <w:szCs w:val="22"/>
          <w:shd w:val="clear" w:color="auto" w:fill="FFFFFF"/>
          <w:lang w:eastAsia="en-GB"/>
        </w:rPr>
        <w:t xml:space="preserve"> </w:t>
      </w:r>
      <w:r w:rsidR="0085353D">
        <w:rPr>
          <w:rFonts w:ascii="Verdana" w:eastAsia="Times New Roman" w:hAnsi="Verdana" w:cs="Times New Roman"/>
          <w:color w:val="000000"/>
          <w:sz w:val="22"/>
          <w:szCs w:val="22"/>
          <w:shd w:val="clear" w:color="auto" w:fill="FFFFFF"/>
          <w:lang w:eastAsia="en-GB"/>
        </w:rPr>
        <w:t>that</w:t>
      </w:r>
      <w:r w:rsidRPr="000347F7">
        <w:rPr>
          <w:rFonts w:ascii="Verdana" w:eastAsia="Times New Roman" w:hAnsi="Verdana" w:cs="Times New Roman"/>
          <w:color w:val="000000"/>
          <w:sz w:val="22"/>
          <w:szCs w:val="22"/>
          <w:shd w:val="clear" w:color="auto" w:fill="FFFFFF"/>
          <w:lang w:eastAsia="en-GB"/>
        </w:rPr>
        <w:t xml:space="preserve"> has just been accepted for use on a voluntary basis. </w:t>
      </w:r>
    </w:p>
    <w:p w14:paraId="3DD7BDE4" w14:textId="189CA8A6" w:rsidR="005449FB" w:rsidRPr="000347F7" w:rsidRDefault="005449FB" w:rsidP="001A582F">
      <w:pPr>
        <w:rPr>
          <w:rFonts w:ascii="Verdana" w:hAnsi="Verdana"/>
          <w:b/>
          <w:sz w:val="22"/>
          <w:szCs w:val="22"/>
        </w:rPr>
      </w:pPr>
    </w:p>
    <w:p w14:paraId="36C656C5" w14:textId="24DB8D72" w:rsidR="00C83371" w:rsidRPr="000347F7" w:rsidRDefault="009769AC" w:rsidP="000347F7">
      <w:pPr>
        <w:pStyle w:val="ListParagraph"/>
        <w:numPr>
          <w:ilvl w:val="0"/>
          <w:numId w:val="25"/>
        </w:numPr>
        <w:rPr>
          <w:rFonts w:ascii="Verdana" w:hAnsi="Verdana"/>
          <w:b/>
          <w:sz w:val="22"/>
          <w:szCs w:val="22"/>
        </w:rPr>
      </w:pPr>
      <w:r w:rsidRPr="000347F7">
        <w:rPr>
          <w:rFonts w:ascii="Verdana" w:hAnsi="Verdana"/>
          <w:b/>
          <w:sz w:val="22"/>
          <w:szCs w:val="22"/>
        </w:rPr>
        <w:t>Science, technology, innovation and capacity building</w:t>
      </w:r>
    </w:p>
    <w:p w14:paraId="2807F1B9" w14:textId="77777777" w:rsidR="000C67F0" w:rsidRPr="000347F7" w:rsidRDefault="000C67F0" w:rsidP="00A92184">
      <w:pPr>
        <w:jc w:val="both"/>
        <w:rPr>
          <w:rFonts w:ascii="Verdana" w:hAnsi="Verdana"/>
          <w:sz w:val="22"/>
          <w:szCs w:val="22"/>
        </w:rPr>
      </w:pPr>
    </w:p>
    <w:p w14:paraId="13338BD4" w14:textId="3BBB7464" w:rsidR="00AC5A93" w:rsidRPr="000347F7" w:rsidRDefault="00FE5D1F" w:rsidP="000347F7">
      <w:pPr>
        <w:jc w:val="both"/>
        <w:rPr>
          <w:rFonts w:ascii="Verdana" w:hAnsi="Verdana"/>
          <w:sz w:val="22"/>
          <w:szCs w:val="22"/>
        </w:rPr>
      </w:pPr>
      <w:r w:rsidRPr="000347F7">
        <w:rPr>
          <w:rFonts w:ascii="Verdana" w:eastAsia="Arial" w:hAnsi="Verdana" w:cs="Arial"/>
          <w:sz w:val="22"/>
          <w:szCs w:val="22"/>
          <w:highlight w:val="white"/>
        </w:rPr>
        <w:t xml:space="preserve">ICT: </w:t>
      </w:r>
      <w:r w:rsidR="00AC5A93" w:rsidRPr="000347F7">
        <w:rPr>
          <w:rFonts w:ascii="Verdana" w:eastAsia="Arial" w:hAnsi="Verdana" w:cs="Arial"/>
          <w:sz w:val="22"/>
          <w:szCs w:val="22"/>
          <w:highlight w:val="white"/>
        </w:rPr>
        <w:t>Access to financial services has proven to be a pivotal step in helping people get out of poverty, and thanks to digital financial services, many are now participating in the digital economy for the first time.</w:t>
      </w:r>
      <w:r w:rsidR="00AC5A93" w:rsidRPr="000347F7">
        <w:rPr>
          <w:rFonts w:ascii="Verdana" w:hAnsi="Verdana"/>
          <w:sz w:val="22"/>
          <w:szCs w:val="22"/>
          <w:vertAlign w:val="superscript"/>
        </w:rPr>
        <w:t xml:space="preserve"> </w:t>
      </w:r>
      <w:r w:rsidR="00AC5A93" w:rsidRPr="000347F7">
        <w:rPr>
          <w:rFonts w:ascii="Verdana" w:eastAsia="Arial" w:hAnsi="Verdana" w:cs="Arial"/>
          <w:sz w:val="22"/>
          <w:szCs w:val="22"/>
          <w:highlight w:val="white"/>
        </w:rPr>
        <w:t>Innovative technologies provide different accessibility features that can be easily integrated into existing systems and with accessib</w:t>
      </w:r>
      <w:r w:rsidR="0081752C" w:rsidRPr="000347F7">
        <w:rPr>
          <w:rFonts w:ascii="Verdana" w:eastAsia="Arial" w:hAnsi="Verdana" w:cs="Arial"/>
          <w:sz w:val="22"/>
          <w:szCs w:val="22"/>
          <w:highlight w:val="white"/>
        </w:rPr>
        <w:t>le e-commerce platforms that provide</w:t>
      </w:r>
      <w:r w:rsidR="00AC5A93" w:rsidRPr="000347F7">
        <w:rPr>
          <w:rFonts w:ascii="Verdana" w:eastAsia="Arial" w:hAnsi="Verdana" w:cs="Arial"/>
          <w:sz w:val="22"/>
          <w:szCs w:val="22"/>
          <w:highlight w:val="white"/>
        </w:rPr>
        <w:t xml:space="preserve"> support to micro-entrepreneurs with disabilities</w:t>
      </w:r>
      <w:r w:rsidR="00AC5A93" w:rsidRPr="000347F7">
        <w:rPr>
          <w:rFonts w:ascii="Verdana" w:eastAsia="Arial" w:hAnsi="Verdana" w:cs="Arial"/>
          <w:sz w:val="22"/>
          <w:szCs w:val="22"/>
        </w:rPr>
        <w:t>.</w:t>
      </w:r>
      <w:r w:rsidR="00BD22C6" w:rsidRPr="000347F7">
        <w:rPr>
          <w:rFonts w:ascii="Verdana" w:eastAsia="Arial" w:hAnsi="Verdana" w:cs="Arial"/>
          <w:sz w:val="22"/>
          <w:szCs w:val="22"/>
        </w:rPr>
        <w:t xml:space="preserve"> </w:t>
      </w:r>
      <w:r w:rsidR="009A6934" w:rsidRPr="000347F7">
        <w:rPr>
          <w:rFonts w:ascii="Verdana" w:eastAsia="Arial" w:hAnsi="Verdana" w:cs="Arial"/>
          <w:b/>
          <w:sz w:val="22"/>
          <w:szCs w:val="22"/>
        </w:rPr>
        <w:t xml:space="preserve">We are calling on States to </w:t>
      </w:r>
      <w:r w:rsidR="00D84C25">
        <w:rPr>
          <w:rFonts w:ascii="Verdana" w:eastAsia="Arial" w:hAnsi="Verdana" w:cs="Arial"/>
          <w:b/>
          <w:sz w:val="22"/>
          <w:szCs w:val="22"/>
        </w:rPr>
        <w:t>put in place</w:t>
      </w:r>
      <w:r w:rsidR="00CA723E" w:rsidRPr="000347F7">
        <w:rPr>
          <w:rFonts w:ascii="Verdana" w:eastAsia="Arial" w:hAnsi="Verdana" w:cs="Arial"/>
          <w:b/>
          <w:sz w:val="22"/>
          <w:szCs w:val="22"/>
        </w:rPr>
        <w:t xml:space="preserve"> legislation </w:t>
      </w:r>
      <w:r w:rsidR="009A6934" w:rsidRPr="000347F7">
        <w:rPr>
          <w:rFonts w:ascii="Verdana" w:eastAsia="Arial" w:hAnsi="Verdana" w:cs="Arial"/>
          <w:b/>
          <w:sz w:val="22"/>
          <w:szCs w:val="22"/>
          <w:highlight w:val="white"/>
        </w:rPr>
        <w:t>to ensure the most marginali</w:t>
      </w:r>
      <w:r w:rsidR="00CA723E" w:rsidRPr="000347F7">
        <w:rPr>
          <w:rFonts w:ascii="Verdana" w:eastAsia="Arial" w:hAnsi="Verdana" w:cs="Arial"/>
          <w:b/>
          <w:sz w:val="22"/>
          <w:szCs w:val="22"/>
          <w:highlight w:val="white"/>
        </w:rPr>
        <w:t xml:space="preserve">zed have access to </w:t>
      </w:r>
      <w:r w:rsidR="009A6934" w:rsidRPr="000347F7">
        <w:rPr>
          <w:rFonts w:ascii="Verdana" w:eastAsia="Arial" w:hAnsi="Verdana" w:cs="Arial"/>
          <w:b/>
          <w:sz w:val="22"/>
          <w:szCs w:val="22"/>
          <w:highlight w:val="white"/>
        </w:rPr>
        <w:t>accessible</w:t>
      </w:r>
      <w:r w:rsidR="00BD22C6" w:rsidRPr="000347F7">
        <w:rPr>
          <w:rFonts w:ascii="Verdana" w:eastAsia="Arial" w:hAnsi="Verdana" w:cs="Arial"/>
          <w:b/>
          <w:sz w:val="22"/>
          <w:szCs w:val="22"/>
          <w:highlight w:val="white"/>
        </w:rPr>
        <w:t>, available, affordable and quality</w:t>
      </w:r>
      <w:r w:rsidR="009A6934" w:rsidRPr="000347F7">
        <w:rPr>
          <w:rFonts w:ascii="Verdana" w:eastAsia="Arial" w:hAnsi="Verdana" w:cs="Arial"/>
          <w:b/>
          <w:sz w:val="22"/>
          <w:szCs w:val="22"/>
          <w:highlight w:val="white"/>
        </w:rPr>
        <w:t xml:space="preserve"> </w:t>
      </w:r>
      <w:r w:rsidR="00CA723E" w:rsidRPr="000347F7">
        <w:rPr>
          <w:rFonts w:ascii="Verdana" w:eastAsia="Arial" w:hAnsi="Verdana" w:cs="Arial"/>
          <w:b/>
          <w:sz w:val="22"/>
          <w:szCs w:val="22"/>
          <w:highlight w:val="white"/>
        </w:rPr>
        <w:t xml:space="preserve">financial </w:t>
      </w:r>
      <w:r w:rsidR="009A6934" w:rsidRPr="000347F7">
        <w:rPr>
          <w:rFonts w:ascii="Verdana" w:eastAsia="Arial" w:hAnsi="Verdana" w:cs="Arial"/>
          <w:b/>
          <w:sz w:val="22"/>
          <w:szCs w:val="22"/>
          <w:highlight w:val="white"/>
        </w:rPr>
        <w:t>services</w:t>
      </w:r>
      <w:r w:rsidR="00CA723E" w:rsidRPr="000347F7">
        <w:rPr>
          <w:rFonts w:ascii="Verdana" w:eastAsia="Arial" w:hAnsi="Verdana" w:cs="Arial"/>
          <w:b/>
          <w:sz w:val="22"/>
          <w:szCs w:val="22"/>
          <w:highlight w:val="white"/>
        </w:rPr>
        <w:t>.</w:t>
      </w:r>
    </w:p>
    <w:p w14:paraId="6E656CC6" w14:textId="443749FB" w:rsidR="00673AF5" w:rsidRPr="000347F7" w:rsidRDefault="00673AF5" w:rsidP="00673AF5">
      <w:pPr>
        <w:jc w:val="both"/>
        <w:rPr>
          <w:rFonts w:ascii="Verdana" w:hAnsi="Verdana"/>
          <w:sz w:val="22"/>
          <w:szCs w:val="22"/>
        </w:rPr>
      </w:pPr>
    </w:p>
    <w:p w14:paraId="181E0C0F" w14:textId="2CF76B03" w:rsidR="00673AF5" w:rsidRPr="00986948" w:rsidRDefault="00673AF5" w:rsidP="000347F7">
      <w:pPr>
        <w:pStyle w:val="ListParagraph"/>
        <w:numPr>
          <w:ilvl w:val="0"/>
          <w:numId w:val="25"/>
        </w:numPr>
        <w:jc w:val="both"/>
        <w:rPr>
          <w:rFonts w:ascii="Verdana" w:hAnsi="Verdana"/>
          <w:b/>
          <w:sz w:val="22"/>
          <w:szCs w:val="22"/>
        </w:rPr>
      </w:pPr>
      <w:r w:rsidRPr="00986948">
        <w:rPr>
          <w:rFonts w:ascii="Verdana" w:hAnsi="Verdana"/>
          <w:b/>
          <w:sz w:val="22"/>
          <w:szCs w:val="22"/>
        </w:rPr>
        <w:t>Data, monitoring and follow-up</w:t>
      </w:r>
    </w:p>
    <w:p w14:paraId="687215F5" w14:textId="77777777" w:rsidR="000347F7" w:rsidRPr="000347F7" w:rsidRDefault="000347F7" w:rsidP="000347F7">
      <w:pPr>
        <w:jc w:val="both"/>
        <w:rPr>
          <w:rFonts w:ascii="Verdana" w:hAnsi="Verdana"/>
          <w:sz w:val="22"/>
          <w:szCs w:val="22"/>
        </w:rPr>
      </w:pPr>
    </w:p>
    <w:p w14:paraId="7BC13D3B" w14:textId="5A717E34" w:rsidR="000347F7" w:rsidRPr="000347F7" w:rsidRDefault="000347F7" w:rsidP="000347F7">
      <w:pPr>
        <w:jc w:val="both"/>
        <w:rPr>
          <w:rFonts w:ascii="Verdana" w:hAnsi="Verdana"/>
          <w:sz w:val="22"/>
          <w:szCs w:val="22"/>
        </w:rPr>
      </w:pPr>
      <w:r w:rsidRPr="000347F7">
        <w:rPr>
          <w:rFonts w:ascii="Verdana" w:hAnsi="Verdana" w:cstheme="minorHAnsi"/>
          <w:sz w:val="22"/>
          <w:szCs w:val="22"/>
        </w:rPr>
        <w:t xml:space="preserve">The lack of data on persons with disabilities, both at the national level and in international development, is a major barrier for inclusion even though </w:t>
      </w:r>
      <w:r w:rsidRPr="000347F7">
        <w:rPr>
          <w:rFonts w:ascii="Verdana" w:hAnsi="Verdana"/>
          <w:sz w:val="22"/>
          <w:szCs w:val="22"/>
        </w:rPr>
        <w:t>Member States called for global SDG indicators to be disaggregated by disability. Moreover, there is little financial resource allocation or capacity for conducting household-level surveys with adequate levels of disaggregation, adversely impacting persons with disabilities.</w:t>
      </w:r>
    </w:p>
    <w:p w14:paraId="3F56E97C" w14:textId="77777777" w:rsidR="000347F7" w:rsidRPr="000347F7" w:rsidRDefault="000347F7" w:rsidP="000347F7">
      <w:pPr>
        <w:jc w:val="both"/>
        <w:rPr>
          <w:rFonts w:ascii="Verdana" w:hAnsi="Verdana"/>
          <w:sz w:val="22"/>
          <w:szCs w:val="22"/>
        </w:rPr>
      </w:pPr>
    </w:p>
    <w:p w14:paraId="04480701" w14:textId="77777777" w:rsidR="000347F7" w:rsidRPr="000347F7" w:rsidRDefault="000347F7" w:rsidP="000347F7">
      <w:pPr>
        <w:jc w:val="both"/>
        <w:rPr>
          <w:rFonts w:ascii="Verdana" w:hAnsi="Verdana"/>
          <w:sz w:val="22"/>
          <w:szCs w:val="22"/>
        </w:rPr>
      </w:pPr>
      <w:r w:rsidRPr="000347F7">
        <w:rPr>
          <w:rFonts w:ascii="Verdana" w:hAnsi="Verdana"/>
          <w:sz w:val="22"/>
          <w:szCs w:val="22"/>
        </w:rPr>
        <w:t xml:space="preserve">Ensuring that the rights of persons with disabilities are included in all development efforts requires the routine collection of data across all sectors as a means to monitor and ensure that persons with disabilities are fully participating in society. The short set of questions developed by the Washington Group is well tested and suitable for </w:t>
      </w:r>
      <w:r w:rsidRPr="000347F7">
        <w:rPr>
          <w:rFonts w:ascii="Verdana" w:hAnsi="Verdana"/>
          <w:sz w:val="22"/>
          <w:szCs w:val="22"/>
        </w:rPr>
        <w:lastRenderedPageBreak/>
        <w:t>this purpose, along with the UNICEF/Washington Group Child Functioning Module that supports identification of children with disabilities.</w:t>
      </w:r>
    </w:p>
    <w:p w14:paraId="5A415361" w14:textId="77777777" w:rsidR="000347F7" w:rsidRPr="000347F7" w:rsidRDefault="000347F7" w:rsidP="000347F7">
      <w:pPr>
        <w:pStyle w:val="Default"/>
        <w:jc w:val="both"/>
        <w:rPr>
          <w:rFonts w:ascii="Verdana" w:hAnsi="Verdana"/>
          <w:sz w:val="22"/>
          <w:szCs w:val="22"/>
        </w:rPr>
      </w:pPr>
    </w:p>
    <w:p w14:paraId="17289BEA" w14:textId="77777777" w:rsidR="000347F7" w:rsidRPr="000347F7" w:rsidRDefault="000347F7" w:rsidP="000347F7">
      <w:pPr>
        <w:jc w:val="both"/>
        <w:rPr>
          <w:rFonts w:ascii="Verdana" w:hAnsi="Verdana"/>
          <w:b/>
          <w:sz w:val="22"/>
          <w:szCs w:val="22"/>
        </w:rPr>
      </w:pPr>
      <w:r w:rsidRPr="000347F7">
        <w:rPr>
          <w:rFonts w:ascii="Verdana" w:hAnsi="Verdana"/>
          <w:b/>
          <w:sz w:val="22"/>
          <w:szCs w:val="22"/>
        </w:rPr>
        <w:t>These modules are internationally comparable and also efficient, low cost, and easy to incorporate into ongoing data collection of national statistical systems, making them sustainable and suitable for disaggregating by disability status and monitoring progress in attaining the SDGs on an ongoing basis.</w:t>
      </w:r>
    </w:p>
    <w:p w14:paraId="0BF21429" w14:textId="77777777" w:rsidR="000347F7" w:rsidRPr="000347F7" w:rsidRDefault="000347F7" w:rsidP="000347F7">
      <w:pPr>
        <w:jc w:val="both"/>
        <w:rPr>
          <w:rFonts w:ascii="Verdana" w:hAnsi="Verdana"/>
          <w:sz w:val="22"/>
          <w:szCs w:val="22"/>
        </w:rPr>
      </w:pPr>
    </w:p>
    <w:p w14:paraId="60FC2C8E" w14:textId="4FF107F6" w:rsidR="000347F7" w:rsidRPr="000347F7" w:rsidRDefault="000347F7" w:rsidP="000347F7">
      <w:pPr>
        <w:jc w:val="both"/>
        <w:rPr>
          <w:rFonts w:ascii="Verdana" w:hAnsi="Verdana"/>
          <w:color w:val="000000" w:themeColor="text1"/>
          <w:sz w:val="22"/>
          <w:szCs w:val="22"/>
        </w:rPr>
      </w:pPr>
      <w:r w:rsidRPr="000347F7">
        <w:rPr>
          <w:rFonts w:ascii="Verdana" w:hAnsi="Verdana"/>
          <w:sz w:val="22"/>
          <w:szCs w:val="22"/>
        </w:rPr>
        <w:t xml:space="preserve">In addition to using these modules, </w:t>
      </w:r>
      <w:r w:rsidRPr="000347F7">
        <w:rPr>
          <w:rFonts w:ascii="Verdana" w:hAnsi="Verdana"/>
          <w:b/>
          <w:sz w:val="22"/>
          <w:szCs w:val="22"/>
        </w:rPr>
        <w:t>persons with disabilities and their representative organizations must be consulted on the design, implementation, and monitoring of SDG plans in line with CRPD Article 33.</w:t>
      </w:r>
      <w:r w:rsidRPr="000347F7">
        <w:rPr>
          <w:rFonts w:ascii="Verdana" w:hAnsi="Verdana"/>
          <w:color w:val="231F20"/>
          <w:sz w:val="22"/>
          <w:szCs w:val="22"/>
        </w:rPr>
        <w:t xml:space="preserve"> </w:t>
      </w:r>
      <w:r w:rsidR="00276D3D">
        <w:rPr>
          <w:rFonts w:ascii="Verdana" w:hAnsi="Verdana"/>
          <w:color w:val="231F20"/>
          <w:sz w:val="22"/>
          <w:szCs w:val="22"/>
        </w:rPr>
        <w:t xml:space="preserve">Qualitative data gathered through such consultations </w:t>
      </w:r>
      <w:r w:rsidR="00A53051">
        <w:rPr>
          <w:rFonts w:ascii="Verdana" w:hAnsi="Verdana"/>
          <w:color w:val="231F20"/>
          <w:sz w:val="22"/>
          <w:szCs w:val="22"/>
        </w:rPr>
        <w:t>are</w:t>
      </w:r>
      <w:r w:rsidR="00276D3D">
        <w:rPr>
          <w:rFonts w:ascii="Verdana" w:hAnsi="Verdana"/>
          <w:color w:val="231F20"/>
          <w:sz w:val="22"/>
          <w:szCs w:val="22"/>
        </w:rPr>
        <w:t xml:space="preserve"> essential </w:t>
      </w:r>
      <w:r w:rsidR="00A53051">
        <w:rPr>
          <w:rFonts w:ascii="Verdana" w:hAnsi="Verdana"/>
          <w:color w:val="231F20"/>
          <w:sz w:val="22"/>
          <w:szCs w:val="22"/>
        </w:rPr>
        <w:t xml:space="preserve">to </w:t>
      </w:r>
      <w:r w:rsidR="00276D3D">
        <w:rPr>
          <w:rFonts w:ascii="Verdana" w:hAnsi="Verdana"/>
          <w:color w:val="231F20"/>
          <w:sz w:val="22"/>
          <w:szCs w:val="22"/>
        </w:rPr>
        <w:t xml:space="preserve">complement quantitative data, especially in order to </w:t>
      </w:r>
      <w:r w:rsidR="00064279">
        <w:rPr>
          <w:rFonts w:ascii="Verdana" w:hAnsi="Verdana"/>
          <w:color w:val="231F20"/>
          <w:sz w:val="22"/>
          <w:szCs w:val="22"/>
        </w:rPr>
        <w:t>reflect</w:t>
      </w:r>
      <w:r w:rsidR="00276D3D">
        <w:rPr>
          <w:rFonts w:ascii="Verdana" w:hAnsi="Verdana"/>
          <w:color w:val="231F20"/>
          <w:sz w:val="22"/>
          <w:szCs w:val="22"/>
        </w:rPr>
        <w:t xml:space="preserve"> the situation of pe</w:t>
      </w:r>
      <w:r w:rsidR="00A53051">
        <w:rPr>
          <w:rFonts w:ascii="Verdana" w:hAnsi="Verdana"/>
          <w:color w:val="231F20"/>
          <w:sz w:val="22"/>
          <w:szCs w:val="22"/>
        </w:rPr>
        <w:t>rsons</w:t>
      </w:r>
      <w:r w:rsidR="00276D3D">
        <w:rPr>
          <w:rFonts w:ascii="Verdana" w:hAnsi="Verdana"/>
          <w:color w:val="231F20"/>
          <w:sz w:val="22"/>
          <w:szCs w:val="22"/>
        </w:rPr>
        <w:t xml:space="preserve"> with </w:t>
      </w:r>
      <w:r w:rsidR="00A53051">
        <w:rPr>
          <w:rFonts w:ascii="Verdana" w:hAnsi="Verdana"/>
          <w:color w:val="231F20"/>
          <w:sz w:val="22"/>
          <w:szCs w:val="22"/>
        </w:rPr>
        <w:t>disabilities</w:t>
      </w:r>
      <w:r w:rsidR="00276D3D">
        <w:rPr>
          <w:rFonts w:ascii="Verdana" w:hAnsi="Verdana"/>
          <w:color w:val="231F20"/>
          <w:sz w:val="22"/>
          <w:szCs w:val="22"/>
        </w:rPr>
        <w:t xml:space="preserve"> that may</w:t>
      </w:r>
      <w:r w:rsidR="00A53051">
        <w:rPr>
          <w:rFonts w:ascii="Verdana" w:hAnsi="Verdana"/>
          <w:color w:val="231F20"/>
          <w:sz w:val="22"/>
          <w:szCs w:val="22"/>
        </w:rPr>
        <w:t xml:space="preserve"> not be</w:t>
      </w:r>
      <w:r w:rsidR="00276D3D">
        <w:rPr>
          <w:rFonts w:ascii="Verdana" w:hAnsi="Verdana"/>
          <w:color w:val="231F20"/>
          <w:sz w:val="22"/>
          <w:szCs w:val="22"/>
        </w:rPr>
        <w:t xml:space="preserve"> </w:t>
      </w:r>
      <w:r w:rsidR="00064279">
        <w:rPr>
          <w:rFonts w:ascii="Verdana" w:hAnsi="Verdana"/>
          <w:color w:val="231F20"/>
          <w:sz w:val="22"/>
          <w:szCs w:val="22"/>
        </w:rPr>
        <w:t>capture</w:t>
      </w:r>
      <w:r w:rsidR="00276D3D">
        <w:rPr>
          <w:rFonts w:ascii="Verdana" w:hAnsi="Verdana"/>
          <w:color w:val="231F20"/>
          <w:sz w:val="22"/>
          <w:szCs w:val="22"/>
        </w:rPr>
        <w:t>d</w:t>
      </w:r>
      <w:r w:rsidR="00A53051">
        <w:rPr>
          <w:rFonts w:ascii="Verdana" w:hAnsi="Verdana"/>
          <w:color w:val="231F20"/>
          <w:sz w:val="22"/>
          <w:szCs w:val="22"/>
        </w:rPr>
        <w:t xml:space="preserve"> easily</w:t>
      </w:r>
      <w:r w:rsidR="00276D3D">
        <w:rPr>
          <w:rFonts w:ascii="Verdana" w:hAnsi="Verdana"/>
          <w:color w:val="231F20"/>
          <w:sz w:val="22"/>
          <w:szCs w:val="22"/>
        </w:rPr>
        <w:t xml:space="preserve"> by quantitative data alone</w:t>
      </w:r>
      <w:r w:rsidR="00A53051">
        <w:rPr>
          <w:rFonts w:ascii="Verdana" w:hAnsi="Verdana"/>
          <w:color w:val="231F20"/>
          <w:sz w:val="22"/>
          <w:szCs w:val="22"/>
        </w:rPr>
        <w:t xml:space="preserve">. </w:t>
      </w:r>
      <w:r w:rsidRPr="000347F7">
        <w:rPr>
          <w:rFonts w:ascii="Verdana" w:hAnsi="Verdana"/>
          <w:color w:val="231F20"/>
          <w:sz w:val="22"/>
          <w:szCs w:val="22"/>
        </w:rPr>
        <w:t xml:space="preserve">Also, </w:t>
      </w:r>
      <w:r w:rsidRPr="000347F7">
        <w:rPr>
          <w:rFonts w:ascii="Verdana" w:hAnsi="Verdana"/>
          <w:color w:val="000000" w:themeColor="text1"/>
          <w:sz w:val="22"/>
          <w:szCs w:val="22"/>
        </w:rPr>
        <w:t>governments must allocate budget for the inclusion of persons with disabilities and to measure inclusion to leave no one behind, and statisticians, policymakers, DPOs, and allies need to learn from each other and use available data to address challenges and gaps in policies.</w:t>
      </w:r>
    </w:p>
    <w:p w14:paraId="4FF4AD41" w14:textId="77777777" w:rsidR="000347F7" w:rsidRPr="000347F7" w:rsidRDefault="000347F7" w:rsidP="000347F7">
      <w:pPr>
        <w:jc w:val="both"/>
        <w:rPr>
          <w:rFonts w:ascii="Verdana" w:hAnsi="Verdana"/>
          <w:b/>
          <w:color w:val="000000" w:themeColor="text1"/>
          <w:sz w:val="22"/>
          <w:szCs w:val="22"/>
        </w:rPr>
      </w:pPr>
    </w:p>
    <w:p w14:paraId="78A768F5" w14:textId="77777777" w:rsidR="000347F7" w:rsidRPr="000347F7" w:rsidRDefault="000347F7" w:rsidP="000347F7">
      <w:pPr>
        <w:jc w:val="both"/>
        <w:rPr>
          <w:rFonts w:ascii="Verdana" w:hAnsi="Verdana"/>
          <w:b/>
          <w:color w:val="000000" w:themeColor="text1"/>
          <w:sz w:val="22"/>
          <w:szCs w:val="22"/>
        </w:rPr>
      </w:pPr>
      <w:r w:rsidRPr="000347F7">
        <w:rPr>
          <w:rFonts w:ascii="Verdana" w:hAnsi="Verdana"/>
          <w:b/>
          <w:color w:val="000000" w:themeColor="text1"/>
          <w:sz w:val="22"/>
          <w:szCs w:val="22"/>
        </w:rPr>
        <w:t>Best Practice - Washington Group on Disability Statistics</w:t>
      </w:r>
    </w:p>
    <w:p w14:paraId="497270BF" w14:textId="77777777" w:rsidR="000347F7" w:rsidRPr="000347F7" w:rsidRDefault="000347F7" w:rsidP="000347F7">
      <w:pPr>
        <w:jc w:val="both"/>
        <w:rPr>
          <w:rFonts w:ascii="Verdana" w:hAnsi="Verdana"/>
          <w:color w:val="FF0000"/>
          <w:sz w:val="22"/>
          <w:szCs w:val="22"/>
        </w:rPr>
      </w:pPr>
    </w:p>
    <w:p w14:paraId="465C1F09" w14:textId="75C5A796" w:rsidR="000347F7" w:rsidRDefault="000347F7" w:rsidP="000347F7">
      <w:pPr>
        <w:jc w:val="both"/>
        <w:rPr>
          <w:rFonts w:ascii="Verdana" w:hAnsi="Verdana"/>
          <w:b/>
          <w:bCs/>
          <w:sz w:val="22"/>
          <w:szCs w:val="22"/>
        </w:rPr>
      </w:pPr>
      <w:r w:rsidRPr="000347F7">
        <w:rPr>
          <w:rFonts w:ascii="Verdana" w:hAnsi="Verdana"/>
          <w:bCs/>
          <w:sz w:val="22"/>
          <w:szCs w:val="22"/>
        </w:rPr>
        <w:t>The Washington Group has made considerable progress in improving disability measurement and statistics. Important methodological work has been conducted over the last decade to develop standardized data collection tools that are in line with the CRPD and produce comparable estimates.</w:t>
      </w:r>
      <w:r w:rsidRPr="000347F7">
        <w:rPr>
          <w:rFonts w:ascii="Verdana" w:hAnsi="Verdana"/>
          <w:b/>
          <w:bCs/>
          <w:sz w:val="22"/>
          <w:szCs w:val="22"/>
        </w:rPr>
        <w:t xml:space="preserve"> More importantly, the Washington Group short set</w:t>
      </w:r>
      <w:r w:rsidR="00986948">
        <w:rPr>
          <w:rFonts w:ascii="Verdana" w:hAnsi="Verdana"/>
          <w:b/>
          <w:bCs/>
          <w:sz w:val="22"/>
          <w:szCs w:val="22"/>
        </w:rPr>
        <w:t xml:space="preserve"> (WG-SS)</w:t>
      </w:r>
      <w:r w:rsidRPr="000347F7">
        <w:rPr>
          <w:rFonts w:ascii="Verdana" w:hAnsi="Verdana"/>
          <w:b/>
          <w:bCs/>
          <w:sz w:val="22"/>
          <w:szCs w:val="22"/>
        </w:rPr>
        <w:t xml:space="preserve"> has been proven and widely tested as sustainable and suitable for SDG data disaggregation by disability.</w:t>
      </w:r>
    </w:p>
    <w:p w14:paraId="0660BAB7" w14:textId="77777777" w:rsidR="000347F7" w:rsidRPr="000347F7" w:rsidRDefault="000347F7" w:rsidP="000347F7">
      <w:pPr>
        <w:jc w:val="both"/>
        <w:rPr>
          <w:rFonts w:ascii="Verdana" w:hAnsi="Verdana"/>
          <w:bCs/>
          <w:sz w:val="22"/>
          <w:szCs w:val="22"/>
        </w:rPr>
      </w:pPr>
    </w:p>
    <w:p w14:paraId="571F7954" w14:textId="77777777" w:rsidR="000347F7" w:rsidRPr="000347F7" w:rsidRDefault="000347F7" w:rsidP="000347F7">
      <w:pPr>
        <w:jc w:val="both"/>
        <w:rPr>
          <w:rFonts w:ascii="Verdana" w:hAnsi="Verdana"/>
          <w:bCs/>
          <w:sz w:val="22"/>
          <w:szCs w:val="22"/>
        </w:rPr>
      </w:pPr>
      <w:r w:rsidRPr="000347F7">
        <w:rPr>
          <w:rFonts w:ascii="Verdana" w:hAnsi="Verdana"/>
          <w:bCs/>
          <w:sz w:val="22"/>
          <w:szCs w:val="22"/>
        </w:rPr>
        <w:t xml:space="preserve">As an example of a best practice, in light of the importance of disability data collection and the disaggregation of SDG outcome indicators by disability status, the WG reviewed, among WG member countries, the extent to which </w:t>
      </w:r>
      <w:r w:rsidRPr="000347F7">
        <w:rPr>
          <w:rFonts w:ascii="Verdana" w:hAnsi="Verdana"/>
          <w:b/>
          <w:bCs/>
          <w:sz w:val="22"/>
          <w:szCs w:val="22"/>
        </w:rPr>
        <w:t>data on SDG indicators currently available can be disaggregated by disability status</w:t>
      </w:r>
      <w:r w:rsidRPr="000347F7">
        <w:rPr>
          <w:rFonts w:ascii="Verdana" w:hAnsi="Verdana"/>
          <w:bCs/>
          <w:sz w:val="22"/>
          <w:szCs w:val="22"/>
        </w:rPr>
        <w:t>.</w:t>
      </w:r>
    </w:p>
    <w:p w14:paraId="6D7E7C48" w14:textId="77777777" w:rsidR="000347F7" w:rsidRPr="000347F7" w:rsidRDefault="000347F7" w:rsidP="000347F7">
      <w:pPr>
        <w:jc w:val="both"/>
        <w:rPr>
          <w:rFonts w:ascii="Verdana" w:hAnsi="Verdana"/>
          <w:bCs/>
          <w:sz w:val="22"/>
          <w:szCs w:val="22"/>
        </w:rPr>
      </w:pPr>
    </w:p>
    <w:p w14:paraId="2872BE29" w14:textId="1D162786" w:rsidR="000347F7" w:rsidRPr="000347F7" w:rsidRDefault="000347F7" w:rsidP="000347F7">
      <w:pPr>
        <w:pStyle w:val="ListParagraph"/>
        <w:numPr>
          <w:ilvl w:val="0"/>
          <w:numId w:val="23"/>
        </w:numPr>
        <w:jc w:val="both"/>
        <w:rPr>
          <w:rFonts w:ascii="Verdana" w:hAnsi="Verdana"/>
          <w:bCs/>
          <w:sz w:val="22"/>
          <w:szCs w:val="22"/>
        </w:rPr>
      </w:pPr>
      <w:r w:rsidRPr="000347F7">
        <w:rPr>
          <w:rFonts w:ascii="Verdana" w:hAnsi="Verdana"/>
          <w:bCs/>
          <w:sz w:val="22"/>
          <w:szCs w:val="22"/>
        </w:rPr>
        <w:t>Requests for disaggregated SDG data for 13 selected indicators were sent to 146 member countries and 48 responded and 39 provided data.</w:t>
      </w:r>
    </w:p>
    <w:p w14:paraId="54F5E2DD" w14:textId="77777777" w:rsidR="000347F7" w:rsidRPr="000347F7" w:rsidRDefault="000347F7" w:rsidP="000347F7">
      <w:pPr>
        <w:pStyle w:val="ListParagraph"/>
        <w:jc w:val="both"/>
        <w:rPr>
          <w:rFonts w:ascii="Verdana" w:hAnsi="Verdana"/>
          <w:bCs/>
          <w:sz w:val="22"/>
          <w:szCs w:val="22"/>
        </w:rPr>
      </w:pPr>
    </w:p>
    <w:p w14:paraId="6F5E9E59" w14:textId="604C7FAB" w:rsidR="00986948" w:rsidRDefault="000347F7" w:rsidP="00986948">
      <w:pPr>
        <w:pStyle w:val="ListParagraph"/>
        <w:numPr>
          <w:ilvl w:val="0"/>
          <w:numId w:val="23"/>
        </w:numPr>
        <w:jc w:val="both"/>
        <w:rPr>
          <w:rFonts w:ascii="Verdana" w:hAnsi="Verdana"/>
          <w:bCs/>
          <w:sz w:val="22"/>
          <w:szCs w:val="22"/>
        </w:rPr>
      </w:pPr>
      <w:r w:rsidRPr="000347F7">
        <w:rPr>
          <w:rFonts w:ascii="Verdana" w:hAnsi="Verdana"/>
          <w:bCs/>
          <w:sz w:val="22"/>
          <w:szCs w:val="22"/>
        </w:rPr>
        <w:t>19 of the 39 countries that provided data used the WG-S</w:t>
      </w:r>
      <w:r w:rsidR="00986948">
        <w:rPr>
          <w:rFonts w:ascii="Verdana" w:hAnsi="Verdana"/>
          <w:bCs/>
          <w:sz w:val="22"/>
          <w:szCs w:val="22"/>
        </w:rPr>
        <w:t>S</w:t>
      </w:r>
      <w:r w:rsidRPr="000347F7">
        <w:rPr>
          <w:rFonts w:ascii="Verdana" w:hAnsi="Verdana"/>
          <w:bCs/>
          <w:sz w:val="22"/>
          <w:szCs w:val="22"/>
        </w:rPr>
        <w:t xml:space="preserve"> </w:t>
      </w:r>
    </w:p>
    <w:p w14:paraId="1BEDB62B" w14:textId="77777777" w:rsidR="00986948" w:rsidRPr="00986948" w:rsidRDefault="00986948" w:rsidP="00986948">
      <w:pPr>
        <w:pStyle w:val="ListParagraph"/>
        <w:rPr>
          <w:rFonts w:ascii="Verdana" w:hAnsi="Verdana"/>
          <w:bCs/>
          <w:sz w:val="22"/>
          <w:szCs w:val="22"/>
        </w:rPr>
      </w:pPr>
    </w:p>
    <w:p w14:paraId="3E18AF3B" w14:textId="44F7BEC6" w:rsidR="000347F7" w:rsidRPr="00986948" w:rsidRDefault="000347F7" w:rsidP="00986948">
      <w:pPr>
        <w:pStyle w:val="ListParagraph"/>
        <w:numPr>
          <w:ilvl w:val="0"/>
          <w:numId w:val="23"/>
        </w:numPr>
        <w:jc w:val="both"/>
        <w:rPr>
          <w:rStyle w:val="Hyperlink"/>
          <w:rFonts w:ascii="Verdana" w:hAnsi="Verdana"/>
          <w:bCs/>
          <w:color w:val="auto"/>
          <w:sz w:val="22"/>
          <w:szCs w:val="22"/>
          <w:u w:val="none"/>
        </w:rPr>
      </w:pPr>
      <w:r w:rsidRPr="00986948">
        <w:rPr>
          <w:rFonts w:ascii="Verdana" w:hAnsi="Verdana"/>
          <w:bCs/>
          <w:sz w:val="22"/>
          <w:szCs w:val="22"/>
        </w:rPr>
        <w:t>SDG indicators were selected and defined (for the most part) according to the global indicator framework.</w:t>
      </w:r>
      <w:r w:rsidRPr="00986948">
        <w:rPr>
          <w:rStyle w:val="Hyperlink"/>
          <w:rFonts w:ascii="Verdana" w:hAnsi="Verdana"/>
          <w:bCs/>
          <w:sz w:val="22"/>
          <w:szCs w:val="22"/>
        </w:rPr>
        <w:t xml:space="preserve"> </w:t>
      </w:r>
    </w:p>
    <w:p w14:paraId="540748FE" w14:textId="77777777" w:rsidR="000347F7" w:rsidRPr="000347F7" w:rsidRDefault="000347F7" w:rsidP="000347F7">
      <w:pPr>
        <w:pStyle w:val="ListParagraph"/>
        <w:jc w:val="both"/>
        <w:rPr>
          <w:rStyle w:val="Hyperlink"/>
          <w:rFonts w:ascii="Verdana" w:hAnsi="Verdana"/>
          <w:bCs/>
          <w:sz w:val="22"/>
          <w:szCs w:val="22"/>
        </w:rPr>
      </w:pPr>
    </w:p>
    <w:p w14:paraId="36881AF4" w14:textId="3ABB0F84" w:rsidR="000347F7" w:rsidRPr="000347F7" w:rsidRDefault="000347F7" w:rsidP="000347F7">
      <w:pPr>
        <w:pStyle w:val="ListParagraph"/>
        <w:numPr>
          <w:ilvl w:val="0"/>
          <w:numId w:val="23"/>
        </w:numPr>
        <w:jc w:val="both"/>
        <w:rPr>
          <w:rFonts w:ascii="Verdana" w:hAnsi="Verdana"/>
          <w:bCs/>
          <w:sz w:val="22"/>
          <w:szCs w:val="22"/>
        </w:rPr>
      </w:pPr>
      <w:r w:rsidRPr="000347F7">
        <w:rPr>
          <w:rFonts w:ascii="Verdana" w:hAnsi="Verdana"/>
          <w:b/>
          <w:bCs/>
          <w:sz w:val="22"/>
          <w:szCs w:val="22"/>
        </w:rPr>
        <w:t>The findings illustrate that countries can, with available data, disaggregate a number of SDG indicators by disability status</w:t>
      </w:r>
      <w:r w:rsidRPr="000347F7">
        <w:rPr>
          <w:rFonts w:ascii="Verdana" w:hAnsi="Verdana"/>
          <w:bCs/>
          <w:sz w:val="22"/>
          <w:szCs w:val="22"/>
        </w:rPr>
        <w:t xml:space="preserve">. </w:t>
      </w:r>
    </w:p>
    <w:p w14:paraId="1E7EE4F3" w14:textId="77777777" w:rsidR="000347F7" w:rsidRPr="000347F7" w:rsidRDefault="000347F7" w:rsidP="000347F7">
      <w:pPr>
        <w:jc w:val="both"/>
        <w:rPr>
          <w:rFonts w:ascii="Verdana" w:hAnsi="Verdana"/>
          <w:sz w:val="22"/>
          <w:szCs w:val="22"/>
        </w:rPr>
      </w:pPr>
    </w:p>
    <w:p w14:paraId="0521FDBF" w14:textId="77777777" w:rsidR="000347F7" w:rsidRPr="000347F7" w:rsidRDefault="000347F7" w:rsidP="000347F7">
      <w:pPr>
        <w:rPr>
          <w:rFonts w:ascii="Verdana" w:hAnsi="Verdana"/>
          <w:b/>
          <w:bCs/>
          <w:sz w:val="22"/>
          <w:szCs w:val="22"/>
        </w:rPr>
      </w:pPr>
      <w:r w:rsidRPr="000347F7">
        <w:rPr>
          <w:rFonts w:ascii="Verdana" w:hAnsi="Verdana"/>
          <w:b/>
          <w:bCs/>
          <w:sz w:val="22"/>
          <w:szCs w:val="22"/>
        </w:rPr>
        <w:t>The most common SDG disability data provided include the following:</w:t>
      </w:r>
    </w:p>
    <w:p w14:paraId="04103619" w14:textId="77777777" w:rsidR="000347F7" w:rsidRPr="000347F7" w:rsidRDefault="000347F7" w:rsidP="000347F7">
      <w:pPr>
        <w:pStyle w:val="ListParagraph"/>
        <w:rPr>
          <w:rFonts w:ascii="Verdana" w:hAnsi="Verdana"/>
          <w:bCs/>
          <w:sz w:val="22"/>
          <w:szCs w:val="22"/>
        </w:rPr>
      </w:pPr>
    </w:p>
    <w:p w14:paraId="7CF808E9" w14:textId="2286E168" w:rsidR="000347F7" w:rsidRPr="000347F7" w:rsidRDefault="000347F7" w:rsidP="000347F7">
      <w:pPr>
        <w:pStyle w:val="ListParagraph"/>
        <w:numPr>
          <w:ilvl w:val="0"/>
          <w:numId w:val="24"/>
        </w:numPr>
        <w:rPr>
          <w:rFonts w:ascii="Verdana" w:hAnsi="Verdana"/>
          <w:bCs/>
          <w:sz w:val="22"/>
          <w:szCs w:val="22"/>
        </w:rPr>
      </w:pPr>
      <w:r>
        <w:rPr>
          <w:rFonts w:ascii="Verdana" w:hAnsi="Verdana"/>
          <w:bCs/>
          <w:sz w:val="22"/>
          <w:szCs w:val="22"/>
        </w:rPr>
        <w:lastRenderedPageBreak/>
        <w:t>D</w:t>
      </w:r>
      <w:r w:rsidRPr="000347F7">
        <w:rPr>
          <w:rFonts w:ascii="Verdana" w:hAnsi="Verdana"/>
          <w:bCs/>
          <w:sz w:val="22"/>
          <w:szCs w:val="22"/>
        </w:rPr>
        <w:t>isability prevalence, specifically “Disability status by domain of difficulty, age and sex for population 5 years and over” (31 countries)</w:t>
      </w:r>
    </w:p>
    <w:p w14:paraId="527ADCD0" w14:textId="77777777" w:rsidR="000347F7" w:rsidRPr="000347F7" w:rsidRDefault="000347F7" w:rsidP="000347F7">
      <w:pPr>
        <w:pStyle w:val="ListParagraph"/>
        <w:rPr>
          <w:rFonts w:ascii="Verdana" w:hAnsi="Verdana"/>
          <w:bCs/>
          <w:sz w:val="22"/>
          <w:szCs w:val="22"/>
        </w:rPr>
      </w:pPr>
    </w:p>
    <w:p w14:paraId="4E75EF4E" w14:textId="77777777" w:rsidR="000347F7" w:rsidRPr="000347F7" w:rsidRDefault="000347F7" w:rsidP="000347F7">
      <w:pPr>
        <w:pStyle w:val="ListParagraph"/>
        <w:numPr>
          <w:ilvl w:val="0"/>
          <w:numId w:val="24"/>
        </w:numPr>
        <w:rPr>
          <w:rFonts w:ascii="Verdana" w:hAnsi="Verdana"/>
          <w:bCs/>
          <w:sz w:val="22"/>
          <w:szCs w:val="22"/>
        </w:rPr>
      </w:pPr>
      <w:r w:rsidRPr="000347F7">
        <w:rPr>
          <w:rFonts w:ascii="Verdana" w:hAnsi="Verdana"/>
          <w:bCs/>
          <w:sz w:val="22"/>
          <w:szCs w:val="22"/>
        </w:rPr>
        <w:t>SDG 8.5.2* Employment status disaggregated by disability status and sex for population 15-64 years (23 countries)</w:t>
      </w:r>
    </w:p>
    <w:p w14:paraId="1D6A51B7" w14:textId="77777777" w:rsidR="000347F7" w:rsidRPr="000347F7" w:rsidRDefault="000347F7" w:rsidP="000347F7">
      <w:pPr>
        <w:rPr>
          <w:rFonts w:ascii="Verdana" w:hAnsi="Verdana"/>
          <w:bCs/>
          <w:sz w:val="22"/>
          <w:szCs w:val="22"/>
        </w:rPr>
      </w:pPr>
    </w:p>
    <w:p w14:paraId="12CD8CCF" w14:textId="77777777" w:rsidR="000347F7" w:rsidRPr="000347F7" w:rsidRDefault="000347F7" w:rsidP="000347F7">
      <w:pPr>
        <w:pStyle w:val="ListParagraph"/>
        <w:numPr>
          <w:ilvl w:val="0"/>
          <w:numId w:val="24"/>
        </w:numPr>
        <w:rPr>
          <w:rFonts w:ascii="Verdana" w:hAnsi="Verdana"/>
          <w:bCs/>
          <w:sz w:val="22"/>
          <w:szCs w:val="22"/>
        </w:rPr>
      </w:pPr>
      <w:r w:rsidRPr="000347F7">
        <w:rPr>
          <w:rFonts w:ascii="Verdana" w:hAnsi="Verdana"/>
          <w:bCs/>
          <w:sz w:val="22"/>
          <w:szCs w:val="22"/>
        </w:rPr>
        <w:t>SDG 4.1x* School completion rates disaggregated by disability status and sex for relevantly aged population (20 countries)</w:t>
      </w:r>
    </w:p>
    <w:p w14:paraId="729FA4EE" w14:textId="77777777" w:rsidR="000347F7" w:rsidRPr="000347F7" w:rsidRDefault="000347F7" w:rsidP="000347F7">
      <w:pPr>
        <w:rPr>
          <w:rFonts w:ascii="Verdana" w:hAnsi="Verdana"/>
          <w:bCs/>
          <w:sz w:val="22"/>
          <w:szCs w:val="22"/>
        </w:rPr>
      </w:pPr>
    </w:p>
    <w:p w14:paraId="71874674" w14:textId="2B8211F3" w:rsidR="000347F7" w:rsidRPr="000347F7" w:rsidRDefault="000347F7" w:rsidP="000347F7">
      <w:pPr>
        <w:pStyle w:val="ListParagraph"/>
        <w:numPr>
          <w:ilvl w:val="0"/>
          <w:numId w:val="24"/>
        </w:numPr>
        <w:rPr>
          <w:rFonts w:ascii="Verdana" w:hAnsi="Verdana"/>
          <w:bCs/>
          <w:sz w:val="22"/>
          <w:szCs w:val="22"/>
        </w:rPr>
      </w:pPr>
      <w:r w:rsidRPr="000347F7">
        <w:rPr>
          <w:rFonts w:ascii="Verdana" w:hAnsi="Verdana"/>
          <w:bCs/>
          <w:sz w:val="22"/>
          <w:szCs w:val="22"/>
        </w:rPr>
        <w:t>S</w:t>
      </w:r>
      <w:r>
        <w:rPr>
          <w:rFonts w:ascii="Verdana" w:hAnsi="Verdana"/>
          <w:bCs/>
          <w:sz w:val="22"/>
          <w:szCs w:val="22"/>
        </w:rPr>
        <w:t>D</w:t>
      </w:r>
      <w:r w:rsidRPr="000347F7">
        <w:rPr>
          <w:rFonts w:ascii="Verdana" w:hAnsi="Verdana"/>
          <w:bCs/>
          <w:sz w:val="22"/>
          <w:szCs w:val="22"/>
        </w:rPr>
        <w:t>G 4.5x* University completion rates disaggregated by disability status and sex for relevantly aged population (12 countries)</w:t>
      </w:r>
    </w:p>
    <w:p w14:paraId="6DA6C40D" w14:textId="77777777" w:rsidR="000347F7" w:rsidRPr="000347F7" w:rsidRDefault="000347F7" w:rsidP="000347F7">
      <w:pPr>
        <w:rPr>
          <w:rFonts w:ascii="Verdana" w:hAnsi="Verdana"/>
          <w:bCs/>
          <w:sz w:val="22"/>
          <w:szCs w:val="22"/>
        </w:rPr>
      </w:pPr>
    </w:p>
    <w:p w14:paraId="31BC26ED" w14:textId="77777777" w:rsidR="000347F7" w:rsidRPr="000347F7" w:rsidRDefault="000347F7" w:rsidP="000347F7">
      <w:pPr>
        <w:pStyle w:val="ListParagraph"/>
        <w:numPr>
          <w:ilvl w:val="0"/>
          <w:numId w:val="24"/>
        </w:numPr>
        <w:rPr>
          <w:rFonts w:ascii="Verdana" w:hAnsi="Verdana"/>
          <w:bCs/>
          <w:sz w:val="22"/>
          <w:szCs w:val="22"/>
        </w:rPr>
      </w:pPr>
      <w:r w:rsidRPr="000347F7">
        <w:rPr>
          <w:rFonts w:ascii="Verdana" w:hAnsi="Verdana"/>
          <w:bCs/>
          <w:sz w:val="22"/>
          <w:szCs w:val="22"/>
        </w:rPr>
        <w:t>SDG 1.2.1 Poverty status disaggregated by disability status and sex for population 15 years and older (11 countries)</w:t>
      </w:r>
    </w:p>
    <w:p w14:paraId="1A2E23D9" w14:textId="77777777" w:rsidR="000347F7" w:rsidRPr="000347F7" w:rsidRDefault="000347F7" w:rsidP="000347F7">
      <w:pPr>
        <w:rPr>
          <w:rFonts w:ascii="Verdana" w:hAnsi="Verdana"/>
          <w:bCs/>
          <w:sz w:val="22"/>
          <w:szCs w:val="22"/>
        </w:rPr>
      </w:pPr>
    </w:p>
    <w:p w14:paraId="7721F5D3" w14:textId="77777777" w:rsidR="000347F7" w:rsidRPr="000347F7" w:rsidRDefault="000347F7" w:rsidP="000347F7">
      <w:pPr>
        <w:pStyle w:val="ListParagraph"/>
        <w:numPr>
          <w:ilvl w:val="0"/>
          <w:numId w:val="24"/>
        </w:numPr>
        <w:rPr>
          <w:rFonts w:ascii="Verdana" w:hAnsi="Verdana"/>
          <w:bCs/>
          <w:sz w:val="22"/>
          <w:szCs w:val="22"/>
        </w:rPr>
      </w:pPr>
      <w:r w:rsidRPr="000347F7">
        <w:rPr>
          <w:rFonts w:ascii="Verdana" w:hAnsi="Verdana"/>
          <w:bCs/>
          <w:sz w:val="22"/>
          <w:szCs w:val="22"/>
        </w:rPr>
        <w:t>SDG 3.8.1 Health insurance coverage disaggregated by disability status and sex for population years and older (10 countries)</w:t>
      </w:r>
    </w:p>
    <w:p w14:paraId="6CE0901E" w14:textId="77777777" w:rsidR="000347F7" w:rsidRPr="000347F7" w:rsidRDefault="000347F7" w:rsidP="000347F7">
      <w:pPr>
        <w:rPr>
          <w:rFonts w:ascii="Verdana" w:hAnsi="Verdana"/>
          <w:bCs/>
          <w:sz w:val="22"/>
          <w:szCs w:val="22"/>
        </w:rPr>
      </w:pPr>
    </w:p>
    <w:p w14:paraId="3DDBC1BB" w14:textId="698A5CC9" w:rsidR="000347F7" w:rsidRPr="000347F7" w:rsidRDefault="000347F7" w:rsidP="000347F7">
      <w:pPr>
        <w:pStyle w:val="ListParagraph"/>
        <w:numPr>
          <w:ilvl w:val="0"/>
          <w:numId w:val="24"/>
        </w:numPr>
        <w:rPr>
          <w:rFonts w:ascii="Verdana" w:hAnsi="Verdana"/>
          <w:bCs/>
          <w:sz w:val="22"/>
          <w:szCs w:val="22"/>
        </w:rPr>
      </w:pPr>
      <w:r w:rsidRPr="000347F7">
        <w:rPr>
          <w:rFonts w:ascii="Verdana" w:hAnsi="Verdana"/>
          <w:bCs/>
          <w:sz w:val="22"/>
          <w:szCs w:val="22"/>
        </w:rPr>
        <w:t>SDG 7.1.1 Access to electricity disaggregated by disability status and sex for population 15 years and older (10 countries)</w:t>
      </w:r>
    </w:p>
    <w:p w14:paraId="32A3F222" w14:textId="77777777" w:rsidR="000347F7" w:rsidRPr="000347F7" w:rsidRDefault="000347F7" w:rsidP="000347F7">
      <w:pPr>
        <w:rPr>
          <w:rFonts w:ascii="Verdana" w:hAnsi="Verdana"/>
          <w:b/>
          <w:bCs/>
          <w:sz w:val="22"/>
          <w:szCs w:val="22"/>
        </w:rPr>
      </w:pPr>
    </w:p>
    <w:p w14:paraId="646C0DDD" w14:textId="61A0CB86" w:rsidR="00011368" w:rsidRPr="00986948" w:rsidRDefault="000347F7" w:rsidP="00986948">
      <w:pPr>
        <w:rPr>
          <w:rFonts w:ascii="Verdana" w:hAnsi="Verdana"/>
          <w:bCs/>
          <w:sz w:val="22"/>
          <w:szCs w:val="22"/>
          <w:lang w:val="en"/>
        </w:rPr>
      </w:pPr>
      <w:r w:rsidRPr="000347F7">
        <w:rPr>
          <w:rFonts w:ascii="Verdana" w:hAnsi="Verdana"/>
          <w:bCs/>
          <w:sz w:val="22"/>
          <w:szCs w:val="22"/>
        </w:rPr>
        <w:t>*Indicators that were “derived” include 4.1.x Primary, Lower secondary, and Upper secondary school completion rates, 4.5.x University completion rates, and 8.5.2 Employment status.</w:t>
      </w:r>
      <w:r w:rsidR="00986948">
        <w:rPr>
          <w:rFonts w:ascii="Verdana" w:hAnsi="Verdana"/>
          <w:bCs/>
          <w:sz w:val="22"/>
          <w:szCs w:val="22"/>
          <w:lang w:val="en"/>
        </w:rPr>
        <w:t xml:space="preserve"> The full study can be found here: </w:t>
      </w:r>
      <w:hyperlink r:id="rId8" w:history="1">
        <w:r w:rsidR="00CD0E80" w:rsidRPr="00A75DFA">
          <w:rPr>
            <w:rStyle w:val="Hyperlink"/>
            <w:rFonts w:ascii="Verdana" w:eastAsia="Times New Roman" w:hAnsi="Verdana" w:cs="Times New Roman"/>
            <w:sz w:val="22"/>
            <w:szCs w:val="22"/>
          </w:rPr>
          <w:t>http://www.washingtongroup-disability.com/data-dissemination/</w:t>
        </w:r>
      </w:hyperlink>
    </w:p>
    <w:p w14:paraId="4D5AD86E" w14:textId="312DE58E" w:rsidR="001F03C6" w:rsidRPr="000347F7" w:rsidRDefault="001F03C6" w:rsidP="005D75DE">
      <w:pPr>
        <w:rPr>
          <w:rFonts w:ascii="Verdana" w:hAnsi="Verdana"/>
          <w:sz w:val="22"/>
          <w:szCs w:val="22"/>
        </w:rPr>
      </w:pPr>
      <w:bookmarkStart w:id="0" w:name="_GoBack"/>
      <w:bookmarkEnd w:id="0"/>
    </w:p>
    <w:p w14:paraId="48CC3A26" w14:textId="230454D0" w:rsidR="001F03C6" w:rsidRPr="00957DE7" w:rsidRDefault="00957DE7" w:rsidP="005D75DE">
      <w:pPr>
        <w:rPr>
          <w:rFonts w:ascii="Verdana" w:hAnsi="Verdana"/>
          <w:b/>
          <w:sz w:val="22"/>
          <w:szCs w:val="22"/>
        </w:rPr>
      </w:pPr>
      <w:r w:rsidRPr="00957DE7">
        <w:rPr>
          <w:rFonts w:ascii="Verdana" w:hAnsi="Verdana"/>
          <w:b/>
          <w:sz w:val="22"/>
          <w:szCs w:val="22"/>
        </w:rPr>
        <w:t>Conclusion</w:t>
      </w:r>
    </w:p>
    <w:p w14:paraId="1CDCE122" w14:textId="77777777" w:rsidR="001F03C6" w:rsidRPr="000347F7" w:rsidRDefault="001F03C6" w:rsidP="005D75DE">
      <w:pPr>
        <w:rPr>
          <w:rFonts w:ascii="Verdana" w:hAnsi="Verdana"/>
          <w:sz w:val="22"/>
          <w:szCs w:val="22"/>
        </w:rPr>
      </w:pPr>
    </w:p>
    <w:p w14:paraId="2F353093" w14:textId="322F8B39" w:rsidR="00D02EBF" w:rsidRPr="000347F7" w:rsidRDefault="00493041" w:rsidP="004C061C">
      <w:pPr>
        <w:jc w:val="both"/>
        <w:rPr>
          <w:rFonts w:ascii="Verdana" w:hAnsi="Verdana"/>
          <w:sz w:val="22"/>
          <w:szCs w:val="22"/>
        </w:rPr>
      </w:pPr>
      <w:r w:rsidRPr="000347F7">
        <w:rPr>
          <w:rFonts w:ascii="Verdana" w:hAnsi="Verdana"/>
          <w:sz w:val="22"/>
          <w:szCs w:val="22"/>
        </w:rPr>
        <w:t>In closing, c</w:t>
      </w:r>
      <w:r w:rsidR="005A3E62" w:rsidRPr="000347F7">
        <w:rPr>
          <w:rFonts w:ascii="Verdana" w:hAnsi="Verdana"/>
          <w:sz w:val="22"/>
          <w:szCs w:val="22"/>
        </w:rPr>
        <w:t xml:space="preserve">ompliance with universal standards in human rights must be upheld by States. Also, social dialogues must define actionable deliverables that are guaranteed by the State, including the meaningful participation of persons with disabilities. </w:t>
      </w:r>
      <w:r w:rsidR="00D02EBF" w:rsidRPr="000347F7">
        <w:rPr>
          <w:rFonts w:ascii="Verdana" w:hAnsi="Verdana"/>
          <w:sz w:val="22"/>
          <w:szCs w:val="22"/>
        </w:rPr>
        <w:t>Full implementation of the commitments made by world leaders at the adoption of the 2030 Agenda</w:t>
      </w:r>
      <w:r w:rsidR="004C061C" w:rsidRPr="000347F7">
        <w:rPr>
          <w:rFonts w:ascii="Verdana" w:hAnsi="Verdana"/>
          <w:sz w:val="22"/>
          <w:szCs w:val="22"/>
        </w:rPr>
        <w:t>, including the AAAA,</w:t>
      </w:r>
      <w:r w:rsidR="00D02EBF" w:rsidRPr="000347F7">
        <w:rPr>
          <w:rFonts w:ascii="Verdana" w:hAnsi="Verdana"/>
          <w:sz w:val="22"/>
          <w:szCs w:val="22"/>
        </w:rPr>
        <w:t xml:space="preserve"> requires a progressive increase in dedicated domestic resource allocation and international development cooperation to support the full inclusion of persons with disabilities. Yet in many countries austerity measures have been imposed, which reduce government expenditures on human rights, development and social welfare when and where they are most needed, and persons with disabilities are often among the very hardest hit. A rights-based response to economic crises could be lifting persons with disabilities and their families out of poverty, and would contribute to the achievement of inclusive growth and sustainable development.</w:t>
      </w:r>
    </w:p>
    <w:p w14:paraId="5728BAA7" w14:textId="77777777" w:rsidR="006B4031" w:rsidRPr="000347F7" w:rsidRDefault="006B4031" w:rsidP="004C061C">
      <w:pPr>
        <w:jc w:val="both"/>
        <w:rPr>
          <w:rFonts w:ascii="Verdana" w:hAnsi="Verdana"/>
          <w:sz w:val="22"/>
          <w:szCs w:val="22"/>
        </w:rPr>
      </w:pPr>
    </w:p>
    <w:p w14:paraId="508D743B" w14:textId="77777777" w:rsidR="006B4031" w:rsidRPr="000347F7" w:rsidRDefault="006B4031" w:rsidP="004C061C">
      <w:pPr>
        <w:jc w:val="both"/>
        <w:rPr>
          <w:rFonts w:ascii="Verdana" w:hAnsi="Verdana"/>
          <w:sz w:val="22"/>
          <w:szCs w:val="22"/>
        </w:rPr>
      </w:pPr>
    </w:p>
    <w:sectPr w:rsidR="006B4031" w:rsidRPr="000347F7" w:rsidSect="00C843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AF9FB" w14:textId="77777777" w:rsidR="006E7EF2" w:rsidRDefault="006E7EF2" w:rsidP="00372D3B">
      <w:r>
        <w:separator/>
      </w:r>
    </w:p>
  </w:endnote>
  <w:endnote w:type="continuationSeparator" w:id="0">
    <w:p w14:paraId="3183E1A6" w14:textId="77777777" w:rsidR="006E7EF2" w:rsidRDefault="006E7EF2" w:rsidP="0037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DE594" w14:textId="77777777" w:rsidR="006E7EF2" w:rsidRDefault="006E7EF2" w:rsidP="00372D3B">
      <w:r>
        <w:separator/>
      </w:r>
    </w:p>
  </w:footnote>
  <w:footnote w:type="continuationSeparator" w:id="0">
    <w:p w14:paraId="0C825CBE" w14:textId="77777777" w:rsidR="006E7EF2" w:rsidRDefault="006E7EF2" w:rsidP="00372D3B">
      <w:r>
        <w:continuationSeparator/>
      </w:r>
    </w:p>
  </w:footnote>
  <w:footnote w:id="1">
    <w:p w14:paraId="7034451C" w14:textId="12C71DA5" w:rsidR="00356AA9" w:rsidRPr="00B65835" w:rsidRDefault="00356AA9" w:rsidP="00B65835">
      <w:pPr>
        <w:rPr>
          <w:rFonts w:ascii="Times New Roman" w:eastAsia="Times New Roman" w:hAnsi="Times New Roman" w:cs="Times New Roman"/>
        </w:rPr>
      </w:pPr>
      <w:r>
        <w:rPr>
          <w:rStyle w:val="FootnoteReference"/>
        </w:rPr>
        <w:footnoteRef/>
      </w:r>
      <w:r>
        <w:t xml:space="preserve"> </w:t>
      </w:r>
      <w:r w:rsidRPr="00356AA9">
        <w:rPr>
          <w:rFonts w:ascii="Verdana" w:hAnsi="Verdana"/>
          <w:sz w:val="18"/>
          <w:szCs w:val="18"/>
        </w:rPr>
        <w:t>This section is</w:t>
      </w:r>
      <w:r>
        <w:rPr>
          <w:rFonts w:ascii="Verdana" w:hAnsi="Verdana"/>
          <w:sz w:val="18"/>
          <w:szCs w:val="18"/>
        </w:rPr>
        <w:t xml:space="preserve"> taken</w:t>
      </w:r>
      <w:r w:rsidRPr="00356AA9">
        <w:rPr>
          <w:rFonts w:ascii="Verdana" w:hAnsi="Verdana"/>
          <w:sz w:val="18"/>
          <w:szCs w:val="18"/>
        </w:rPr>
        <w:t xml:space="preserve"> from </w:t>
      </w:r>
      <w:r w:rsidRPr="00356AA9">
        <w:rPr>
          <w:rFonts w:ascii="Verdana" w:eastAsia="Times New Roman" w:hAnsi="Verdana" w:cs="Calibri"/>
          <w:color w:val="000000"/>
          <w:sz w:val="18"/>
          <w:szCs w:val="18"/>
        </w:rPr>
        <w:t>Alexandre Cote and Polly Meeks (2017).</w:t>
      </w:r>
      <w:r w:rsidRPr="00356AA9">
        <w:rPr>
          <w:rFonts w:ascii="Verdana" w:hAnsi="Verdana" w:cs="Calibri"/>
          <w:color w:val="000000"/>
          <w:sz w:val="18"/>
          <w:szCs w:val="18"/>
        </w:rPr>
        <w:t>“Disability is always an afterthought”</w:t>
      </w:r>
      <w:r>
        <w:rPr>
          <w:rFonts w:ascii="Verdana" w:hAnsi="Verdana" w:cs="Calibri"/>
          <w:color w:val="000000"/>
          <w:sz w:val="18"/>
          <w:szCs w:val="18"/>
        </w:rPr>
        <w:t xml:space="preserve">: </w:t>
      </w:r>
      <w:r w:rsidRPr="00356AA9">
        <w:rPr>
          <w:rFonts w:ascii="Verdana" w:eastAsia="Times New Roman" w:hAnsi="Verdana" w:cs="Calibri"/>
          <w:iCs/>
          <w:color w:val="000000"/>
          <w:sz w:val="18"/>
          <w:szCs w:val="18"/>
        </w:rPr>
        <w:t>Why progress on inclusion demands action on budgets. Center for Inclusive Policy. Discussion Paper N.1</w:t>
      </w:r>
      <w:r>
        <w:rPr>
          <w:rFonts w:ascii="Verdana" w:eastAsia="Times New Roman" w:hAnsi="Verdana" w:cs="Calibri"/>
          <w:iCs/>
          <w:color w:val="00000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ACE"/>
    <w:multiLevelType w:val="hybridMultilevel"/>
    <w:tmpl w:val="B220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C2BED"/>
    <w:multiLevelType w:val="hybridMultilevel"/>
    <w:tmpl w:val="F984D63A"/>
    <w:lvl w:ilvl="0" w:tplc="9F26E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67682"/>
    <w:multiLevelType w:val="multilevel"/>
    <w:tmpl w:val="BB70643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210EC"/>
    <w:multiLevelType w:val="multilevel"/>
    <w:tmpl w:val="9F7A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C1094"/>
    <w:multiLevelType w:val="hybridMultilevel"/>
    <w:tmpl w:val="77127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D5320"/>
    <w:multiLevelType w:val="hybridMultilevel"/>
    <w:tmpl w:val="9770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331AC"/>
    <w:multiLevelType w:val="hybridMultilevel"/>
    <w:tmpl w:val="F372F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B47A4"/>
    <w:multiLevelType w:val="hybridMultilevel"/>
    <w:tmpl w:val="32D2F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C55D9"/>
    <w:multiLevelType w:val="hybridMultilevel"/>
    <w:tmpl w:val="C498746A"/>
    <w:lvl w:ilvl="0" w:tplc="C5EC6A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777B3"/>
    <w:multiLevelType w:val="hybridMultilevel"/>
    <w:tmpl w:val="D5FA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66842"/>
    <w:multiLevelType w:val="hybridMultilevel"/>
    <w:tmpl w:val="9AD2041A"/>
    <w:lvl w:ilvl="0" w:tplc="B3D69D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146CE"/>
    <w:multiLevelType w:val="hybridMultilevel"/>
    <w:tmpl w:val="2298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30FF6"/>
    <w:multiLevelType w:val="hybridMultilevel"/>
    <w:tmpl w:val="1E04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606A8"/>
    <w:multiLevelType w:val="hybridMultilevel"/>
    <w:tmpl w:val="18B4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A2B55"/>
    <w:multiLevelType w:val="multilevel"/>
    <w:tmpl w:val="307A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74645C"/>
    <w:multiLevelType w:val="hybridMultilevel"/>
    <w:tmpl w:val="698CAD98"/>
    <w:lvl w:ilvl="0" w:tplc="9D3EF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3824EF"/>
    <w:multiLevelType w:val="hybridMultilevel"/>
    <w:tmpl w:val="4F4ED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80E1C"/>
    <w:multiLevelType w:val="multilevel"/>
    <w:tmpl w:val="14BE3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2057E6"/>
    <w:multiLevelType w:val="hybridMultilevel"/>
    <w:tmpl w:val="CF8C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A4149"/>
    <w:multiLevelType w:val="multilevel"/>
    <w:tmpl w:val="88FA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2258FE"/>
    <w:multiLevelType w:val="multilevel"/>
    <w:tmpl w:val="82C6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A76BAD"/>
    <w:multiLevelType w:val="hybridMultilevel"/>
    <w:tmpl w:val="EF86883C"/>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2" w15:restartNumberingAfterBreak="0">
    <w:nsid w:val="6ACA2278"/>
    <w:multiLevelType w:val="multilevel"/>
    <w:tmpl w:val="FEEC4A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71163407"/>
    <w:multiLevelType w:val="hybridMultilevel"/>
    <w:tmpl w:val="6966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C1423E"/>
    <w:multiLevelType w:val="multilevel"/>
    <w:tmpl w:val="FBDA5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1C0E71"/>
    <w:multiLevelType w:val="hybridMultilevel"/>
    <w:tmpl w:val="119A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18"/>
  </w:num>
  <w:num w:numId="5">
    <w:abstractNumId w:val="0"/>
  </w:num>
  <w:num w:numId="6">
    <w:abstractNumId w:val="11"/>
  </w:num>
  <w:num w:numId="7">
    <w:abstractNumId w:val="12"/>
  </w:num>
  <w:num w:numId="8">
    <w:abstractNumId w:val="15"/>
  </w:num>
  <w:num w:numId="9">
    <w:abstractNumId w:val="13"/>
  </w:num>
  <w:num w:numId="10">
    <w:abstractNumId w:val="23"/>
  </w:num>
  <w:num w:numId="11">
    <w:abstractNumId w:val="1"/>
  </w:num>
  <w:num w:numId="12">
    <w:abstractNumId w:val="21"/>
  </w:num>
  <w:num w:numId="13">
    <w:abstractNumId w:val="22"/>
  </w:num>
  <w:num w:numId="14">
    <w:abstractNumId w:val="19"/>
  </w:num>
  <w:num w:numId="15">
    <w:abstractNumId w:val="20"/>
  </w:num>
  <w:num w:numId="16">
    <w:abstractNumId w:val="2"/>
  </w:num>
  <w:num w:numId="17">
    <w:abstractNumId w:val="24"/>
    <w:lvlOverride w:ilvl="0">
      <w:lvl w:ilvl="0">
        <w:numFmt w:val="lowerLetter"/>
        <w:lvlText w:val="%1."/>
        <w:lvlJc w:val="left"/>
      </w:lvl>
    </w:lvlOverride>
  </w:num>
  <w:num w:numId="18">
    <w:abstractNumId w:val="14"/>
  </w:num>
  <w:num w:numId="19">
    <w:abstractNumId w:val="17"/>
  </w:num>
  <w:num w:numId="20">
    <w:abstractNumId w:val="3"/>
  </w:num>
  <w:num w:numId="21">
    <w:abstractNumId w:val="9"/>
  </w:num>
  <w:num w:numId="22">
    <w:abstractNumId w:val="5"/>
  </w:num>
  <w:num w:numId="23">
    <w:abstractNumId w:val="16"/>
  </w:num>
  <w:num w:numId="24">
    <w:abstractNumId w:val="25"/>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03"/>
    <w:rsid w:val="0000326A"/>
    <w:rsid w:val="00011368"/>
    <w:rsid w:val="000142A9"/>
    <w:rsid w:val="00017424"/>
    <w:rsid w:val="00017F75"/>
    <w:rsid w:val="00021E37"/>
    <w:rsid w:val="00025ADF"/>
    <w:rsid w:val="000347F7"/>
    <w:rsid w:val="00035691"/>
    <w:rsid w:val="00053C0A"/>
    <w:rsid w:val="00064279"/>
    <w:rsid w:val="00067C2C"/>
    <w:rsid w:val="000710D4"/>
    <w:rsid w:val="00082D29"/>
    <w:rsid w:val="00092D0D"/>
    <w:rsid w:val="00095A26"/>
    <w:rsid w:val="000A779B"/>
    <w:rsid w:val="000B015B"/>
    <w:rsid w:val="000B1DE2"/>
    <w:rsid w:val="000B7750"/>
    <w:rsid w:val="000C13CD"/>
    <w:rsid w:val="000C67F0"/>
    <w:rsid w:val="000D1F37"/>
    <w:rsid w:val="000D7AA0"/>
    <w:rsid w:val="000E26F4"/>
    <w:rsid w:val="000F4B4E"/>
    <w:rsid w:val="000F77AF"/>
    <w:rsid w:val="00105273"/>
    <w:rsid w:val="0010649E"/>
    <w:rsid w:val="001114C4"/>
    <w:rsid w:val="0011213E"/>
    <w:rsid w:val="00113688"/>
    <w:rsid w:val="00115CB6"/>
    <w:rsid w:val="00115FBA"/>
    <w:rsid w:val="00116F62"/>
    <w:rsid w:val="00122A7F"/>
    <w:rsid w:val="0012304F"/>
    <w:rsid w:val="00135EA4"/>
    <w:rsid w:val="00144490"/>
    <w:rsid w:val="00151331"/>
    <w:rsid w:val="00152B5C"/>
    <w:rsid w:val="00155DBF"/>
    <w:rsid w:val="001847CC"/>
    <w:rsid w:val="001874BA"/>
    <w:rsid w:val="00187B2E"/>
    <w:rsid w:val="00191EA0"/>
    <w:rsid w:val="00194AA5"/>
    <w:rsid w:val="001A19F9"/>
    <w:rsid w:val="001A582F"/>
    <w:rsid w:val="001C2422"/>
    <w:rsid w:val="001D30D7"/>
    <w:rsid w:val="001F03C6"/>
    <w:rsid w:val="001F1125"/>
    <w:rsid w:val="001F6DBB"/>
    <w:rsid w:val="002047FB"/>
    <w:rsid w:val="002072B2"/>
    <w:rsid w:val="00216E73"/>
    <w:rsid w:val="00225FE1"/>
    <w:rsid w:val="00252DD4"/>
    <w:rsid w:val="002557D0"/>
    <w:rsid w:val="002577BC"/>
    <w:rsid w:val="00265A50"/>
    <w:rsid w:val="00270290"/>
    <w:rsid w:val="0027195A"/>
    <w:rsid w:val="00276D3D"/>
    <w:rsid w:val="00284F42"/>
    <w:rsid w:val="00287AEE"/>
    <w:rsid w:val="00294D81"/>
    <w:rsid w:val="002B05E8"/>
    <w:rsid w:val="002D11A9"/>
    <w:rsid w:val="002D62D7"/>
    <w:rsid w:val="002E4776"/>
    <w:rsid w:val="002E6F41"/>
    <w:rsid w:val="003013D3"/>
    <w:rsid w:val="003053B4"/>
    <w:rsid w:val="0031251C"/>
    <w:rsid w:val="00313EC9"/>
    <w:rsid w:val="0032039D"/>
    <w:rsid w:val="00320D13"/>
    <w:rsid w:val="003215DE"/>
    <w:rsid w:val="00352FD1"/>
    <w:rsid w:val="00356AA9"/>
    <w:rsid w:val="003613DC"/>
    <w:rsid w:val="0037028F"/>
    <w:rsid w:val="00372D3B"/>
    <w:rsid w:val="00376F6D"/>
    <w:rsid w:val="00385DEF"/>
    <w:rsid w:val="00391ABB"/>
    <w:rsid w:val="00397EF4"/>
    <w:rsid w:val="003A09A8"/>
    <w:rsid w:val="003B5AE9"/>
    <w:rsid w:val="003B74D4"/>
    <w:rsid w:val="003C2E37"/>
    <w:rsid w:val="003D331D"/>
    <w:rsid w:val="003E00F2"/>
    <w:rsid w:val="003E47B4"/>
    <w:rsid w:val="003E5823"/>
    <w:rsid w:val="003E7440"/>
    <w:rsid w:val="003F0811"/>
    <w:rsid w:val="003F4D15"/>
    <w:rsid w:val="004161B1"/>
    <w:rsid w:val="0041763D"/>
    <w:rsid w:val="00425283"/>
    <w:rsid w:val="00431203"/>
    <w:rsid w:val="00435CC5"/>
    <w:rsid w:val="00436E39"/>
    <w:rsid w:val="0044078E"/>
    <w:rsid w:val="00441CF6"/>
    <w:rsid w:val="004500C7"/>
    <w:rsid w:val="004564A3"/>
    <w:rsid w:val="004658FA"/>
    <w:rsid w:val="00465C28"/>
    <w:rsid w:val="00467D7D"/>
    <w:rsid w:val="00474820"/>
    <w:rsid w:val="004759EA"/>
    <w:rsid w:val="00490C8F"/>
    <w:rsid w:val="00491EF7"/>
    <w:rsid w:val="00493041"/>
    <w:rsid w:val="004A2220"/>
    <w:rsid w:val="004B6AD2"/>
    <w:rsid w:val="004C061C"/>
    <w:rsid w:val="004C7510"/>
    <w:rsid w:val="004D18B7"/>
    <w:rsid w:val="004D19FD"/>
    <w:rsid w:val="004D4C70"/>
    <w:rsid w:val="004E1584"/>
    <w:rsid w:val="004E292E"/>
    <w:rsid w:val="004F3AE3"/>
    <w:rsid w:val="004F5D14"/>
    <w:rsid w:val="004F63C4"/>
    <w:rsid w:val="00502D7E"/>
    <w:rsid w:val="00505DCB"/>
    <w:rsid w:val="00510C58"/>
    <w:rsid w:val="005161A0"/>
    <w:rsid w:val="00517A34"/>
    <w:rsid w:val="00523081"/>
    <w:rsid w:val="00530525"/>
    <w:rsid w:val="0053653C"/>
    <w:rsid w:val="00541E09"/>
    <w:rsid w:val="0054330B"/>
    <w:rsid w:val="005449FB"/>
    <w:rsid w:val="00571087"/>
    <w:rsid w:val="00571B7E"/>
    <w:rsid w:val="00583170"/>
    <w:rsid w:val="00587DCC"/>
    <w:rsid w:val="00590402"/>
    <w:rsid w:val="005914C7"/>
    <w:rsid w:val="005A3E62"/>
    <w:rsid w:val="005A7A2B"/>
    <w:rsid w:val="005B5BAF"/>
    <w:rsid w:val="005D75DE"/>
    <w:rsid w:val="005E383B"/>
    <w:rsid w:val="005F3635"/>
    <w:rsid w:val="006030F1"/>
    <w:rsid w:val="00613355"/>
    <w:rsid w:val="00615E3D"/>
    <w:rsid w:val="00616E07"/>
    <w:rsid w:val="00620B24"/>
    <w:rsid w:val="00621CBB"/>
    <w:rsid w:val="00623AB1"/>
    <w:rsid w:val="00642216"/>
    <w:rsid w:val="006456A5"/>
    <w:rsid w:val="00654A77"/>
    <w:rsid w:val="0066387E"/>
    <w:rsid w:val="00673AF5"/>
    <w:rsid w:val="00676230"/>
    <w:rsid w:val="006903D0"/>
    <w:rsid w:val="00697343"/>
    <w:rsid w:val="006A2F81"/>
    <w:rsid w:val="006A75DB"/>
    <w:rsid w:val="006B1C64"/>
    <w:rsid w:val="006B4031"/>
    <w:rsid w:val="006D7335"/>
    <w:rsid w:val="006E7EF2"/>
    <w:rsid w:val="006F7B97"/>
    <w:rsid w:val="0070410F"/>
    <w:rsid w:val="00715C64"/>
    <w:rsid w:val="00723E8A"/>
    <w:rsid w:val="00735198"/>
    <w:rsid w:val="00737207"/>
    <w:rsid w:val="0074452F"/>
    <w:rsid w:val="00754819"/>
    <w:rsid w:val="007569A3"/>
    <w:rsid w:val="0076206B"/>
    <w:rsid w:val="007620D4"/>
    <w:rsid w:val="00763ACD"/>
    <w:rsid w:val="00766804"/>
    <w:rsid w:val="00766EBB"/>
    <w:rsid w:val="0076731D"/>
    <w:rsid w:val="007819CF"/>
    <w:rsid w:val="007A0120"/>
    <w:rsid w:val="007B5705"/>
    <w:rsid w:val="007C68CF"/>
    <w:rsid w:val="007D31CA"/>
    <w:rsid w:val="007D5101"/>
    <w:rsid w:val="007D64A2"/>
    <w:rsid w:val="007E317C"/>
    <w:rsid w:val="007E3A1F"/>
    <w:rsid w:val="007F0FB4"/>
    <w:rsid w:val="007F4FA5"/>
    <w:rsid w:val="007F5725"/>
    <w:rsid w:val="007F7252"/>
    <w:rsid w:val="007F7708"/>
    <w:rsid w:val="008159A2"/>
    <w:rsid w:val="0081752C"/>
    <w:rsid w:val="0083251E"/>
    <w:rsid w:val="0084200E"/>
    <w:rsid w:val="00850182"/>
    <w:rsid w:val="00852D62"/>
    <w:rsid w:val="0085353D"/>
    <w:rsid w:val="0086783C"/>
    <w:rsid w:val="00872046"/>
    <w:rsid w:val="00873D31"/>
    <w:rsid w:val="008763B8"/>
    <w:rsid w:val="00891F42"/>
    <w:rsid w:val="008A000A"/>
    <w:rsid w:val="008A1AEF"/>
    <w:rsid w:val="008A4573"/>
    <w:rsid w:val="008B48F1"/>
    <w:rsid w:val="008B6AB0"/>
    <w:rsid w:val="008C7D65"/>
    <w:rsid w:val="008E03E9"/>
    <w:rsid w:val="008F2F40"/>
    <w:rsid w:val="008F6246"/>
    <w:rsid w:val="009004B6"/>
    <w:rsid w:val="00907516"/>
    <w:rsid w:val="00911E74"/>
    <w:rsid w:val="0091644C"/>
    <w:rsid w:val="00932DC3"/>
    <w:rsid w:val="0093561B"/>
    <w:rsid w:val="00941434"/>
    <w:rsid w:val="00943C6E"/>
    <w:rsid w:val="00954421"/>
    <w:rsid w:val="00957DE7"/>
    <w:rsid w:val="00964236"/>
    <w:rsid w:val="00974136"/>
    <w:rsid w:val="009769AC"/>
    <w:rsid w:val="00984F8B"/>
    <w:rsid w:val="00986948"/>
    <w:rsid w:val="00991D7E"/>
    <w:rsid w:val="009A27E7"/>
    <w:rsid w:val="009A6934"/>
    <w:rsid w:val="009A69C5"/>
    <w:rsid w:val="009B7AB2"/>
    <w:rsid w:val="009D0F16"/>
    <w:rsid w:val="009D78C4"/>
    <w:rsid w:val="009E5552"/>
    <w:rsid w:val="009E5B5E"/>
    <w:rsid w:val="009F109B"/>
    <w:rsid w:val="009F1937"/>
    <w:rsid w:val="009F1FC2"/>
    <w:rsid w:val="009F5305"/>
    <w:rsid w:val="00A111A9"/>
    <w:rsid w:val="00A16F48"/>
    <w:rsid w:val="00A201B4"/>
    <w:rsid w:val="00A213BA"/>
    <w:rsid w:val="00A371D6"/>
    <w:rsid w:val="00A45020"/>
    <w:rsid w:val="00A46902"/>
    <w:rsid w:val="00A515A5"/>
    <w:rsid w:val="00A53051"/>
    <w:rsid w:val="00A534ED"/>
    <w:rsid w:val="00A609EA"/>
    <w:rsid w:val="00A736D4"/>
    <w:rsid w:val="00A7527E"/>
    <w:rsid w:val="00A92184"/>
    <w:rsid w:val="00A92792"/>
    <w:rsid w:val="00A930C4"/>
    <w:rsid w:val="00A94C39"/>
    <w:rsid w:val="00A964A7"/>
    <w:rsid w:val="00AA18CC"/>
    <w:rsid w:val="00AC0A60"/>
    <w:rsid w:val="00AC30BE"/>
    <w:rsid w:val="00AC59CD"/>
    <w:rsid w:val="00AC5A06"/>
    <w:rsid w:val="00AC5A93"/>
    <w:rsid w:val="00AC736B"/>
    <w:rsid w:val="00AC7ED0"/>
    <w:rsid w:val="00AD46FB"/>
    <w:rsid w:val="00AD6323"/>
    <w:rsid w:val="00AF5B12"/>
    <w:rsid w:val="00B01AA7"/>
    <w:rsid w:val="00B035F7"/>
    <w:rsid w:val="00B03D84"/>
    <w:rsid w:val="00B05CE6"/>
    <w:rsid w:val="00B177E5"/>
    <w:rsid w:val="00B31A5B"/>
    <w:rsid w:val="00B4322C"/>
    <w:rsid w:val="00B50FBF"/>
    <w:rsid w:val="00B564D1"/>
    <w:rsid w:val="00B65835"/>
    <w:rsid w:val="00B667BA"/>
    <w:rsid w:val="00B75A98"/>
    <w:rsid w:val="00B766B0"/>
    <w:rsid w:val="00BA1461"/>
    <w:rsid w:val="00BB2F6A"/>
    <w:rsid w:val="00BB7D94"/>
    <w:rsid w:val="00BD22C6"/>
    <w:rsid w:val="00BD50AD"/>
    <w:rsid w:val="00BE22F4"/>
    <w:rsid w:val="00BF4960"/>
    <w:rsid w:val="00BF6703"/>
    <w:rsid w:val="00C07074"/>
    <w:rsid w:val="00C1020C"/>
    <w:rsid w:val="00C1346F"/>
    <w:rsid w:val="00C20630"/>
    <w:rsid w:val="00C24E86"/>
    <w:rsid w:val="00C26B6E"/>
    <w:rsid w:val="00C377B2"/>
    <w:rsid w:val="00C41E7B"/>
    <w:rsid w:val="00C44B54"/>
    <w:rsid w:val="00C70778"/>
    <w:rsid w:val="00C713BF"/>
    <w:rsid w:val="00C7305E"/>
    <w:rsid w:val="00C73BF7"/>
    <w:rsid w:val="00C748A2"/>
    <w:rsid w:val="00C76E9B"/>
    <w:rsid w:val="00C8145A"/>
    <w:rsid w:val="00C82CE2"/>
    <w:rsid w:val="00C83371"/>
    <w:rsid w:val="00C84368"/>
    <w:rsid w:val="00C86B83"/>
    <w:rsid w:val="00C921E7"/>
    <w:rsid w:val="00C946FC"/>
    <w:rsid w:val="00C97C32"/>
    <w:rsid w:val="00CA723E"/>
    <w:rsid w:val="00CD0E80"/>
    <w:rsid w:val="00CD5059"/>
    <w:rsid w:val="00CE0113"/>
    <w:rsid w:val="00CE1566"/>
    <w:rsid w:val="00CE2695"/>
    <w:rsid w:val="00CE64B5"/>
    <w:rsid w:val="00CE6E9A"/>
    <w:rsid w:val="00CF1C1D"/>
    <w:rsid w:val="00CF427A"/>
    <w:rsid w:val="00D02EBF"/>
    <w:rsid w:val="00D14066"/>
    <w:rsid w:val="00D157FC"/>
    <w:rsid w:val="00D2182F"/>
    <w:rsid w:val="00D2216C"/>
    <w:rsid w:val="00D25BB0"/>
    <w:rsid w:val="00D35B3D"/>
    <w:rsid w:val="00D41057"/>
    <w:rsid w:val="00D44E61"/>
    <w:rsid w:val="00D45B1C"/>
    <w:rsid w:val="00D520A8"/>
    <w:rsid w:val="00D52166"/>
    <w:rsid w:val="00D57E8F"/>
    <w:rsid w:val="00D628A6"/>
    <w:rsid w:val="00D74FC6"/>
    <w:rsid w:val="00D755DB"/>
    <w:rsid w:val="00D76CC9"/>
    <w:rsid w:val="00D77484"/>
    <w:rsid w:val="00D8262D"/>
    <w:rsid w:val="00D84C25"/>
    <w:rsid w:val="00D869F0"/>
    <w:rsid w:val="00D87885"/>
    <w:rsid w:val="00D95776"/>
    <w:rsid w:val="00DA18CD"/>
    <w:rsid w:val="00DA4C02"/>
    <w:rsid w:val="00DC5A84"/>
    <w:rsid w:val="00DC6372"/>
    <w:rsid w:val="00DC7192"/>
    <w:rsid w:val="00DE5CFB"/>
    <w:rsid w:val="00DF5E07"/>
    <w:rsid w:val="00E07314"/>
    <w:rsid w:val="00E11FCF"/>
    <w:rsid w:val="00E13668"/>
    <w:rsid w:val="00E27966"/>
    <w:rsid w:val="00E27E3E"/>
    <w:rsid w:val="00E308F3"/>
    <w:rsid w:val="00E34A31"/>
    <w:rsid w:val="00E3547B"/>
    <w:rsid w:val="00E418D4"/>
    <w:rsid w:val="00E51E19"/>
    <w:rsid w:val="00E54E36"/>
    <w:rsid w:val="00E56974"/>
    <w:rsid w:val="00E62335"/>
    <w:rsid w:val="00E64622"/>
    <w:rsid w:val="00E669A1"/>
    <w:rsid w:val="00E82A3E"/>
    <w:rsid w:val="00E86CF9"/>
    <w:rsid w:val="00E93CEE"/>
    <w:rsid w:val="00EA07D0"/>
    <w:rsid w:val="00EB1861"/>
    <w:rsid w:val="00EB5CBC"/>
    <w:rsid w:val="00ED510C"/>
    <w:rsid w:val="00ED55F3"/>
    <w:rsid w:val="00EF23BF"/>
    <w:rsid w:val="00F12AEC"/>
    <w:rsid w:val="00F225B4"/>
    <w:rsid w:val="00F23D98"/>
    <w:rsid w:val="00F30AC2"/>
    <w:rsid w:val="00F40236"/>
    <w:rsid w:val="00F45A1D"/>
    <w:rsid w:val="00F46778"/>
    <w:rsid w:val="00F506D8"/>
    <w:rsid w:val="00F51042"/>
    <w:rsid w:val="00F60F70"/>
    <w:rsid w:val="00F800AF"/>
    <w:rsid w:val="00F8048C"/>
    <w:rsid w:val="00F866D5"/>
    <w:rsid w:val="00F9312A"/>
    <w:rsid w:val="00F97FAF"/>
    <w:rsid w:val="00FA1144"/>
    <w:rsid w:val="00FA5D58"/>
    <w:rsid w:val="00FB457B"/>
    <w:rsid w:val="00FB4829"/>
    <w:rsid w:val="00FB4BAB"/>
    <w:rsid w:val="00FC2DE0"/>
    <w:rsid w:val="00FE1ED1"/>
    <w:rsid w:val="00FE2D97"/>
    <w:rsid w:val="00FE59E2"/>
    <w:rsid w:val="00FE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A0A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262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MCHIP_list paragraph,List Paragraph1,Recommendation"/>
    <w:basedOn w:val="Normal"/>
    <w:link w:val="ListParagraphChar"/>
    <w:uiPriority w:val="34"/>
    <w:qFormat/>
    <w:rsid w:val="002E6F41"/>
    <w:pPr>
      <w:ind w:left="720"/>
      <w:contextualSpacing/>
    </w:pPr>
  </w:style>
  <w:style w:type="paragraph" w:styleId="Header">
    <w:name w:val="header"/>
    <w:basedOn w:val="Normal"/>
    <w:link w:val="HeaderChar"/>
    <w:uiPriority w:val="99"/>
    <w:unhideWhenUsed/>
    <w:rsid w:val="00A92184"/>
    <w:pPr>
      <w:tabs>
        <w:tab w:val="center" w:pos="4680"/>
        <w:tab w:val="right" w:pos="9360"/>
      </w:tabs>
    </w:pPr>
  </w:style>
  <w:style w:type="character" w:customStyle="1" w:styleId="HeaderChar">
    <w:name w:val="Header Char"/>
    <w:basedOn w:val="DefaultParagraphFont"/>
    <w:link w:val="Header"/>
    <w:uiPriority w:val="99"/>
    <w:rsid w:val="00A92184"/>
  </w:style>
  <w:style w:type="paragraph" w:styleId="Footer">
    <w:name w:val="footer"/>
    <w:basedOn w:val="Normal"/>
    <w:link w:val="FooterChar"/>
    <w:uiPriority w:val="99"/>
    <w:unhideWhenUsed/>
    <w:rsid w:val="00A92184"/>
    <w:pPr>
      <w:tabs>
        <w:tab w:val="center" w:pos="4680"/>
        <w:tab w:val="right" w:pos="9360"/>
      </w:tabs>
    </w:pPr>
  </w:style>
  <w:style w:type="character" w:customStyle="1" w:styleId="FooterChar">
    <w:name w:val="Footer Char"/>
    <w:basedOn w:val="DefaultParagraphFont"/>
    <w:link w:val="Footer"/>
    <w:uiPriority w:val="99"/>
    <w:rsid w:val="00A92184"/>
  </w:style>
  <w:style w:type="character" w:styleId="CommentReference">
    <w:name w:val="annotation reference"/>
    <w:basedOn w:val="DefaultParagraphFont"/>
    <w:uiPriority w:val="99"/>
    <w:semiHidden/>
    <w:unhideWhenUsed/>
    <w:rsid w:val="00A534ED"/>
    <w:rPr>
      <w:sz w:val="16"/>
      <w:szCs w:val="16"/>
    </w:rPr>
  </w:style>
  <w:style w:type="paragraph" w:styleId="CommentText">
    <w:name w:val="annotation text"/>
    <w:basedOn w:val="Normal"/>
    <w:link w:val="CommentTextChar"/>
    <w:uiPriority w:val="99"/>
    <w:semiHidden/>
    <w:unhideWhenUsed/>
    <w:rsid w:val="00E27E3E"/>
    <w:rPr>
      <w:sz w:val="20"/>
      <w:szCs w:val="20"/>
    </w:rPr>
  </w:style>
  <w:style w:type="character" w:customStyle="1" w:styleId="CommentTextChar">
    <w:name w:val="Comment Text Char"/>
    <w:basedOn w:val="DefaultParagraphFont"/>
    <w:link w:val="CommentText"/>
    <w:uiPriority w:val="99"/>
    <w:semiHidden/>
    <w:rsid w:val="00E27E3E"/>
    <w:rPr>
      <w:sz w:val="20"/>
      <w:szCs w:val="20"/>
    </w:rPr>
  </w:style>
  <w:style w:type="paragraph" w:styleId="BalloonText">
    <w:name w:val="Balloon Text"/>
    <w:basedOn w:val="Normal"/>
    <w:link w:val="BalloonTextChar"/>
    <w:uiPriority w:val="99"/>
    <w:semiHidden/>
    <w:unhideWhenUsed/>
    <w:rsid w:val="00E27E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7E3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02D7E"/>
    <w:rPr>
      <w:b/>
      <w:bCs/>
    </w:rPr>
  </w:style>
  <w:style w:type="character" w:customStyle="1" w:styleId="CommentSubjectChar">
    <w:name w:val="Comment Subject Char"/>
    <w:basedOn w:val="CommentTextChar"/>
    <w:link w:val="CommentSubject"/>
    <w:uiPriority w:val="99"/>
    <w:semiHidden/>
    <w:rsid w:val="00502D7E"/>
    <w:rPr>
      <w:b/>
      <w:bCs/>
      <w:sz w:val="20"/>
      <w:szCs w:val="20"/>
    </w:rPr>
  </w:style>
  <w:style w:type="character" w:customStyle="1" w:styleId="Heading1Char">
    <w:name w:val="Heading 1 Char"/>
    <w:basedOn w:val="DefaultParagraphFont"/>
    <w:link w:val="Heading1"/>
    <w:uiPriority w:val="9"/>
    <w:rsid w:val="00D8262D"/>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semiHidden/>
    <w:unhideWhenUsed/>
    <w:rsid w:val="00C83371"/>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0347F7"/>
    <w:rPr>
      <w:color w:val="0563C1" w:themeColor="hyperlink"/>
      <w:u w:val="single"/>
    </w:rPr>
  </w:style>
  <w:style w:type="character" w:customStyle="1" w:styleId="ListParagraphChar">
    <w:name w:val="List Paragraph Char"/>
    <w:aliases w:val="List Square Char,MCHIP_list paragraph Char,List Paragraph1 Char,Recommendation Char"/>
    <w:link w:val="ListParagraph"/>
    <w:uiPriority w:val="34"/>
    <w:locked/>
    <w:rsid w:val="000347F7"/>
  </w:style>
  <w:style w:type="paragraph" w:customStyle="1" w:styleId="Default">
    <w:name w:val="Default"/>
    <w:rsid w:val="000347F7"/>
    <w:pPr>
      <w:autoSpaceDE w:val="0"/>
      <w:autoSpaceDN w:val="0"/>
      <w:adjustRightInd w:val="0"/>
    </w:pPr>
    <w:rPr>
      <w:rFonts w:ascii="Calibri" w:hAnsi="Calibri" w:cs="Calibri"/>
      <w:color w:val="000000"/>
    </w:rPr>
  </w:style>
  <w:style w:type="character" w:styleId="EndnoteReference">
    <w:name w:val="endnote reference"/>
    <w:basedOn w:val="DefaultParagraphFont"/>
    <w:unhideWhenUsed/>
    <w:rsid w:val="000347F7"/>
    <w:rPr>
      <w:vertAlign w:val="superscript"/>
    </w:rPr>
  </w:style>
  <w:style w:type="paragraph" w:styleId="EndnoteText">
    <w:name w:val="endnote text"/>
    <w:basedOn w:val="Normal"/>
    <w:link w:val="EndnoteTextChar"/>
    <w:unhideWhenUsed/>
    <w:rsid w:val="000347F7"/>
    <w:rPr>
      <w:rFonts w:eastAsiaTheme="minorEastAsia"/>
    </w:rPr>
  </w:style>
  <w:style w:type="character" w:customStyle="1" w:styleId="EndnoteTextChar">
    <w:name w:val="Endnote Text Char"/>
    <w:basedOn w:val="DefaultParagraphFont"/>
    <w:link w:val="EndnoteText"/>
    <w:rsid w:val="000347F7"/>
    <w:rPr>
      <w:rFonts w:eastAsiaTheme="minorEastAsia"/>
    </w:rPr>
  </w:style>
  <w:style w:type="character" w:styleId="FollowedHyperlink">
    <w:name w:val="FollowedHyperlink"/>
    <w:basedOn w:val="DefaultParagraphFont"/>
    <w:uiPriority w:val="99"/>
    <w:semiHidden/>
    <w:unhideWhenUsed/>
    <w:rsid w:val="00986948"/>
    <w:rPr>
      <w:color w:val="954F72" w:themeColor="followedHyperlink"/>
      <w:u w:val="single"/>
    </w:rPr>
  </w:style>
  <w:style w:type="character" w:customStyle="1" w:styleId="UnresolvedMention1">
    <w:name w:val="Unresolved Mention1"/>
    <w:basedOn w:val="DefaultParagraphFont"/>
    <w:uiPriority w:val="99"/>
    <w:rsid w:val="00986948"/>
    <w:rPr>
      <w:color w:val="605E5C"/>
      <w:shd w:val="clear" w:color="auto" w:fill="E1DFDD"/>
    </w:rPr>
  </w:style>
  <w:style w:type="paragraph" w:styleId="FootnoteText">
    <w:name w:val="footnote text"/>
    <w:basedOn w:val="Normal"/>
    <w:link w:val="FootnoteTextChar"/>
    <w:uiPriority w:val="99"/>
    <w:semiHidden/>
    <w:unhideWhenUsed/>
    <w:rsid w:val="00356AA9"/>
    <w:rPr>
      <w:sz w:val="20"/>
      <w:szCs w:val="20"/>
    </w:rPr>
  </w:style>
  <w:style w:type="character" w:customStyle="1" w:styleId="FootnoteTextChar">
    <w:name w:val="Footnote Text Char"/>
    <w:basedOn w:val="DefaultParagraphFont"/>
    <w:link w:val="FootnoteText"/>
    <w:uiPriority w:val="99"/>
    <w:semiHidden/>
    <w:rsid w:val="00356AA9"/>
    <w:rPr>
      <w:sz w:val="20"/>
      <w:szCs w:val="20"/>
    </w:rPr>
  </w:style>
  <w:style w:type="character" w:styleId="FootnoteReference">
    <w:name w:val="footnote reference"/>
    <w:basedOn w:val="DefaultParagraphFont"/>
    <w:uiPriority w:val="99"/>
    <w:semiHidden/>
    <w:unhideWhenUsed/>
    <w:rsid w:val="00356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10439">
      <w:bodyDiv w:val="1"/>
      <w:marLeft w:val="0"/>
      <w:marRight w:val="0"/>
      <w:marTop w:val="0"/>
      <w:marBottom w:val="0"/>
      <w:divBdr>
        <w:top w:val="none" w:sz="0" w:space="0" w:color="auto"/>
        <w:left w:val="none" w:sz="0" w:space="0" w:color="auto"/>
        <w:bottom w:val="none" w:sz="0" w:space="0" w:color="auto"/>
        <w:right w:val="none" w:sz="0" w:space="0" w:color="auto"/>
      </w:divBdr>
    </w:div>
    <w:div w:id="733358564">
      <w:bodyDiv w:val="1"/>
      <w:marLeft w:val="0"/>
      <w:marRight w:val="0"/>
      <w:marTop w:val="0"/>
      <w:marBottom w:val="0"/>
      <w:divBdr>
        <w:top w:val="none" w:sz="0" w:space="0" w:color="auto"/>
        <w:left w:val="none" w:sz="0" w:space="0" w:color="auto"/>
        <w:bottom w:val="none" w:sz="0" w:space="0" w:color="auto"/>
        <w:right w:val="none" w:sz="0" w:space="0" w:color="auto"/>
      </w:divBdr>
    </w:div>
    <w:div w:id="916551923">
      <w:bodyDiv w:val="1"/>
      <w:marLeft w:val="0"/>
      <w:marRight w:val="0"/>
      <w:marTop w:val="0"/>
      <w:marBottom w:val="0"/>
      <w:divBdr>
        <w:top w:val="none" w:sz="0" w:space="0" w:color="auto"/>
        <w:left w:val="none" w:sz="0" w:space="0" w:color="auto"/>
        <w:bottom w:val="none" w:sz="0" w:space="0" w:color="auto"/>
        <w:right w:val="none" w:sz="0" w:space="0" w:color="auto"/>
      </w:divBdr>
    </w:div>
    <w:div w:id="1307666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group-disability.com/data-dissemin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E. M. Lockwood</cp:lastModifiedBy>
  <cp:revision>3</cp:revision>
  <dcterms:created xsi:type="dcterms:W3CDTF">2018-11-28T18:02:00Z</dcterms:created>
  <dcterms:modified xsi:type="dcterms:W3CDTF">2018-11-29T13:07:00Z</dcterms:modified>
</cp:coreProperties>
</file>